
<file path=[Content_Types].xml><?xml version="1.0" encoding="utf-8"?>
<Types xmlns="http://schemas.openxmlformats.org/package/2006/content-types">
  <Default Extension="xml" ContentType="application/xml"/>
  <Default Extension="emf" ContentType="image/x-emf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13"/>
        <w:jc w:val="left"/>
        <w:rPr>
          <w:sz w:val="28"/>
          <w:szCs w:val="24"/>
        </w:rPr>
      </w:pPr>
      <w:r>
        <w:rPr>
          <w:sz w:val="28"/>
          <w:szCs w:val="24"/>
        </w:rPr>
        <w:t>Supplementary Materials: Crystal structure prediction via combining graph network and Bayesian optimization</w:t>
      </w:r>
    </w:p>
    <w:p>
      <w:pPr>
        <w:pStyle w:val="26"/>
        <w:adjustRightInd w:val="0"/>
        <w:snapToGrid w:val="0"/>
        <w:spacing w:before="0" w:after="0"/>
        <w:jc w:val="left"/>
        <w:rPr>
          <w:sz w:val="21"/>
          <w:szCs w:val="21"/>
          <w:lang w:val="en-GB"/>
        </w:rPr>
      </w:pPr>
    </w:p>
    <w:p>
      <w:pPr>
        <w:pStyle w:val="26"/>
        <w:adjustRightInd w:val="0"/>
        <w:snapToGrid w:val="0"/>
        <w:spacing w:before="0" w:after="0" w:line="300" w:lineRule="auto"/>
        <w:jc w:val="left"/>
        <w:rPr>
          <w:vertAlign w:val="superscript"/>
          <w:lang w:val="en-GB"/>
        </w:rPr>
      </w:pPr>
      <w:bookmarkStart w:id="0" w:name="_Hlk56934005"/>
      <w:r>
        <w:rPr>
          <w:lang w:val="en-GB"/>
        </w:rPr>
        <w:t>Guanjian Cheng</w:t>
      </w:r>
      <w:r>
        <w:rPr>
          <w:vertAlign w:val="superscript"/>
          <w:lang w:val="en-GB"/>
        </w:rPr>
        <w:t>1</w:t>
      </w:r>
      <w:r>
        <w:rPr>
          <w:lang w:val="en-GB"/>
        </w:rPr>
        <w:t>, Xin-Gao Gong</w:t>
      </w:r>
      <w:r>
        <w:rPr>
          <w:vertAlign w:val="superscript"/>
          <w:lang w:val="en-GB"/>
        </w:rPr>
        <w:t>2,3</w:t>
      </w:r>
      <w:r>
        <w:rPr>
          <w:lang w:val="en-GB"/>
        </w:rPr>
        <w:t>, Wan-Jian Yin</w:t>
      </w:r>
      <w:r>
        <w:rPr>
          <w:vertAlign w:val="superscript"/>
          <w:lang w:val="en-GB"/>
        </w:rPr>
        <w:t>1,4,5</w:t>
      </w:r>
    </w:p>
    <w:p>
      <w:pPr>
        <w:pStyle w:val="26"/>
        <w:adjustRightInd w:val="0"/>
        <w:snapToGrid w:val="0"/>
        <w:spacing w:before="0" w:after="0" w:line="300" w:lineRule="auto"/>
        <w:jc w:val="left"/>
        <w:rPr>
          <w:vertAlign w:val="superscript"/>
          <w:lang w:val="en-GB"/>
        </w:rPr>
      </w:pPr>
    </w:p>
    <w:p>
      <w:pPr>
        <w:pStyle w:val="26"/>
        <w:adjustRightInd w:val="0"/>
        <w:snapToGrid w:val="0"/>
        <w:spacing w:before="0" w:after="0" w:line="300" w:lineRule="auto"/>
        <w:jc w:val="both"/>
        <w:rPr>
          <w:lang w:val="en-GB"/>
        </w:rPr>
      </w:pPr>
      <w:r>
        <w:rPr>
          <w:vertAlign w:val="superscript"/>
          <w:lang w:val="en-GB"/>
        </w:rPr>
        <w:t>1</w:t>
      </w:r>
      <w:r>
        <w:rPr>
          <w:lang w:val="en-GB"/>
        </w:rPr>
        <w:t xml:space="preserve">College of Energy, Soochow Institute for Energy and Materials </w:t>
      </w:r>
      <w:r>
        <w:rPr>
          <w:rFonts w:eastAsia="MS Mincho"/>
          <w:lang w:val="en-GB" w:eastAsia="ja-JP"/>
        </w:rPr>
        <w:t>InnovationS</w:t>
      </w:r>
      <w:r>
        <w:rPr>
          <w:lang w:val="en-GB"/>
        </w:rPr>
        <w:t xml:space="preserve"> (SIEMIS), and Jiangsu Provincial Key Laboratory for Advanced Carbon Materials and Wearable Energy Technologies, Soochow University, Suzhou 215006, China</w:t>
      </w:r>
    </w:p>
    <w:p>
      <w:pPr>
        <w:pStyle w:val="26"/>
        <w:adjustRightInd w:val="0"/>
        <w:snapToGrid w:val="0"/>
        <w:spacing w:before="0" w:after="0" w:line="300" w:lineRule="auto"/>
        <w:jc w:val="both"/>
        <w:rPr>
          <w:lang w:val="en-GB"/>
        </w:rPr>
      </w:pPr>
      <w:r>
        <w:rPr>
          <w:vertAlign w:val="superscript"/>
          <w:lang w:val="en-GB"/>
        </w:rPr>
        <w:t>2</w:t>
      </w:r>
      <w:r>
        <w:rPr>
          <w:lang w:val="en-GB"/>
        </w:rPr>
        <w:t>Key Laboratory for Computational Physical Sciences (MOE), State Key Laboratory of Surface Physics, Department of Physics, Fudan University, Shanghai 200433, China</w:t>
      </w:r>
    </w:p>
    <w:p>
      <w:pPr>
        <w:widowControl/>
        <w:adjustRightInd w:val="0"/>
        <w:snapToGrid w:val="0"/>
        <w:spacing w:line="300" w:lineRule="auto"/>
        <w:rPr>
          <w:rFonts w:eastAsia="Times New Roman" w:cs="Times New Roman"/>
          <w:kern w:val="0"/>
          <w:szCs w:val="24"/>
          <w:lang w:val="en-GB" w:eastAsia="en-US"/>
        </w:rPr>
      </w:pPr>
      <w:r>
        <w:rPr>
          <w:rFonts w:eastAsia="Times New Roman" w:cs="Times New Roman"/>
          <w:kern w:val="0"/>
          <w:szCs w:val="24"/>
          <w:vertAlign w:val="superscript"/>
          <w:lang w:val="en-GB" w:eastAsia="en-US"/>
        </w:rPr>
        <w:t>3</w:t>
      </w:r>
      <w:r>
        <w:rPr>
          <w:rFonts w:hint="eastAsia" w:eastAsia="Times New Roman" w:cs="Times New Roman"/>
          <w:kern w:val="0"/>
          <w:szCs w:val="24"/>
          <w:lang w:val="en-GB" w:eastAsia="en-US"/>
        </w:rPr>
        <w:t>Shanghai Qi Zhi Institute</w:t>
      </w:r>
      <w:r>
        <w:rPr>
          <w:rFonts w:hint="eastAsia" w:cs="Times New Roman"/>
          <w:kern w:val="0"/>
          <w:szCs w:val="24"/>
        </w:rPr>
        <w:t xml:space="preserve">, </w:t>
      </w:r>
      <w:r>
        <w:rPr>
          <w:rFonts w:hint="eastAsia" w:eastAsia="Times New Roman" w:cs="Times New Roman"/>
          <w:kern w:val="0"/>
          <w:szCs w:val="24"/>
          <w:lang w:val="en-GB" w:eastAsia="en-US"/>
        </w:rPr>
        <w:t>Shanghai, 200232, China</w:t>
      </w: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  <w:r>
        <w:rPr>
          <w:vertAlign w:val="superscript"/>
          <w:lang w:val="en-GB"/>
        </w:rPr>
        <w:t>4</w:t>
      </w:r>
      <w:r>
        <w:rPr>
          <w:lang w:val="en-GB"/>
        </w:rPr>
        <w:t>Light Industry Insititute of Electrochemical Power Sources, Soochow University, Suzhou 215006, China</w:t>
      </w: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rFonts w:eastAsia="宋体"/>
          <w:lang w:eastAsia="zh-CN"/>
        </w:rPr>
      </w:pPr>
      <w:r>
        <w:rPr>
          <w:rFonts w:hint="eastAsia" w:asciiTheme="minorEastAsia" w:hAnsiTheme="minorEastAsia" w:eastAsiaTheme="minorEastAsia"/>
          <w:vertAlign w:val="superscript"/>
          <w:lang w:val="en-GB" w:eastAsia="zh-CN"/>
        </w:rPr>
        <w:t>5</w:t>
      </w:r>
      <w:r>
        <w:rPr>
          <w:lang w:val="en-GB"/>
        </w:rPr>
        <w:t>Key Lab of Advanced Optical Manufacturing Technologies of Jiangsu Province &amp; Key Lab of Modern Optical Technologies of Education Ministry of China, Soochow University, Suzhou 215006, China</w:t>
      </w:r>
    </w:p>
    <w:bookmarkEnd w:id="0"/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pStyle w:val="27"/>
        <w:adjustRightInd w:val="0"/>
        <w:snapToGrid w:val="0"/>
        <w:spacing w:before="0" w:line="300" w:lineRule="auto"/>
        <w:ind w:firstLine="0"/>
        <w:jc w:val="both"/>
        <w:rPr>
          <w:lang w:val="en-GB"/>
        </w:rPr>
      </w:pPr>
    </w:p>
    <w:p>
      <w:pPr>
        <w:jc w:val="center"/>
        <w:rPr>
          <w:lang w:val="en-GB"/>
        </w:rPr>
      </w:pPr>
      <w:r>
        <w:rPr>
          <w:lang w:val="en-GB"/>
        </w:rPr>
        <w:t xml:space="preserve">Table S1: Twenty-three atomic features </w:t>
      </w:r>
      <w:r>
        <w:rPr>
          <w:b/>
          <w:bCs/>
          <w:lang w:val="en-GB"/>
        </w:rPr>
        <w:t>C</w:t>
      </w:r>
      <w:r>
        <w:rPr>
          <w:bCs/>
          <w:lang w:val="en-GB"/>
        </w:rPr>
        <w:t>.</w:t>
      </w:r>
    </w:p>
    <w:tbl>
      <w:tblPr>
        <w:tblStyle w:val="28"/>
        <w:tblW w:w="5000" w:type="pct"/>
        <w:tblInd w:w="0" w:type="dxa"/>
        <w:tblBorders>
          <w:top w:val="double" w:color="auto" w:sz="4" w:space="0"/>
          <w:left w:val="none" w:color="auto" w:sz="0" w:space="0"/>
          <w:bottom w:val="double" w:color="auto" w:sz="4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0"/>
        <w:gridCol w:w="7471"/>
        <w:gridCol w:w="1421"/>
      </w:tblGrid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double" w:color="auto" w:sz="4" w:space="0"/>
              <w:left w:val="nil"/>
              <w:bottom w:val="single" w:color="auto" w:sz="4" w:space="0"/>
              <w:right w:val="nil"/>
              <w:insideH w:val="single" w:sz="4" w:space="0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#</w:t>
            </w:r>
          </w:p>
        </w:tc>
        <w:tc>
          <w:tcPr>
            <w:tcW w:w="3749" w:type="pct"/>
            <w:tcBorders>
              <w:top w:val="double" w:color="auto" w:sz="4" w:space="0"/>
              <w:left w:val="nil"/>
              <w:bottom w:val="single" w:color="auto" w:sz="4" w:space="0"/>
              <w:right w:val="nil"/>
              <w:insideH w:val="single" w:sz="4" w:space="0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Property</w:t>
            </w:r>
          </w:p>
        </w:tc>
        <w:tc>
          <w:tcPr>
            <w:tcW w:w="713" w:type="pct"/>
            <w:tcBorders>
              <w:top w:val="double" w:color="auto" w:sz="4" w:space="0"/>
              <w:left w:val="nil"/>
              <w:bottom w:val="single" w:color="auto" w:sz="4" w:space="0"/>
              <w:right w:val="nil"/>
              <w:insideH w:val="single" w:sz="4" w:space="0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Unit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1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Atomic number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-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2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Group number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-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3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Period number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-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4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atomic mass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-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5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density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g/cm</w:t>
            </w:r>
            <w:r>
              <w:rPr>
                <w:kern w:val="0"/>
                <w:szCs w:val="20"/>
                <w:vertAlign w:val="superscript"/>
                <w:lang w:val="en-GB"/>
              </w:rPr>
              <w:t>3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6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volume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cm</w:t>
            </w:r>
            <w:r>
              <w:rPr>
                <w:kern w:val="0"/>
                <w:szCs w:val="20"/>
                <w:vertAlign w:val="superscript"/>
                <w:lang w:val="en-GB"/>
              </w:rPr>
              <w:t>3</w:t>
            </w:r>
            <w:r>
              <w:rPr>
                <w:kern w:val="0"/>
                <w:szCs w:val="20"/>
                <w:lang w:val="en-GB"/>
              </w:rPr>
              <w:t>/mol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7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atomic radii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pm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8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van der Waals radii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pm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9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covalent radii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pm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10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melt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K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11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boil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K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12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specific heat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J</w:t>
            </w:r>
            <w:r>
              <w:rPr>
                <w:rFonts w:cs="Times New Roman"/>
                <w:kern w:val="0"/>
                <w:szCs w:val="20"/>
                <w:lang w:val="en-GB"/>
              </w:rPr>
              <w:t>∙</w:t>
            </w:r>
            <w:r>
              <w:rPr>
                <w:kern w:val="0"/>
                <w:szCs w:val="20"/>
                <w:lang w:val="en-GB"/>
              </w:rPr>
              <w:t>g</w:t>
            </w:r>
            <w:r>
              <w:rPr>
                <w:kern w:val="0"/>
                <w:szCs w:val="20"/>
                <w:vertAlign w:val="superscript"/>
                <w:lang w:val="en-GB"/>
              </w:rPr>
              <w:t>-1</w:t>
            </w:r>
            <w:r>
              <w:rPr>
                <w:rFonts w:cs="Times New Roman"/>
                <w:kern w:val="0"/>
                <w:szCs w:val="20"/>
                <w:lang w:val="en-GB"/>
              </w:rPr>
              <w:t>∙</w:t>
            </w:r>
            <w:r>
              <w:rPr>
                <w:kern w:val="0"/>
                <w:szCs w:val="20"/>
                <w:lang w:val="en-GB"/>
              </w:rPr>
              <w:t>K</w:t>
            </w:r>
            <w:r>
              <w:rPr>
                <w:kern w:val="0"/>
                <w:szCs w:val="20"/>
                <w:vertAlign w:val="superscript"/>
                <w:lang w:val="en-GB"/>
              </w:rPr>
              <w:t>-1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13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Pauling electronegativity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 xml:space="preserve">- 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14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first ionization energy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eV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15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dipole polarizability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a. u.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16-19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the number of outer shell electrons in s, p, d, f orbitals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-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20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element valence state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-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21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the number of valence electrons in POTCAR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-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22</w:t>
            </w:r>
          </w:p>
        </w:tc>
        <w:tc>
          <w:tcPr>
            <w:tcW w:w="374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LDAUU</w:t>
            </w:r>
          </w:p>
        </w:tc>
        <w:tc>
          <w:tcPr>
            <w:tcW w:w="7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-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7" w:type="pct"/>
            <w:tcBorders>
              <w:top w:val="nil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23</w:t>
            </w:r>
          </w:p>
        </w:tc>
        <w:tc>
          <w:tcPr>
            <w:tcW w:w="3749" w:type="pct"/>
            <w:tcBorders>
              <w:top w:val="nil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MAGMOM</w:t>
            </w:r>
          </w:p>
        </w:tc>
        <w:tc>
          <w:tcPr>
            <w:tcW w:w="713" w:type="pct"/>
            <w:tcBorders>
              <w:top w:val="nil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-</w:t>
            </w:r>
          </w:p>
        </w:tc>
      </w:tr>
    </w:tbl>
    <w:p>
      <w:pPr>
        <w:rPr>
          <w:lang w:val="en-GB"/>
        </w:rPr>
      </w:pPr>
    </w:p>
    <w:p>
      <w:pPr>
        <w:jc w:val="center"/>
        <w:rPr>
          <w:lang w:val="en-GB"/>
        </w:rPr>
      </w:pPr>
      <w:r>
        <w:rPr>
          <w:lang w:val="en-GB"/>
        </w:rPr>
        <w:t xml:space="preserve">Table S2: Six cell feature </w:t>
      </w:r>
      <w:r>
        <w:rPr>
          <w:b/>
          <w:bCs/>
          <w:lang w:val="en-GB"/>
        </w:rPr>
        <w:t>L</w:t>
      </w:r>
    </w:p>
    <w:tbl>
      <w:tblPr>
        <w:tblStyle w:val="28"/>
        <w:tblW w:w="5000" w:type="pct"/>
        <w:tblInd w:w="0" w:type="dxa"/>
        <w:tblBorders>
          <w:top w:val="double" w:color="auto" w:sz="4" w:space="0"/>
          <w:left w:val="none" w:color="auto" w:sz="0" w:space="0"/>
          <w:bottom w:val="double" w:color="auto" w:sz="4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46"/>
        <w:gridCol w:w="4176"/>
        <w:gridCol w:w="3640"/>
      </w:tblGrid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7" w:type="pct"/>
            <w:tcBorders>
              <w:top w:val="double" w:color="auto" w:sz="4" w:space="0"/>
              <w:left w:val="nil"/>
              <w:bottom w:val="single" w:color="auto" w:sz="4" w:space="0"/>
              <w:right w:val="nil"/>
              <w:insideH w:val="single" w:sz="4" w:space="0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#</w:t>
            </w:r>
          </w:p>
        </w:tc>
        <w:tc>
          <w:tcPr>
            <w:tcW w:w="2096" w:type="pct"/>
            <w:tcBorders>
              <w:top w:val="double" w:color="auto" w:sz="4" w:space="0"/>
              <w:left w:val="nil"/>
              <w:bottom w:val="single" w:color="auto" w:sz="4" w:space="0"/>
              <w:right w:val="nil"/>
              <w:insideH w:val="single" w:sz="4" w:space="0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Property</w:t>
            </w:r>
          </w:p>
        </w:tc>
        <w:tc>
          <w:tcPr>
            <w:tcW w:w="1827" w:type="pct"/>
            <w:tcBorders>
              <w:top w:val="double" w:color="auto" w:sz="4" w:space="0"/>
              <w:left w:val="nil"/>
              <w:bottom w:val="single" w:color="auto" w:sz="4" w:space="0"/>
              <w:right w:val="nil"/>
              <w:insideH w:val="single" w:sz="4" w:space="0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Unit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1-3</w:t>
            </w:r>
          </w:p>
        </w:tc>
        <w:tc>
          <w:tcPr>
            <w:tcW w:w="209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i/>
                <w:kern w:val="0"/>
                <w:szCs w:val="20"/>
                <w:lang w:val="en-GB"/>
              </w:rPr>
              <w:t>a</w:t>
            </w:r>
            <w:r>
              <w:rPr>
                <w:kern w:val="0"/>
                <w:szCs w:val="20"/>
                <w:lang w:val="en-GB"/>
              </w:rPr>
              <w:t xml:space="preserve">, </w:t>
            </w:r>
            <w:r>
              <w:rPr>
                <w:i/>
                <w:kern w:val="0"/>
                <w:szCs w:val="20"/>
                <w:lang w:val="en-GB"/>
              </w:rPr>
              <w:t>b</w:t>
            </w:r>
            <w:r>
              <w:rPr>
                <w:kern w:val="0"/>
                <w:szCs w:val="20"/>
                <w:lang w:val="en-GB"/>
              </w:rPr>
              <w:t xml:space="preserve">, </w:t>
            </w:r>
            <w:r>
              <w:rPr>
                <w:i/>
                <w:kern w:val="0"/>
                <w:szCs w:val="20"/>
                <w:lang w:val="en-GB"/>
              </w:rPr>
              <w:t>c</w:t>
            </w:r>
          </w:p>
        </w:tc>
        <w:tc>
          <w:tcPr>
            <w:tcW w:w="182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rFonts w:cs="Times New Roman"/>
                <w:kern w:val="0"/>
                <w:szCs w:val="20"/>
                <w:lang w:val="en-GB"/>
              </w:rPr>
              <w:t>Å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7" w:type="pct"/>
            <w:tcBorders>
              <w:top w:val="nil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4-6</w:t>
            </w:r>
          </w:p>
        </w:tc>
        <w:tc>
          <w:tcPr>
            <w:tcW w:w="2096" w:type="pct"/>
            <w:tcBorders>
              <w:top w:val="nil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rFonts w:cs="Times New Roman"/>
                <w:kern w:val="0"/>
                <w:szCs w:val="20"/>
                <w:lang w:val="en-GB"/>
              </w:rPr>
            </w:pPr>
            <w:r>
              <w:rPr>
                <w:rFonts w:cs="Times New Roman"/>
                <w:i/>
                <w:kern w:val="0"/>
                <w:szCs w:val="20"/>
                <w:lang w:val="en-GB"/>
              </w:rPr>
              <w:t>α</w:t>
            </w:r>
            <w:r>
              <w:rPr>
                <w:rFonts w:cs="Times New Roman"/>
                <w:kern w:val="0"/>
                <w:szCs w:val="20"/>
                <w:lang w:val="en-GB"/>
              </w:rPr>
              <w:t xml:space="preserve">, </w:t>
            </w:r>
            <w:r>
              <w:rPr>
                <w:rFonts w:cs="Times New Roman"/>
                <w:i/>
                <w:kern w:val="0"/>
                <w:szCs w:val="20"/>
                <w:lang w:val="en-GB"/>
              </w:rPr>
              <w:t>β</w:t>
            </w:r>
            <w:r>
              <w:rPr>
                <w:rFonts w:cs="Times New Roman"/>
                <w:kern w:val="0"/>
                <w:szCs w:val="20"/>
                <w:lang w:val="en-GB"/>
              </w:rPr>
              <w:t xml:space="preserve">, </w:t>
            </w:r>
            <w:r>
              <w:rPr>
                <w:rFonts w:cs="Times New Roman"/>
                <w:i/>
                <w:kern w:val="0"/>
                <w:szCs w:val="20"/>
                <w:lang w:val="en-GB"/>
              </w:rPr>
              <w:t>γ</w:t>
            </w:r>
          </w:p>
        </w:tc>
        <w:tc>
          <w:tcPr>
            <w:tcW w:w="1827" w:type="pct"/>
            <w:tcBorders>
              <w:top w:val="nil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Degree</w:t>
            </w:r>
          </w:p>
        </w:tc>
      </w:tr>
    </w:tbl>
    <w:p>
      <w:pPr>
        <w:rPr>
          <w:lang w:val="en-GB"/>
        </w:rPr>
      </w:pPr>
    </w:p>
    <w:p>
      <w:pPr>
        <w:jc w:val="center"/>
        <w:rPr>
          <w:lang w:val="en-GB"/>
        </w:rPr>
      </w:pPr>
      <w:r>
        <w:rPr>
          <w:lang w:val="en-GB"/>
        </w:rPr>
        <w:t>Table S3: Four lattice features derived from atomic coordinates {</w:t>
      </w:r>
      <w:r>
        <w:rPr>
          <w:b/>
          <w:bCs/>
          <w:lang w:val="en-GB"/>
        </w:rPr>
        <w:t>R</w:t>
      </w:r>
      <w:r>
        <w:rPr>
          <w:vertAlign w:val="subscript"/>
          <w:lang w:val="en-GB"/>
        </w:rPr>
        <w:t>i</w:t>
      </w:r>
      <w:r>
        <w:rPr>
          <w:lang w:val="en-GB"/>
        </w:rPr>
        <w:t xml:space="preserve">} and cell feature </w:t>
      </w:r>
      <w:r>
        <w:rPr>
          <w:b/>
          <w:bCs/>
          <w:lang w:val="en-GB"/>
        </w:rPr>
        <w:t>L</w:t>
      </w:r>
    </w:p>
    <w:tbl>
      <w:tblPr>
        <w:tblStyle w:val="28"/>
        <w:tblW w:w="5000" w:type="pct"/>
        <w:tblInd w:w="0" w:type="dxa"/>
        <w:tblBorders>
          <w:top w:val="double" w:color="auto" w:sz="4" w:space="0"/>
          <w:left w:val="none" w:color="auto" w:sz="0" w:space="0"/>
          <w:bottom w:val="double" w:color="auto" w:sz="4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7"/>
        <w:gridCol w:w="7960"/>
        <w:gridCol w:w="1315"/>
      </w:tblGrid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5" w:type="pct"/>
            <w:tcBorders>
              <w:top w:val="double" w:color="auto" w:sz="4" w:space="0"/>
              <w:left w:val="nil"/>
              <w:bottom w:val="single" w:color="auto" w:sz="4" w:space="0"/>
              <w:right w:val="nil"/>
              <w:insideH w:val="single" w:sz="4" w:space="0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#</w:t>
            </w:r>
          </w:p>
        </w:tc>
        <w:tc>
          <w:tcPr>
            <w:tcW w:w="3995" w:type="pct"/>
            <w:tcBorders>
              <w:top w:val="double" w:color="auto" w:sz="4" w:space="0"/>
              <w:left w:val="nil"/>
              <w:bottom w:val="single" w:color="auto" w:sz="4" w:space="0"/>
              <w:right w:val="nil"/>
              <w:insideH w:val="single" w:sz="4" w:space="0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Property</w:t>
            </w:r>
          </w:p>
        </w:tc>
        <w:tc>
          <w:tcPr>
            <w:tcW w:w="660" w:type="pct"/>
            <w:tcBorders>
              <w:top w:val="double" w:color="auto" w:sz="4" w:space="0"/>
              <w:left w:val="nil"/>
              <w:bottom w:val="single" w:color="auto" w:sz="4" w:space="0"/>
              <w:right w:val="nil"/>
              <w:insideH w:val="single" w:sz="4" w:space="0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Unit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1</w:t>
            </w:r>
          </w:p>
        </w:tc>
        <w:tc>
          <w:tcPr>
            <w:tcW w:w="399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Atom spatial distance</w:t>
            </w: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rFonts w:cs="Times New Roman"/>
                <w:kern w:val="0"/>
                <w:szCs w:val="20"/>
                <w:lang w:val="en-GB"/>
              </w:rPr>
              <w:t>Å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2</w:t>
            </w:r>
          </w:p>
        </w:tc>
        <w:tc>
          <w:tcPr>
            <w:tcW w:w="399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Area of the Voronoi polyhedron</w:t>
            </w: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rFonts w:cs="Times New Roman"/>
                <w:kern w:val="0"/>
                <w:szCs w:val="20"/>
                <w:lang w:val="en-GB"/>
              </w:rPr>
              <w:t>Å</w:t>
            </w:r>
            <w:r>
              <w:rPr>
                <w:kern w:val="0"/>
                <w:szCs w:val="20"/>
                <w:vertAlign w:val="superscript"/>
                <w:lang w:val="en-GB"/>
              </w:rPr>
              <w:t>2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3</w:t>
            </w:r>
          </w:p>
        </w:tc>
        <w:tc>
          <w:tcPr>
            <w:tcW w:w="399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Volume of the Voronoi polyhedron</w:t>
            </w: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rFonts w:cs="Times New Roman"/>
                <w:kern w:val="0"/>
                <w:szCs w:val="20"/>
                <w:lang w:val="en-GB"/>
              </w:rPr>
              <w:t>Å</w:t>
            </w:r>
            <w:r>
              <w:rPr>
                <w:kern w:val="0"/>
                <w:szCs w:val="20"/>
                <w:vertAlign w:val="superscript"/>
                <w:lang w:val="en-GB"/>
              </w:rPr>
              <w:t>3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5" w:type="pct"/>
            <w:tcBorders>
              <w:top w:val="nil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4</w:t>
            </w:r>
          </w:p>
        </w:tc>
        <w:tc>
          <w:tcPr>
            <w:tcW w:w="3995" w:type="pct"/>
            <w:tcBorders>
              <w:top w:val="nil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Solid angle of the Voronoi polyhedron</w:t>
            </w:r>
          </w:p>
        </w:tc>
        <w:tc>
          <w:tcPr>
            <w:tcW w:w="660" w:type="pct"/>
            <w:tcBorders>
              <w:top w:val="nil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spacing w:line="276" w:lineRule="auto"/>
              <w:jc w:val="center"/>
              <w:rPr>
                <w:kern w:val="0"/>
                <w:szCs w:val="20"/>
                <w:lang w:val="en-GB"/>
              </w:rPr>
            </w:pPr>
            <w:r>
              <w:rPr>
                <w:kern w:val="0"/>
                <w:szCs w:val="20"/>
                <w:lang w:val="en-GB"/>
              </w:rPr>
              <w:t>Sterradian</w:t>
            </w:r>
          </w:p>
        </w:tc>
      </w:tr>
    </w:tbl>
    <w:p>
      <w:pPr>
        <w:rPr>
          <w:lang w:val="en-GB"/>
        </w:rPr>
      </w:pPr>
    </w:p>
    <w:p>
      <w:pPr>
        <w:rPr>
          <w:lang w:val="en-GB"/>
        </w:rPr>
      </w:pPr>
    </w:p>
    <w:p>
      <w:r>
        <w:rPr>
          <w:lang w:val="en-GB"/>
        </w:rPr>
        <w:t xml:space="preserve"> </w:t>
      </w:r>
      <w:r>
        <w:drawing>
          <wp:inline distT="0" distB="0" distL="0" distR="0">
            <wp:extent cx="6158865" cy="2878455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8898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b/>
          <w:bCs/>
        </w:rPr>
        <w:t>Figure</w:t>
      </w:r>
      <w:r>
        <w:t xml:space="preserve"> S2. GN-predicted formation enthalpies and DFT-calculated total energies for random CaS structure in every 50</w:t>
      </w:r>
      <w:r>
        <w:rPr>
          <w:color w:val="FF0000"/>
        </w:rPr>
        <w:t xml:space="preserve"> </w:t>
      </w:r>
      <w:r>
        <w:t xml:space="preserve">RAS steps. The DFT-calculated total energies are realigned for eye-guding comparisons. </w:t>
      </w:r>
    </w:p>
    <w:p>
      <w:pPr>
        <w:rPr>
          <w:lang w:val="en-GB"/>
        </w:rPr>
      </w:pPr>
    </w:p>
    <w:p>
      <w:pPr>
        <w:rPr>
          <w:lang w:val="en-GB"/>
        </w:rPr>
      </w:pPr>
    </w:p>
    <w:p>
      <w:pPr>
        <w:rPr>
          <w:lang w:val="en-GB"/>
        </w:rPr>
      </w:pPr>
    </w:p>
    <w:p>
      <w:pPr>
        <w:rPr>
          <w:lang w:val="en-GB"/>
        </w:rPr>
      </w:pPr>
    </w:p>
    <w:p>
      <w:pPr>
        <w:rPr>
          <w:lang w:val="en-GB"/>
        </w:rPr>
      </w:pPr>
    </w:p>
    <w:p>
      <w:pPr>
        <w:rPr>
          <w:lang w:val="en-GB"/>
        </w:rPr>
      </w:pPr>
    </w:p>
    <w:p>
      <w:pPr>
        <w:rPr>
          <w:lang w:val="en-GB"/>
        </w:rPr>
      </w:pPr>
    </w:p>
    <w:p>
      <w:pPr>
        <w:rPr>
          <w:lang w:val="en-GB"/>
        </w:rPr>
      </w:pPr>
      <w:r>
        <w:drawing>
          <wp:inline distT="0" distB="0" distL="114300" distR="114300">
            <wp:extent cx="6126480" cy="3641090"/>
            <wp:effectExtent l="0" t="0" r="7620" b="0"/>
            <wp:docPr id="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7069" cy="364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color w:val="FF0000"/>
          <w:lang w:val="en-GB"/>
        </w:rPr>
      </w:pPr>
      <w:bookmarkStart w:id="1" w:name="_Hlk56693554"/>
      <w:r>
        <w:rPr>
          <w:b/>
          <w:bCs/>
          <w:lang w:val="en-GB"/>
        </w:rPr>
        <w:t>Figure</w:t>
      </w:r>
      <w:r>
        <w:rPr>
          <w:lang w:val="en-GB"/>
        </w:rPr>
        <w:t xml:space="preserve"> S3. </w:t>
      </w:r>
      <w:bookmarkStart w:id="2" w:name="_Hlk56934483"/>
      <w:r>
        <w:t>The process of GN-BOSS approach to search the crystal structure of CaS.</w:t>
      </w:r>
      <w:bookmarkEnd w:id="2"/>
      <w:r>
        <w:t xml:space="preserve"> Typical structures derived from GN-BOSS process are shown in (b-h). This is an extension of searching step from 7500 (Figure 3) to 20000, to show the tiny structural refinement from (e) to (h).</w:t>
      </w:r>
    </w:p>
    <w:bookmarkEnd w:id="1"/>
    <w:p>
      <w:pPr>
        <w:rPr>
          <w:lang w:val="en-GB"/>
        </w:rPr>
      </w:pPr>
    </w:p>
    <w:p/>
    <w:p/>
    <w:p/>
    <w:p/>
    <w:p/>
    <w:p/>
    <w:p/>
    <w:p/>
    <w:p/>
    <w:p/>
    <w:p/>
    <w:p/>
    <w:p/>
    <w:p/>
    <w:p/>
    <w:p>
      <w:pPr>
        <w:rPr>
          <w:lang w:val="en-GB"/>
        </w:rPr>
      </w:pPr>
    </w:p>
    <w:tbl>
      <w:tblPr>
        <w:tblStyle w:val="28"/>
        <w:tblW w:w="5000" w:type="pct"/>
        <w:tblInd w:w="0" w:type="dxa"/>
        <w:tblBorders>
          <w:top w:val="double" w:color="auto" w:sz="4" w:space="0"/>
          <w:left w:val="none" w:color="auto" w:sz="0" w:space="0"/>
          <w:bottom w:val="double" w:color="auto" w:sz="4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8"/>
        <w:gridCol w:w="2308"/>
        <w:gridCol w:w="2186"/>
        <w:gridCol w:w="486"/>
        <w:gridCol w:w="2308"/>
        <w:gridCol w:w="2186"/>
      </w:tblGrid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Header/>
        </w:trPr>
        <w:tc>
          <w:tcPr>
            <w:tcW w:w="245" w:type="pct"/>
            <w:tcBorders>
              <w:top w:val="double" w:color="auto" w:sz="4" w:space="0"/>
              <w:left w:val="nil"/>
              <w:bottom w:val="single" w:color="auto" w:sz="4" w:space="0"/>
              <w:right w:val="nil"/>
              <w:insideH w:val="single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b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b/>
                <w:kern w:val="0"/>
                <w:sz w:val="21"/>
                <w:szCs w:val="21"/>
                <w:lang w:val="en-GB"/>
              </w:rPr>
              <w:t>#</w:t>
            </w:r>
          </w:p>
        </w:tc>
        <w:tc>
          <w:tcPr>
            <w:tcW w:w="1158" w:type="pct"/>
            <w:tcBorders>
              <w:top w:val="double" w:color="auto" w:sz="4" w:space="0"/>
              <w:left w:val="nil"/>
              <w:bottom w:val="single" w:color="auto" w:sz="4" w:space="0"/>
              <w:right w:val="nil"/>
              <w:insideH w:val="single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b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b/>
                <w:kern w:val="0"/>
                <w:sz w:val="21"/>
                <w:szCs w:val="21"/>
                <w:lang w:val="en-GB"/>
              </w:rPr>
              <w:t>Prototype structure</w:t>
            </w:r>
          </w:p>
        </w:tc>
        <w:tc>
          <w:tcPr>
            <w:tcW w:w="1097" w:type="pct"/>
            <w:tcBorders>
              <w:top w:val="double" w:color="auto" w:sz="4" w:space="0"/>
              <w:left w:val="nil"/>
              <w:bottom w:val="single" w:color="auto" w:sz="4" w:space="0"/>
              <w:right w:val="single" w:color="auto" w:sz="4" w:space="0"/>
              <w:insideH w:val="single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b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b/>
                <w:kern w:val="0"/>
                <w:sz w:val="21"/>
                <w:szCs w:val="21"/>
                <w:lang w:val="en-GB"/>
              </w:rPr>
              <w:t>Relaxed structure</w:t>
            </w:r>
          </w:p>
        </w:tc>
        <w:tc>
          <w:tcPr>
            <w:tcW w:w="244" w:type="pct"/>
            <w:tcBorders>
              <w:top w:val="double" w:color="auto" w:sz="4" w:space="0"/>
              <w:left w:val="single" w:color="auto" w:sz="4" w:space="0"/>
              <w:bottom w:val="single" w:color="auto" w:sz="4" w:space="0"/>
              <w:right w:val="nil"/>
              <w:insideH w:val="single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b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b/>
                <w:kern w:val="0"/>
                <w:sz w:val="21"/>
                <w:szCs w:val="21"/>
                <w:lang w:val="en-GB"/>
              </w:rPr>
              <w:t>#</w:t>
            </w:r>
          </w:p>
        </w:tc>
        <w:tc>
          <w:tcPr>
            <w:tcW w:w="1158" w:type="pct"/>
            <w:tcBorders>
              <w:top w:val="double" w:color="auto" w:sz="4" w:space="0"/>
              <w:left w:val="nil"/>
              <w:bottom w:val="single" w:color="auto" w:sz="4" w:space="0"/>
              <w:right w:val="nil"/>
              <w:insideH w:val="single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b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b/>
                <w:kern w:val="0"/>
                <w:sz w:val="21"/>
                <w:szCs w:val="21"/>
                <w:lang w:val="en-GB"/>
              </w:rPr>
              <w:t>Prototype structure</w:t>
            </w:r>
          </w:p>
        </w:tc>
        <w:tc>
          <w:tcPr>
            <w:tcW w:w="1097" w:type="pct"/>
            <w:tcBorders>
              <w:top w:val="double" w:color="auto" w:sz="4" w:space="0"/>
              <w:left w:val="nil"/>
              <w:bottom w:val="single" w:color="auto" w:sz="4" w:space="0"/>
              <w:right w:val="nil"/>
              <w:insideH w:val="single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b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b/>
                <w:kern w:val="0"/>
                <w:sz w:val="21"/>
                <w:szCs w:val="21"/>
                <w:lang w:val="en-GB"/>
              </w:rPr>
              <w:t>Relaxed structure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1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349885" cy="898525"/>
                  <wp:effectExtent l="0" t="7620" r="4445" b="4445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349885" cy="89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166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R</m:t>
              </m:r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  <w:lang w:val="en-GB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single" w:color="auto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540385" cy="540385"/>
                  <wp:effectExtent l="38100" t="38100" r="31115" b="31115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54038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225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Fm</m:t>
              </m:r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  <w:lang w:val="en-GB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  <w:tc>
          <w:tcPr>
            <w:tcW w:w="244" w:type="pct"/>
            <w:tcBorders>
              <w:top w:val="nil"/>
              <w:left w:val="single" w:color="auto" w:sz="4" w:space="0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2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461010" cy="612140"/>
                  <wp:effectExtent l="0" t="0" r="0" b="0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216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F</m:t>
              </m:r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4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3m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492760" cy="612140"/>
                  <wp:effectExtent l="0" t="0" r="2540" b="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76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216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F</m:t>
              </m:r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4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3m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3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691515" cy="612140"/>
                  <wp:effectExtent l="0" t="0" r="0" b="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51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221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Pm</m:t>
              </m:r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  <w:lang w:val="en-GB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single" w:color="auto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628015" cy="612140"/>
                  <wp:effectExtent l="0" t="0" r="635" b="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01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221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Pm</m:t>
              </m:r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  <w:lang w:val="en-GB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  <w:tc>
          <w:tcPr>
            <w:tcW w:w="244" w:type="pct"/>
            <w:tcBorders>
              <w:top w:val="nil"/>
              <w:left w:val="single" w:color="auto" w:sz="4" w:space="0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4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882650" cy="612140"/>
                  <wp:effectExtent l="0" t="0" r="0" b="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5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187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P</m:t>
              </m:r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  <w:lang w:val="en-GB"/>
                    </w:rPr>
                    <m:t>6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m2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1041400" cy="612140"/>
                  <wp:effectExtent l="0" t="0" r="6350" b="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187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P</m:t>
              </m:r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  <w:lang w:val="en-GB"/>
                    </w:rPr>
                    <m:t>6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m2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5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906145" cy="612140"/>
                  <wp:effectExtent l="0" t="0" r="8255" b="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14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160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R3m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single" w:color="auto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977900" cy="612140"/>
                  <wp:effectExtent l="0" t="0" r="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90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216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F</m:t>
              </m:r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4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3m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244" w:type="pct"/>
            <w:tcBorders>
              <w:top w:val="nil"/>
              <w:left w:val="single" w:color="auto" w:sz="4" w:space="0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6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922655" cy="612140"/>
                  <wp:effectExtent l="0" t="0" r="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65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25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Pmm2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564515" cy="612140"/>
                  <wp:effectExtent l="0" t="0" r="6985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51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25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Pmm2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7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461010" cy="612140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187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P</m:t>
              </m:r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  <w:lang w:val="en-GB"/>
                    </w:rPr>
                    <m:t>6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m2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single" w:color="auto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755650" cy="612140"/>
                  <wp:effectExtent l="0" t="0" r="6350" b="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  <w:lang w:val="en-GB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187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P</m:t>
              </m:r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  <w:lang w:val="en-GB"/>
                    </w:rPr>
                    <m:t>6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m2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  <w:tc>
          <w:tcPr>
            <w:tcW w:w="244" w:type="pct"/>
            <w:tcBorders>
              <w:top w:val="nil"/>
              <w:left w:val="single" w:color="auto" w:sz="4" w:space="0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8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1216660" cy="612140"/>
                  <wp:effectExtent l="0" t="0" r="254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66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59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Pmmn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540385" cy="612140"/>
                  <wp:effectExtent l="40323" t="35877" r="33337" b="33338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540385" cy="6121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225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Fm</m:t>
              </m:r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  <w:lang w:val="en-GB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9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882650" cy="612140"/>
                  <wp:effectExtent l="0" t="0" r="0" b="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5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59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Pmmn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single" w:color="auto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723265" cy="540385"/>
                  <wp:effectExtent l="38100" t="38100" r="38735" b="31115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265" cy="54038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225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Fm</m:t>
              </m:r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  <w:lang w:val="en-GB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  <w:tc>
          <w:tcPr>
            <w:tcW w:w="244" w:type="pct"/>
            <w:tcBorders>
              <w:top w:val="nil"/>
              <w:left w:val="single" w:color="auto" w:sz="4" w:space="0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10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540385" cy="612140"/>
                  <wp:effectExtent l="0" t="0" r="0" b="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131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P</m:t>
              </m:r>
              <m:sSub>
                <m:sSubP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Sub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4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e>
                <m:sub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2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ub>
              </m:sSub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/mmc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572770" cy="612140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77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131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P</m:t>
              </m:r>
              <m:sSub>
                <m:sSubP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Sub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4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e>
                <m:sub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2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ub>
              </m:sSub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/mmc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11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580390" cy="612140"/>
                  <wp:effectExtent l="0" t="0" r="0" b="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39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194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P</m:t>
              </m:r>
              <m:sSub>
                <m:sSubP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Sub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6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e>
                <m:sub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ub>
              </m:sSub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/mmc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single" w:color="auto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572770" cy="612140"/>
                  <wp:effectExtent l="0" t="0" r="0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77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194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P</m:t>
              </m:r>
              <m:sSub>
                <m:sSubP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Sub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6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e>
                <m:sub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ub>
              </m:sSub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/mmc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244" w:type="pct"/>
            <w:tcBorders>
              <w:top w:val="nil"/>
              <w:left w:val="single" w:color="auto" w:sz="4" w:space="0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12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564515" cy="612140"/>
                  <wp:effectExtent l="0" t="0" r="6985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51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166 [</w:t>
            </w:r>
            <w:r>
              <w:rPr>
                <w:rFonts w:ascii="Helvetica" w:hAnsi="Helvetica"/>
                <w:i/>
                <w:kern w:val="0"/>
                <w:sz w:val="18"/>
                <w:szCs w:val="18"/>
                <w:lang w:val="en-GB"/>
              </w:rPr>
              <w:t>R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  <w:lang w:val="en-GB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501015" cy="612140"/>
                  <wp:effectExtent l="0" t="0" r="0" b="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01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166 [</w:t>
            </w:r>
            <w:r>
              <w:rPr>
                <w:rFonts w:ascii="Helvetica" w:hAnsi="Helvetica"/>
                <w:i/>
                <w:kern w:val="0"/>
                <w:sz w:val="18"/>
                <w:szCs w:val="18"/>
                <w:lang w:val="en-GB"/>
              </w:rPr>
              <w:t>R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  <w:lang w:val="en-GB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13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476885" cy="612140"/>
                  <wp:effectExtent l="0" t="0" r="0" b="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88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186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P</m:t>
              </m:r>
              <m:sSub>
                <m:sSubP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Sub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6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e>
                <m:sub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ub>
              </m:sSub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mc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single" w:color="auto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476885" cy="612140"/>
                  <wp:effectExtent l="0" t="0" r="0" b="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88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186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P</m:t>
              </m:r>
              <m:sSub>
                <m:sSubP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Sub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6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e>
                <m:sub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ub>
              </m:sSub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mc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244" w:type="pct"/>
            <w:tcBorders>
              <w:top w:val="nil"/>
              <w:left w:val="single" w:color="auto" w:sz="4" w:space="0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14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675640" cy="612140"/>
                  <wp:effectExtent l="0" t="0" r="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64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71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Immm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675640" cy="612140"/>
                  <wp:effectExtent l="0" t="0" r="0" b="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64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71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Immm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15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540385" cy="612140"/>
                  <wp:effectExtent l="0" t="0" r="0" b="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194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P</m:t>
              </m:r>
              <m:sSub>
                <m:sSubP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Sub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6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e>
                <m:sub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ub>
              </m:sSub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/mmc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single" w:color="auto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643890" cy="612140"/>
                  <wp:effectExtent l="0" t="0" r="3810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89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194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P</m:t>
              </m:r>
              <m:sSub>
                <m:sSubP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Sub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6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e>
                <m:sub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sub>
              </m:sSub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/mmc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244" w:type="pct"/>
            <w:tcBorders>
              <w:top w:val="nil"/>
              <w:left w:val="single" w:color="auto" w:sz="4" w:space="0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16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Cs w:val="20"/>
              </w:rPr>
              <w:drawing>
                <wp:inline distT="0" distB="0" distL="0" distR="0">
                  <wp:extent cx="532765" cy="612140"/>
                  <wp:effectExtent l="0" t="0" r="635" b="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76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166 [</w:t>
            </w:r>
            <w:r>
              <w:rPr>
                <w:rFonts w:ascii="Helvetica" w:hAnsi="Helvetica"/>
                <w:i/>
                <w:kern w:val="0"/>
                <w:sz w:val="18"/>
                <w:szCs w:val="18"/>
                <w:lang w:val="en-GB"/>
              </w:rPr>
              <w:t>R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  <w:lang w:val="en-GB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516890" cy="612140"/>
                  <wp:effectExtent l="0" t="0" r="0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89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166 [</w:t>
            </w:r>
            <w:r>
              <w:rPr>
                <w:rFonts w:ascii="Helvetica" w:hAnsi="Helvetica"/>
                <w:i/>
                <w:kern w:val="0"/>
                <w:sz w:val="18"/>
                <w:szCs w:val="18"/>
                <w:lang w:val="en-GB"/>
              </w:rPr>
              <w:t>R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accPr>
                <m:e>
                  <m:r>
                    <m:rPr/>
                    <w:rPr>
                      <w:rFonts w:ascii="Cambria Math" w:hAnsi="Cambria Math"/>
                      <w:kern w:val="0"/>
                      <w:sz w:val="18"/>
                      <w:szCs w:val="18"/>
                      <w:lang w:val="en-GB"/>
                    </w:rPr>
                    <m:t>3</m:t>
                  </m:r>
                  <m:ctrlPr>
                    <w:rPr>
                      <w:rFonts w:ascii="Cambria Math" w:hAnsi="Cambria Math"/>
                      <w:i/>
                      <w:sz w:val="18"/>
                      <w:szCs w:val="18"/>
                      <w:lang w:val="en-GB"/>
                    </w:rPr>
                  </m:ctrlPr>
                </m:e>
              </m:acc>
              <m:r>
                <m:rPr/>
                <w:rPr>
                  <w:rFonts w:ascii="Cambria Math" w:hAnsi="Cambria Math"/>
                  <w:kern w:val="0"/>
                  <w:sz w:val="18"/>
                  <w:szCs w:val="18"/>
                  <w:lang w:val="en-GB"/>
                </w:rPr>
                <m:t>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  <w:lang w:val="en-GB"/>
              </w:rPr>
              <w:t>]</w:t>
            </w:r>
          </w:p>
        </w:tc>
      </w:tr>
      <w:tr>
        <w:tblPrEx>
          <w:tblBorders>
            <w:top w:val="double" w:color="auto" w:sz="4" w:space="0"/>
            <w:left w:val="none" w:color="auto" w:sz="0" w:space="0"/>
            <w:bottom w:val="doub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5" w:type="pct"/>
            <w:tcBorders>
              <w:top w:val="nil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  <w:lang w:val="en-GB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17</w:t>
            </w:r>
          </w:p>
        </w:tc>
        <w:tc>
          <w:tcPr>
            <w:tcW w:w="1158" w:type="pct"/>
            <w:tcBorders>
              <w:top w:val="nil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501015" cy="612140"/>
                  <wp:effectExtent l="0" t="0" r="0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01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129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P4/nmm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double" w:color="auto" w:sz="4" w:space="0"/>
              <w:right w:val="single" w:color="auto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707390" cy="612140"/>
                  <wp:effectExtent l="0" t="0" r="0" b="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39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129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P4/nmm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244" w:type="pct"/>
            <w:tcBorders>
              <w:top w:val="nil"/>
              <w:left w:val="single" w:color="auto" w:sz="4" w:space="0"/>
              <w:bottom w:val="double" w:color="auto" w:sz="4" w:space="0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21"/>
                <w:szCs w:val="21"/>
              </w:rPr>
            </w:pPr>
            <w:r>
              <w:rPr>
                <w:rFonts w:ascii="Helvetica" w:hAnsi="Helvetica"/>
                <w:kern w:val="0"/>
                <w:sz w:val="21"/>
                <w:szCs w:val="21"/>
                <w:lang w:val="en-GB"/>
              </w:rPr>
              <w:t>18</w:t>
            </w:r>
          </w:p>
        </w:tc>
        <w:tc>
          <w:tcPr>
            <w:tcW w:w="1158" w:type="pct"/>
            <w:tcBorders>
              <w:top w:val="nil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755650" cy="612140"/>
                  <wp:effectExtent l="0" t="0" r="635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63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Cmcm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  <w:tc>
          <w:tcPr>
            <w:tcW w:w="1097" w:type="pct"/>
            <w:tcBorders>
              <w:top w:val="nil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drawing>
                <wp:inline distT="0" distB="0" distL="0" distR="0">
                  <wp:extent cx="930275" cy="612140"/>
                  <wp:effectExtent l="0" t="0" r="3175" b="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40" w:lineRule="auto"/>
              <w:jc w:val="center"/>
              <w:rPr>
                <w:rFonts w:ascii="Helvetica" w:hAnsi="Helvetica"/>
                <w:kern w:val="0"/>
                <w:sz w:val="18"/>
                <w:szCs w:val="18"/>
              </w:rPr>
            </w:pPr>
            <w:r>
              <w:rPr>
                <w:rFonts w:ascii="Helvetica" w:hAnsi="Helvetica"/>
                <w:kern w:val="0"/>
                <w:sz w:val="18"/>
                <w:szCs w:val="18"/>
              </w:rPr>
              <w:t>63 [</w:t>
            </w:r>
            <m:oMath>
              <m:r>
                <m:rPr/>
                <w:rPr>
                  <w:rFonts w:ascii="Cambria Math" w:hAnsi="Cambria Math"/>
                  <w:kern w:val="0"/>
                  <w:sz w:val="18"/>
                  <w:szCs w:val="18"/>
                </w:rPr>
                <m:t>Cmcm</m:t>
              </m:r>
            </m:oMath>
            <w:r>
              <w:rPr>
                <w:rFonts w:ascii="Helvetica" w:hAnsi="Helvetica"/>
                <w:kern w:val="0"/>
                <w:sz w:val="18"/>
                <w:szCs w:val="18"/>
              </w:rPr>
              <w:t>]</w:t>
            </w:r>
          </w:p>
        </w:tc>
      </w:tr>
    </w:tbl>
    <w:p>
      <w:pPr>
        <w:rPr>
          <w:lang w:val="en-GB"/>
        </w:rPr>
      </w:pPr>
      <w:r>
        <w:rPr>
          <w:b/>
          <w:bCs/>
          <w:lang w:val="en-GB"/>
        </w:rPr>
        <w:t>Figure</w:t>
      </w:r>
      <w:r>
        <w:rPr>
          <w:lang w:val="en-GB"/>
        </w:rPr>
        <w:t xml:space="preserve"> S4: Eighteen AB prototype structures with their group number and index for CaS before and after DFT relaxation. The marked red boxes are RS structure.</w:t>
      </w:r>
    </w:p>
    <w:p>
      <w:pPr>
        <w:rPr>
          <w:color w:val="FF0000"/>
          <w:lang w:val="en-GB"/>
        </w:rPr>
      </w:pPr>
    </w:p>
    <w:p>
      <w:pPr>
        <w:jc w:val="center"/>
        <w:rPr>
          <w:b/>
          <w:bCs/>
          <w:lang w:val="en-GB"/>
        </w:rPr>
      </w:pPr>
      <w:r>
        <w:drawing>
          <wp:inline distT="0" distB="0" distL="114300" distR="114300">
            <wp:extent cx="5208905" cy="7746365"/>
            <wp:effectExtent l="0" t="0" r="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774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</w:pPr>
      <w:r>
        <w:rPr>
          <w:b/>
          <w:bCs/>
          <w:lang w:val="en-GB"/>
        </w:rPr>
        <w:t>Figure</w:t>
      </w:r>
      <w:r>
        <w:rPr>
          <w:lang w:val="en-GB"/>
        </w:rPr>
        <w:t xml:space="preserve"> S5. </w:t>
      </w:r>
      <w:r>
        <w:t>The process of GN-</w:t>
      </w:r>
      <w:r>
        <w:rPr>
          <w:rFonts w:hint="eastAsia"/>
        </w:rPr>
        <w:t>RAS (4 atoms),</w:t>
      </w:r>
      <w:r>
        <w:t xml:space="preserve"> GN-</w:t>
      </w:r>
      <w:r>
        <w:rPr>
          <w:rFonts w:hint="eastAsia"/>
        </w:rPr>
        <w:t xml:space="preserve">BO (4 atoms), </w:t>
      </w:r>
      <w:r>
        <w:t>GN-</w:t>
      </w:r>
      <w:r>
        <w:rPr>
          <w:rFonts w:hint="eastAsia"/>
        </w:rPr>
        <w:t xml:space="preserve">PSO (4 atoms) and </w:t>
      </w:r>
      <w:r>
        <w:t>GN-</w:t>
      </w:r>
      <w:r>
        <w:rPr>
          <w:rFonts w:hint="eastAsia"/>
        </w:rPr>
        <w:t xml:space="preserve">BO-SYM (8 atoms) </w:t>
      </w:r>
      <w:r>
        <w:t>approach</w:t>
      </w:r>
      <w:r>
        <w:rPr>
          <w:rFonts w:hint="eastAsia"/>
        </w:rPr>
        <w:t xml:space="preserve">es </w:t>
      </w:r>
      <w:r>
        <w:t>to search the crystal structure</w:t>
      </w:r>
      <w:r>
        <w:rPr>
          <w:rFonts w:hint="eastAsia"/>
        </w:rPr>
        <w:t>s</w:t>
      </w:r>
      <w:r>
        <w:t xml:space="preserve"> of LiF, NaF, KF, </w:t>
      </w:r>
      <w:r>
        <w:rPr>
          <w:rFonts w:hint="eastAsia"/>
        </w:rPr>
        <w:t xml:space="preserve">and </w:t>
      </w:r>
      <w:r>
        <w:t>RbF.</w:t>
      </w:r>
      <w:r>
        <w:rPr>
          <w:rFonts w:hint="eastAsia"/>
        </w:rPr>
        <w:t xml:space="preserve"> Absolute values of </w:t>
      </w:r>
      <w:r>
        <w:rPr>
          <w:rFonts w:cs="Times New Roman"/>
        </w:rPr>
        <w:t>∆</w:t>
      </w:r>
      <w:r>
        <w:rPr>
          <w:rFonts w:hint="eastAsia"/>
        </w:rPr>
        <w:t>H</w:t>
      </w:r>
      <w:r>
        <w:t>’</w:t>
      </w:r>
      <w:r>
        <w:rPr>
          <w:rFonts w:hint="eastAsia"/>
        </w:rPr>
        <w:t xml:space="preserve">s for four approaches have been shifted to guide eyes. Lowest-energy structures within 10,000 steps for each approach have been shown at right side. </w:t>
      </w:r>
    </w:p>
    <w:p>
      <w:pPr>
        <w:jc w:val="center"/>
        <w:rPr>
          <w:color w:val="FF0000"/>
          <w:lang w:val="en-GB"/>
        </w:rPr>
      </w:pPr>
      <w:r>
        <w:drawing>
          <wp:inline distT="0" distB="0" distL="114300" distR="114300">
            <wp:extent cx="5138420" cy="7585075"/>
            <wp:effectExtent l="0" t="0" r="508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420" cy="758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cs="Times New Roman"/>
        </w:rPr>
      </w:pPr>
      <w:r>
        <w:rPr>
          <w:rFonts w:cs="Times New Roman"/>
          <w:b/>
          <w:bCs/>
          <w:lang w:val="en-GB"/>
        </w:rPr>
        <w:t>Figure</w:t>
      </w:r>
      <w:r>
        <w:rPr>
          <w:rFonts w:cs="Times New Roman"/>
          <w:lang w:val="en-GB"/>
        </w:rPr>
        <w:t xml:space="preserve"> S6. </w:t>
      </w:r>
      <w:r>
        <w:rPr>
          <w:rFonts w:cs="Times New Roman"/>
        </w:rPr>
        <w:t>The process of GN-</w:t>
      </w:r>
      <w:r>
        <w:rPr>
          <w:rFonts w:eastAsia="等线" w:cs="Times New Roman"/>
        </w:rPr>
        <w:t>RAS (4 atoms),</w:t>
      </w:r>
      <w:r>
        <w:rPr>
          <w:rFonts w:cs="Times New Roman"/>
        </w:rPr>
        <w:t xml:space="preserve"> GN-</w:t>
      </w:r>
      <w:r>
        <w:rPr>
          <w:rFonts w:eastAsia="等线" w:cs="Times New Roman"/>
        </w:rPr>
        <w:t xml:space="preserve">BO (4 atoms), </w:t>
      </w:r>
      <w:r>
        <w:rPr>
          <w:rFonts w:cs="Times New Roman"/>
        </w:rPr>
        <w:t>GN-</w:t>
      </w:r>
      <w:r>
        <w:rPr>
          <w:rFonts w:eastAsia="等线" w:cs="Times New Roman"/>
        </w:rPr>
        <w:t xml:space="preserve">PSO (4 atoms) and </w:t>
      </w:r>
      <w:r>
        <w:rPr>
          <w:rFonts w:cs="Times New Roman"/>
        </w:rPr>
        <w:t>GN-</w:t>
      </w:r>
      <w:r>
        <w:rPr>
          <w:rFonts w:eastAsia="等线" w:cs="Times New Roman"/>
        </w:rPr>
        <w:t xml:space="preserve">BO-SYM (8 atoms) </w:t>
      </w:r>
      <w:r>
        <w:rPr>
          <w:rFonts w:cs="Times New Roman"/>
        </w:rPr>
        <w:t>approach</w:t>
      </w:r>
      <w:r>
        <w:rPr>
          <w:rFonts w:eastAsia="等线" w:cs="Times New Roman"/>
        </w:rPr>
        <w:t xml:space="preserve">es </w:t>
      </w:r>
      <w:r>
        <w:rPr>
          <w:rFonts w:cs="Times New Roman"/>
        </w:rPr>
        <w:t>to search the crystal structure</w:t>
      </w:r>
      <w:r>
        <w:rPr>
          <w:rFonts w:eastAsia="等线" w:cs="Times New Roman"/>
        </w:rPr>
        <w:t>s</w:t>
      </w:r>
      <w:r>
        <w:rPr>
          <w:rFonts w:cs="Times New Roman"/>
        </w:rPr>
        <w:t xml:space="preserve"> of </w:t>
      </w:r>
      <w:r>
        <w:rPr>
          <w:rFonts w:hint="eastAsia" w:cs="Times New Roman"/>
        </w:rPr>
        <w:t>CsF</w:t>
      </w:r>
      <w:r>
        <w:rPr>
          <w:rFonts w:cs="Times New Roman"/>
        </w:rPr>
        <w:t xml:space="preserve">, </w:t>
      </w:r>
      <w:r>
        <w:rPr>
          <w:rFonts w:hint="eastAsia" w:cs="Times New Roman"/>
        </w:rPr>
        <w:t>LiCl</w:t>
      </w:r>
      <w:r>
        <w:rPr>
          <w:rFonts w:cs="Times New Roman"/>
        </w:rPr>
        <w:t xml:space="preserve">, </w:t>
      </w:r>
      <w:r>
        <w:rPr>
          <w:rFonts w:hint="eastAsia" w:cs="Times New Roman"/>
        </w:rPr>
        <w:t>NaCl</w:t>
      </w:r>
      <w:r>
        <w:rPr>
          <w:rFonts w:cs="Times New Roman"/>
        </w:rPr>
        <w:t xml:space="preserve">, </w:t>
      </w:r>
      <w:r>
        <w:rPr>
          <w:rFonts w:eastAsia="等线" w:cs="Times New Roman"/>
        </w:rPr>
        <w:t xml:space="preserve">and </w:t>
      </w:r>
      <w:r>
        <w:rPr>
          <w:rFonts w:hint="eastAsia" w:eastAsia="等线" w:cs="Times New Roman"/>
        </w:rPr>
        <w:t>KCl</w:t>
      </w:r>
      <w:r>
        <w:rPr>
          <w:rFonts w:cs="Times New Roman"/>
        </w:rPr>
        <w:t>.</w:t>
      </w:r>
      <w:r>
        <w:rPr>
          <w:rFonts w:eastAsia="等线" w:cs="Times New Roman"/>
        </w:rPr>
        <w:t xml:space="preserve"> </w:t>
      </w:r>
      <w:r>
        <w:rPr>
          <w:rFonts w:cs="Times New Roman"/>
        </w:rPr>
        <w:t>Absolute values of ∆H’s for four approaches have been shifted to guide eyes.</w:t>
      </w:r>
      <w:r>
        <w:rPr>
          <w:rFonts w:hint="eastAsia" w:cs="Times New Roman"/>
        </w:rPr>
        <w:t xml:space="preserve"> </w:t>
      </w:r>
      <w:r>
        <w:rPr>
          <w:rFonts w:hint="eastAsia"/>
        </w:rPr>
        <w:t xml:space="preserve">Lowest-energy structures within 10,000 steps for each approach have been shown at right side. </w:t>
      </w:r>
    </w:p>
    <w:p>
      <w:pPr>
        <w:jc w:val="center"/>
        <w:rPr>
          <w:color w:val="FF0000"/>
          <w:lang w:val="en-GB"/>
        </w:rPr>
      </w:pPr>
      <w:r>
        <w:drawing>
          <wp:inline distT="0" distB="0" distL="0" distR="0">
            <wp:extent cx="5210810" cy="7705725"/>
            <wp:effectExtent l="0" t="0" r="889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810" cy="7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</w:pPr>
      <w:r>
        <w:rPr>
          <w:b/>
          <w:bCs/>
          <w:lang w:val="en-GB"/>
        </w:rPr>
        <w:t>Figure</w:t>
      </w:r>
      <w:r>
        <w:rPr>
          <w:lang w:val="en-GB"/>
        </w:rPr>
        <w:t xml:space="preserve"> S7. </w:t>
      </w:r>
      <w:r>
        <w:rPr>
          <w:rFonts w:hint="eastAsia"/>
        </w:rPr>
        <w:t xml:space="preserve">The process of GN-RAS (4 atoms), GN-BO (4 atoms), GN-PSO (4 atoms) and GN-BO-SYM (8 atoms) approaches to search the crystal structures of RbCl, CsCl, BeO, and MgO. Absolute values of </w:t>
      </w:r>
      <w:r>
        <w:rPr>
          <w:rFonts w:cs="Times New Roman"/>
        </w:rPr>
        <w:t>∆</w:t>
      </w:r>
      <w:r>
        <w:rPr>
          <w:rFonts w:hint="eastAsia"/>
        </w:rPr>
        <w:t>H</w:t>
      </w:r>
      <w:r>
        <w:t>’</w:t>
      </w:r>
      <w:r>
        <w:rPr>
          <w:rFonts w:hint="eastAsia"/>
        </w:rPr>
        <w:t xml:space="preserve">s for four approaches have been shifted to guide eyes. Lowest-energy structures within 10,000 steps for each approach have been shown at right side. </w:t>
      </w:r>
    </w:p>
    <w:p>
      <w:pPr>
        <w:jc w:val="center"/>
      </w:pPr>
      <w:r>
        <w:rPr>
          <w:rFonts w:hint="eastAsia"/>
        </w:rPr>
        <w:drawing>
          <wp:inline distT="0" distB="0" distL="0" distR="0">
            <wp:extent cx="5259070" cy="7822565"/>
            <wp:effectExtent l="0" t="0" r="0" b="698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82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</w:pPr>
      <w:r>
        <w:rPr>
          <w:b/>
          <w:bCs/>
          <w:lang w:val="en-GB"/>
        </w:rPr>
        <w:t>Figure</w:t>
      </w:r>
      <w:r>
        <w:rPr>
          <w:lang w:val="en-GB"/>
        </w:rPr>
        <w:t xml:space="preserve"> S</w:t>
      </w:r>
      <w:r>
        <w:rPr>
          <w:rFonts w:hint="eastAsia"/>
        </w:rPr>
        <w:t>8</w:t>
      </w:r>
      <w:r>
        <w:rPr>
          <w:lang w:val="en-GB"/>
        </w:rPr>
        <w:t xml:space="preserve">. </w:t>
      </w:r>
      <w:r>
        <w:rPr>
          <w:rFonts w:hint="eastAsia"/>
        </w:rPr>
        <w:t xml:space="preserve">The process of GN-RAS (4 atoms), GN-BO (4 atoms), GN-PSO (4 atoms) and GN-BO-SYM (8 atoms) approaches to search the crystal structures of CaO, SrO, BaO, and ZnO. Absolute values of </w:t>
      </w:r>
      <w:r>
        <w:rPr>
          <w:rFonts w:cs="Times New Roman"/>
        </w:rPr>
        <w:t>∆</w:t>
      </w:r>
      <w:r>
        <w:rPr>
          <w:rFonts w:hint="eastAsia"/>
        </w:rPr>
        <w:t>H</w:t>
      </w:r>
      <w:r>
        <w:t>’</w:t>
      </w:r>
      <w:r>
        <w:rPr>
          <w:rFonts w:hint="eastAsia"/>
        </w:rPr>
        <w:t xml:space="preserve">s for four approaches have been shifted to guide eyes. Lowest-energy structures within 10,000 steps for each approach have been shown at right side. </w:t>
      </w:r>
    </w:p>
    <w:p>
      <w:pPr>
        <w:jc w:val="center"/>
      </w:pPr>
      <w:r>
        <w:rPr>
          <w:rFonts w:hint="eastAsia"/>
        </w:rPr>
        <w:drawing>
          <wp:inline distT="0" distB="0" distL="0" distR="0">
            <wp:extent cx="5248275" cy="7805420"/>
            <wp:effectExtent l="0" t="0" r="0" b="508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80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</w:pPr>
      <w:r>
        <w:rPr>
          <w:b/>
          <w:bCs/>
          <w:lang w:val="en-GB"/>
        </w:rPr>
        <w:t>Figure</w:t>
      </w:r>
      <w:r>
        <w:rPr>
          <w:lang w:val="en-GB"/>
        </w:rPr>
        <w:t xml:space="preserve"> S</w:t>
      </w:r>
      <w:r>
        <w:rPr>
          <w:rFonts w:hint="eastAsia"/>
        </w:rPr>
        <w:t>9</w:t>
      </w:r>
      <w:r>
        <w:rPr>
          <w:lang w:val="en-GB"/>
        </w:rPr>
        <w:t xml:space="preserve">. </w:t>
      </w:r>
      <w:r>
        <w:rPr>
          <w:rFonts w:hint="eastAsia"/>
        </w:rPr>
        <w:t xml:space="preserve">The process of GN-RAS (4 atoms), GN-BO (4 atoms), GN-PSO (4 atoms) and GN-BO-SYM (8 atoms) approaches to search the crystal structures of CdO, BeS, MgS, and CaS. Absolute values of </w:t>
      </w:r>
      <w:r>
        <w:rPr>
          <w:rFonts w:cs="Times New Roman"/>
        </w:rPr>
        <w:t>∆</w:t>
      </w:r>
      <w:r>
        <w:rPr>
          <w:rFonts w:hint="eastAsia"/>
        </w:rPr>
        <w:t>H</w:t>
      </w:r>
      <w:r>
        <w:t>’</w:t>
      </w:r>
      <w:r>
        <w:rPr>
          <w:rFonts w:hint="eastAsia"/>
        </w:rPr>
        <w:t xml:space="preserve">s for four approaches have been shifted to guide eyes. Lowest-energy structures within 10,000 steps for each approach have been shown at right side. </w:t>
      </w:r>
    </w:p>
    <w:p>
      <w:pPr>
        <w:jc w:val="center"/>
      </w:pPr>
      <w:r>
        <w:rPr>
          <w:rFonts w:hint="eastAsia"/>
        </w:rPr>
        <w:drawing>
          <wp:inline distT="0" distB="0" distL="0" distR="0">
            <wp:extent cx="5266690" cy="7753985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754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eastAsia="等线" w:cs="Times New Roman"/>
          <w:color w:val="0000FF"/>
          <w:sz w:val="21"/>
          <w:szCs w:val="21"/>
          <w:shd w:val="clear" w:color="auto" w:fill="FFFFFF"/>
        </w:rPr>
      </w:pPr>
      <w:r>
        <w:rPr>
          <w:b/>
          <w:bCs/>
          <w:lang w:val="en-GB"/>
        </w:rPr>
        <w:t>Figure</w:t>
      </w:r>
      <w:r>
        <w:rPr>
          <w:lang w:val="en-GB"/>
        </w:rPr>
        <w:t xml:space="preserve"> S</w:t>
      </w:r>
      <w:r>
        <w:rPr>
          <w:rFonts w:hint="eastAsia"/>
        </w:rPr>
        <w:t>10</w:t>
      </w:r>
      <w:r>
        <w:rPr>
          <w:lang w:val="en-GB"/>
        </w:rPr>
        <w:t xml:space="preserve">. </w:t>
      </w:r>
      <w:r>
        <w:rPr>
          <w:rFonts w:hint="eastAsia"/>
        </w:rPr>
        <w:t xml:space="preserve">The process of GN-RAS (4 atoms), GN-BO (4 atoms), GN-PSO (4 atoms) and GN-BO-SYM (8 atoms) approaches to search the crystal structures of SrS, BaS, ZnS, and CdS. Absolute values of </w:t>
      </w:r>
      <w:r>
        <w:rPr>
          <w:rFonts w:cs="Times New Roman"/>
        </w:rPr>
        <w:t>∆</w:t>
      </w:r>
      <w:r>
        <w:rPr>
          <w:rFonts w:hint="eastAsia"/>
        </w:rPr>
        <w:t>H</w:t>
      </w:r>
      <w:r>
        <w:t>’</w:t>
      </w:r>
      <w:r>
        <w:rPr>
          <w:rFonts w:hint="eastAsia"/>
        </w:rPr>
        <w:t xml:space="preserve">s for four approaches have been shifted to guide eyes. Lowest-energy structures within 10,000 steps for each approach have been shown at right side. </w:t>
      </w:r>
    </w:p>
    <w:p>
      <w:pPr>
        <w:spacing w:line="240" w:lineRule="auto"/>
        <w:rPr>
          <w:rFonts w:ascii="Calibri" w:hAnsi="Calibri" w:cs="Times New Roman"/>
          <w:sz w:val="21"/>
          <w:szCs w:val="24"/>
        </w:rPr>
      </w:pPr>
      <w:r>
        <w:rPr>
          <w:rFonts w:hint="eastAsia" w:ascii="Calibri" w:hAnsi="Calibri" w:cs="Times New Roman"/>
          <w:sz w:val="21"/>
          <w:szCs w:val="24"/>
        </w:rPr>
        <w:drawing>
          <wp:inline distT="0" distB="0" distL="0" distR="0">
            <wp:extent cx="5266690" cy="3518535"/>
            <wp:effectExtent l="0" t="0" r="6985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cs="Times New Roman"/>
        </w:rPr>
      </w:pPr>
      <w:r>
        <w:rPr>
          <w:rFonts w:cs="Times New Roman"/>
          <w:b/>
          <w:bCs/>
          <w:lang w:val="en-GB"/>
        </w:rPr>
        <w:t>Figure</w:t>
      </w:r>
      <w:r>
        <w:rPr>
          <w:rFonts w:cs="Times New Roman"/>
          <w:lang w:val="en-GB"/>
        </w:rPr>
        <w:t xml:space="preserve"> </w:t>
      </w:r>
      <w:r>
        <w:rPr>
          <w:rFonts w:hint="eastAsia" w:cs="Times New Roman"/>
        </w:rPr>
        <w:t>S1</w:t>
      </w:r>
      <w:r>
        <w:rPr>
          <w:rFonts w:hint="eastAsia" w:cs="Times New Roman"/>
          <w:lang w:val="en-US" w:eastAsia="zh-CN"/>
        </w:rPr>
        <w:t>1</w:t>
      </w:r>
      <w:r>
        <w:rPr>
          <w:rFonts w:cs="Times New Roman"/>
          <w:lang w:val="en-GB"/>
        </w:rPr>
        <w:t xml:space="preserve">. </w:t>
      </w:r>
      <w:r>
        <w:rPr>
          <w:rFonts w:cs="Times New Roman"/>
        </w:rPr>
        <w:t>The process of GN-</w:t>
      </w:r>
      <w:r>
        <w:rPr>
          <w:rFonts w:hint="eastAsia" w:cs="Times New Roman"/>
        </w:rPr>
        <w:t>BO-SYM</w:t>
      </w:r>
      <w:r>
        <w:rPr>
          <w:rFonts w:cs="Times New Roman"/>
        </w:rPr>
        <w:t xml:space="preserve"> (</w:t>
      </w:r>
      <w:r>
        <w:rPr>
          <w:rFonts w:hint="eastAsia" w:cs="Times New Roman"/>
        </w:rPr>
        <w:t>8</w:t>
      </w:r>
      <w:r>
        <w:rPr>
          <w:rFonts w:cs="Times New Roman"/>
        </w:rPr>
        <w:t xml:space="preserve"> atoms)</w:t>
      </w:r>
      <w:r>
        <w:rPr>
          <w:rFonts w:hint="eastAsia" w:cs="Times New Roman"/>
        </w:rPr>
        <w:t xml:space="preserve"> and</w:t>
      </w:r>
      <w:r>
        <w:rPr>
          <w:rFonts w:cs="Times New Roman"/>
        </w:rPr>
        <w:t xml:space="preserve"> </w:t>
      </w:r>
      <w:r>
        <w:rPr>
          <w:rFonts w:hint="eastAsia" w:cs="Times New Roman"/>
        </w:rPr>
        <w:t>DFT-PSO-SYM</w:t>
      </w:r>
      <w:r>
        <w:rPr>
          <w:rFonts w:cs="Times New Roman"/>
        </w:rPr>
        <w:t xml:space="preserve"> (</w:t>
      </w:r>
      <w:r>
        <w:rPr>
          <w:rFonts w:hint="eastAsia" w:cs="Times New Roman"/>
        </w:rPr>
        <w:t>8</w:t>
      </w:r>
      <w:r>
        <w:rPr>
          <w:rFonts w:cs="Times New Roman"/>
        </w:rPr>
        <w:t xml:space="preserve"> atoms) approaches to search the crystal structures of </w:t>
      </w:r>
      <w:r>
        <w:rPr>
          <w:rFonts w:hint="eastAsia" w:cs="Times New Roman"/>
        </w:rPr>
        <w:t>C</w:t>
      </w:r>
      <w:r>
        <w:rPr>
          <w:rFonts w:cs="Times New Roman"/>
        </w:rPr>
        <w:t xml:space="preserve">. </w:t>
      </w:r>
    </w:p>
    <w:p>
      <w:pPr>
        <w:spacing w:line="240" w:lineRule="auto"/>
        <w:rPr>
          <w:rFonts w:ascii="Calibri" w:hAnsi="Calibri" w:cs="Times New Roman"/>
          <w:sz w:val="21"/>
          <w:szCs w:val="24"/>
        </w:rPr>
      </w:pPr>
    </w:p>
    <w:p>
      <w:pPr>
        <w:spacing w:line="240" w:lineRule="auto"/>
        <w:rPr>
          <w:rFonts w:ascii="Calibri" w:hAnsi="Calibri" w:cs="Times New Roman"/>
          <w:sz w:val="21"/>
          <w:szCs w:val="24"/>
        </w:rPr>
      </w:pPr>
      <w:r>
        <w:rPr>
          <w:rFonts w:ascii="Calibri" w:hAnsi="Calibri" w:cs="Times New Roman"/>
          <w:sz w:val="21"/>
          <w:szCs w:val="24"/>
        </w:rPr>
        <w:drawing>
          <wp:inline distT="0" distB="0" distL="0" distR="0">
            <wp:extent cx="5274310" cy="3496945"/>
            <wp:effectExtent l="0" t="0" r="14605" b="825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cs="Times New Roman"/>
        </w:rPr>
      </w:pPr>
      <w:r>
        <w:rPr>
          <w:rFonts w:cs="Times New Roman"/>
          <w:b/>
          <w:bCs/>
          <w:lang w:val="en-GB"/>
        </w:rPr>
        <w:t>Figure</w:t>
      </w:r>
      <w:r>
        <w:rPr>
          <w:rFonts w:cs="Times New Roman"/>
          <w:lang w:val="en-GB"/>
        </w:rPr>
        <w:t xml:space="preserve"> </w:t>
      </w:r>
      <w:r>
        <w:rPr>
          <w:rFonts w:hint="eastAsia" w:cs="Times New Roman"/>
        </w:rPr>
        <w:t>S1</w:t>
      </w:r>
      <w:r>
        <w:rPr>
          <w:rFonts w:hint="eastAsia" w:cs="Times New Roman"/>
          <w:lang w:val="en-US" w:eastAsia="zh-CN"/>
        </w:rPr>
        <w:t>2</w:t>
      </w:r>
      <w:r>
        <w:rPr>
          <w:rFonts w:cs="Times New Roman"/>
          <w:lang w:val="en-GB"/>
        </w:rPr>
        <w:t xml:space="preserve">. </w:t>
      </w:r>
      <w:r>
        <w:rPr>
          <w:rFonts w:cs="Times New Roman"/>
        </w:rPr>
        <w:t>The process of GN-</w:t>
      </w:r>
      <w:r>
        <w:rPr>
          <w:rFonts w:hint="eastAsia" w:cs="Times New Roman"/>
        </w:rPr>
        <w:t>BO-SYM</w:t>
      </w:r>
      <w:r>
        <w:rPr>
          <w:rFonts w:cs="Times New Roman"/>
        </w:rPr>
        <w:t xml:space="preserve"> (</w:t>
      </w:r>
      <w:r>
        <w:rPr>
          <w:rFonts w:hint="eastAsia" w:cs="Times New Roman"/>
        </w:rPr>
        <w:t>8</w:t>
      </w:r>
      <w:r>
        <w:rPr>
          <w:rFonts w:cs="Times New Roman"/>
        </w:rPr>
        <w:t xml:space="preserve"> atoms)</w:t>
      </w:r>
      <w:r>
        <w:rPr>
          <w:rFonts w:hint="eastAsia" w:cs="Times New Roman"/>
        </w:rPr>
        <w:t xml:space="preserve"> and</w:t>
      </w:r>
      <w:r>
        <w:rPr>
          <w:rFonts w:cs="Times New Roman"/>
        </w:rPr>
        <w:t xml:space="preserve"> </w:t>
      </w:r>
      <w:r>
        <w:rPr>
          <w:rFonts w:hint="eastAsia" w:cs="Times New Roman"/>
        </w:rPr>
        <w:t>DFT-PSO-SYM</w:t>
      </w:r>
      <w:r>
        <w:rPr>
          <w:rFonts w:cs="Times New Roman"/>
        </w:rPr>
        <w:t xml:space="preserve"> (</w:t>
      </w:r>
      <w:r>
        <w:rPr>
          <w:rFonts w:hint="eastAsia" w:cs="Times New Roman"/>
        </w:rPr>
        <w:t>8</w:t>
      </w:r>
      <w:r>
        <w:rPr>
          <w:rFonts w:cs="Times New Roman"/>
        </w:rPr>
        <w:t xml:space="preserve"> atoms) approaches to search the crystal structures of </w:t>
      </w:r>
      <w:r>
        <w:rPr>
          <w:rFonts w:hint="eastAsia" w:cs="Times New Roman"/>
        </w:rPr>
        <w:t>Si</w:t>
      </w:r>
      <w:r>
        <w:rPr>
          <w:rFonts w:cs="Times New Roman"/>
        </w:rPr>
        <w:t xml:space="preserve">. </w:t>
      </w:r>
    </w:p>
    <w:p>
      <w:pPr>
        <w:spacing w:line="240" w:lineRule="auto"/>
        <w:rPr>
          <w:rFonts w:cs="Times New Roman"/>
        </w:rPr>
      </w:pPr>
    </w:p>
    <w:p>
      <w:pPr>
        <w:spacing w:line="240" w:lineRule="auto"/>
        <w:rPr>
          <w:rFonts w:cs="Times New Roman"/>
        </w:rPr>
      </w:pPr>
    </w:p>
    <w:p>
      <w:pPr>
        <w:spacing w:line="240" w:lineRule="auto"/>
        <w:rPr>
          <w:rFonts w:ascii="Calibri" w:hAnsi="Calibri" w:cs="Times New Roman"/>
          <w:sz w:val="21"/>
          <w:szCs w:val="24"/>
        </w:rPr>
      </w:pPr>
      <w:r>
        <w:rPr>
          <w:rFonts w:ascii="Calibri" w:hAnsi="Calibri" w:cs="Times New Roman"/>
          <w:sz w:val="21"/>
          <w:szCs w:val="24"/>
        </w:rPr>
        <w:drawing>
          <wp:inline distT="0" distB="0" distL="0" distR="0">
            <wp:extent cx="5266690" cy="3503930"/>
            <wp:effectExtent l="0" t="0" r="6350" b="127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0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cs="Times New Roman"/>
        </w:rPr>
      </w:pPr>
      <w:r>
        <w:rPr>
          <w:rFonts w:cs="Times New Roman"/>
          <w:b/>
          <w:bCs/>
          <w:lang w:val="en-GB"/>
        </w:rPr>
        <w:t>Figure</w:t>
      </w:r>
      <w:r>
        <w:rPr>
          <w:rFonts w:cs="Times New Roman"/>
          <w:lang w:val="en-GB"/>
        </w:rPr>
        <w:t xml:space="preserve"> </w:t>
      </w:r>
      <w:r>
        <w:rPr>
          <w:rFonts w:hint="eastAsia" w:cs="Times New Roman"/>
        </w:rPr>
        <w:t>S1</w:t>
      </w:r>
      <w:r>
        <w:rPr>
          <w:rFonts w:hint="eastAsia" w:cs="Times New Roman"/>
          <w:lang w:val="en-US" w:eastAsia="zh-CN"/>
        </w:rPr>
        <w:t>3</w:t>
      </w:r>
      <w:r>
        <w:rPr>
          <w:rFonts w:cs="Times New Roman"/>
          <w:lang w:val="en-GB"/>
        </w:rPr>
        <w:t xml:space="preserve">. </w:t>
      </w:r>
      <w:r>
        <w:rPr>
          <w:rFonts w:cs="Times New Roman"/>
        </w:rPr>
        <w:t>The process of GN-</w:t>
      </w:r>
      <w:r>
        <w:rPr>
          <w:rFonts w:hint="eastAsia" w:cs="Times New Roman"/>
        </w:rPr>
        <w:t>BO-SYM</w:t>
      </w:r>
      <w:r>
        <w:rPr>
          <w:rFonts w:cs="Times New Roman"/>
        </w:rPr>
        <w:t xml:space="preserve"> (</w:t>
      </w:r>
      <w:r>
        <w:rPr>
          <w:rFonts w:hint="eastAsia" w:cs="Times New Roman"/>
        </w:rPr>
        <w:t>5</w:t>
      </w:r>
      <w:r>
        <w:rPr>
          <w:rFonts w:cs="Times New Roman"/>
        </w:rPr>
        <w:t xml:space="preserve"> atoms)</w:t>
      </w:r>
      <w:r>
        <w:rPr>
          <w:rFonts w:hint="eastAsia" w:cs="Times New Roman"/>
        </w:rPr>
        <w:t xml:space="preserve"> and</w:t>
      </w:r>
      <w:r>
        <w:rPr>
          <w:rFonts w:cs="Times New Roman"/>
        </w:rPr>
        <w:t xml:space="preserve"> </w:t>
      </w:r>
      <w:r>
        <w:rPr>
          <w:rFonts w:hint="eastAsia" w:cs="Times New Roman"/>
        </w:rPr>
        <w:t>DFT-PSO-SYM</w:t>
      </w:r>
      <w:r>
        <w:rPr>
          <w:rFonts w:cs="Times New Roman"/>
        </w:rPr>
        <w:t xml:space="preserve"> (</w:t>
      </w:r>
      <w:r>
        <w:rPr>
          <w:rFonts w:hint="eastAsia" w:cs="Times New Roman"/>
        </w:rPr>
        <w:t>5</w:t>
      </w:r>
      <w:r>
        <w:rPr>
          <w:rFonts w:cs="Times New Roman"/>
        </w:rPr>
        <w:t xml:space="preserve"> atoms) approaches to search the crystal structures of </w:t>
      </w:r>
      <w:r>
        <w:rPr>
          <w:rFonts w:hint="eastAsia" w:cs="Times New Roman"/>
        </w:rPr>
        <w:t>CsPbI</w:t>
      </w:r>
      <w:r>
        <w:rPr>
          <w:rFonts w:hint="eastAsia" w:cs="Times New Roman"/>
          <w:vertAlign w:val="subscript"/>
        </w:rPr>
        <w:t>3</w:t>
      </w:r>
      <w:r>
        <w:rPr>
          <w:rFonts w:cs="Times New Roman"/>
        </w:rPr>
        <w:t>.</w:t>
      </w:r>
    </w:p>
    <w:p>
      <w:pPr>
        <w:spacing w:line="240" w:lineRule="auto"/>
        <w:rPr>
          <w:rFonts w:cs="Times New Roman"/>
        </w:rPr>
      </w:pPr>
      <w:r>
        <w:rPr>
          <w:rFonts w:cs="Times New Roman"/>
        </w:rPr>
        <w:t xml:space="preserve"> </w:t>
      </w:r>
    </w:p>
    <w:p>
      <w:pPr>
        <w:spacing w:line="240" w:lineRule="auto"/>
        <w:rPr>
          <w:rFonts w:ascii="Calibri" w:hAnsi="Calibri" w:cs="Times New Roman"/>
          <w:sz w:val="21"/>
          <w:szCs w:val="24"/>
        </w:rPr>
      </w:pPr>
      <w:r>
        <w:rPr>
          <w:rFonts w:hint="eastAsia" w:ascii="Calibri" w:hAnsi="Calibri" w:cs="Times New Roman"/>
          <w:sz w:val="21"/>
          <w:szCs w:val="24"/>
        </w:rPr>
        <w:drawing>
          <wp:inline distT="0" distB="0" distL="0" distR="0">
            <wp:extent cx="5266690" cy="3503930"/>
            <wp:effectExtent l="0" t="0" r="6350" b="127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0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ascii="Calibri" w:hAnsi="Calibri" w:cs="Times New Roman"/>
          <w:sz w:val="21"/>
          <w:szCs w:val="24"/>
        </w:rPr>
      </w:pPr>
      <w:r>
        <w:rPr>
          <w:rFonts w:cs="Times New Roman"/>
          <w:b/>
          <w:bCs/>
          <w:lang w:val="en-GB"/>
        </w:rPr>
        <w:t>Figure</w:t>
      </w:r>
      <w:r>
        <w:rPr>
          <w:rFonts w:cs="Times New Roman"/>
          <w:lang w:val="en-GB"/>
        </w:rPr>
        <w:t xml:space="preserve"> </w:t>
      </w:r>
      <w:r>
        <w:rPr>
          <w:rFonts w:hint="eastAsia" w:cs="Times New Roman"/>
        </w:rPr>
        <w:t>S1</w:t>
      </w:r>
      <w:r>
        <w:rPr>
          <w:rFonts w:hint="eastAsia" w:cs="Times New Roman"/>
          <w:lang w:val="en-US" w:eastAsia="zh-CN"/>
        </w:rPr>
        <w:t>4</w:t>
      </w:r>
      <w:r>
        <w:rPr>
          <w:rFonts w:cs="Times New Roman"/>
          <w:lang w:val="en-GB"/>
        </w:rPr>
        <w:t xml:space="preserve">. </w:t>
      </w:r>
      <w:r>
        <w:rPr>
          <w:rFonts w:cs="Times New Roman"/>
        </w:rPr>
        <w:t>The process of GN-</w:t>
      </w:r>
      <w:r>
        <w:rPr>
          <w:rFonts w:hint="eastAsia" w:cs="Times New Roman"/>
        </w:rPr>
        <w:t>BO-SYM</w:t>
      </w:r>
      <w:r>
        <w:rPr>
          <w:rFonts w:cs="Times New Roman"/>
        </w:rPr>
        <w:t xml:space="preserve"> (</w:t>
      </w:r>
      <w:r>
        <w:rPr>
          <w:rFonts w:hint="eastAsia" w:cs="Times New Roman"/>
        </w:rPr>
        <w:t>10</w:t>
      </w:r>
      <w:r>
        <w:rPr>
          <w:rFonts w:cs="Times New Roman"/>
        </w:rPr>
        <w:t xml:space="preserve"> atoms)</w:t>
      </w:r>
      <w:r>
        <w:rPr>
          <w:rFonts w:hint="eastAsia" w:cs="Times New Roman"/>
        </w:rPr>
        <w:t xml:space="preserve"> and</w:t>
      </w:r>
      <w:r>
        <w:rPr>
          <w:rFonts w:cs="Times New Roman"/>
        </w:rPr>
        <w:t xml:space="preserve"> </w:t>
      </w:r>
      <w:r>
        <w:rPr>
          <w:rFonts w:hint="eastAsia" w:cs="Times New Roman"/>
        </w:rPr>
        <w:t>DFT-PSO-SYM</w:t>
      </w:r>
      <w:r>
        <w:rPr>
          <w:rFonts w:cs="Times New Roman"/>
        </w:rPr>
        <w:t xml:space="preserve"> (</w:t>
      </w:r>
      <w:r>
        <w:rPr>
          <w:rFonts w:hint="eastAsia" w:cs="Times New Roman"/>
        </w:rPr>
        <w:t>10</w:t>
      </w:r>
      <w:r>
        <w:rPr>
          <w:rFonts w:cs="Times New Roman"/>
        </w:rPr>
        <w:t xml:space="preserve"> atoms) approaches to search the crystal structures of </w:t>
      </w:r>
      <w:r>
        <w:rPr>
          <w:rFonts w:hint="eastAsia" w:cs="Times New Roman"/>
        </w:rPr>
        <w:t>CsPbI</w:t>
      </w:r>
      <w:r>
        <w:rPr>
          <w:rFonts w:hint="eastAsia" w:cs="Times New Roman"/>
          <w:vertAlign w:val="subscript"/>
        </w:rPr>
        <w:t>3</w:t>
      </w:r>
      <w:r>
        <w:rPr>
          <w:rFonts w:cs="Times New Roman"/>
        </w:rPr>
        <w:t xml:space="preserve">. </w:t>
      </w:r>
    </w:p>
    <w:p>
      <w:pPr>
        <w:rPr>
          <w:lang w:val="en-GB"/>
        </w:rPr>
      </w:pPr>
      <w:bookmarkStart w:id="3" w:name="_GoBack"/>
      <w:bookmarkEnd w:id="3"/>
    </w:p>
    <w:sectPr>
      <w:pgSz w:w="11906" w:h="16838"/>
      <w:pgMar w:top="1440" w:right="1080" w:bottom="1440" w:left="1080" w:header="851" w:footer="992" w:gutter="0"/>
      <w:cols w:space="425" w:num="1"/>
      <w:docGrid w:type="lines" w:linePitch="326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Cambria Math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Helvetica">
    <w:altName w:val="Arial"/>
    <w:panose1 w:val="020B0604020202030204"/>
    <w:charset w:val="00"/>
    <w:family w:val="swiss"/>
    <w:pitch w:val="default"/>
    <w:sig w:usb0="00000000" w:usb1="00000000" w:usb2="00000000" w:usb3="00000000" w:csb0="00000093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7C60FF4"/>
    <w:multiLevelType w:val="multilevel"/>
    <w:tmpl w:val="57C60FF4"/>
    <w:lvl w:ilvl="0" w:tentative="0">
      <w:start w:val="1"/>
      <w:numFmt w:val="decimal"/>
      <w:pStyle w:val="2"/>
      <w:suff w:val="space"/>
      <w:lvlText w:val="%1."/>
      <w:lvlJc w:val="left"/>
      <w:pPr>
        <w:ind w:left="432" w:hanging="432"/>
      </w:pPr>
    </w:lvl>
    <w:lvl w:ilvl="1" w:tentative="0">
      <w:start w:val="1"/>
      <w:numFmt w:val="decimal"/>
      <w:pStyle w:val="3"/>
      <w:suff w:val="space"/>
      <w:lvlText w:val="%1.%2"/>
      <w:lvlJc w:val="left"/>
      <w:pPr>
        <w:ind w:left="576" w:hanging="576"/>
      </w:pPr>
    </w:lvl>
    <w:lvl w:ilvl="2" w:tentative="0">
      <w:start w:val="1"/>
      <w:numFmt w:val="decimal"/>
      <w:pStyle w:val="4"/>
      <w:suff w:val="space"/>
      <w:lvlText w:val="%1.%2.%3"/>
      <w:lvlJc w:val="left"/>
      <w:pPr>
        <w:ind w:left="720" w:hanging="720"/>
      </w:pPr>
    </w:lvl>
    <w:lvl w:ilvl="3" w:tentative="0">
      <w:start w:val="1"/>
      <w:numFmt w:val="decimal"/>
      <w:pStyle w:val="5"/>
      <w:lvlText w:val="%1.%2.%3.%4"/>
      <w:lvlJc w:val="left"/>
      <w:pPr>
        <w:ind w:left="864" w:hanging="864"/>
      </w:pPr>
    </w:lvl>
    <w:lvl w:ilvl="4" w:tentative="0">
      <w:start w:val="1"/>
      <w:numFmt w:val="decimal"/>
      <w:pStyle w:val="6"/>
      <w:lvlText w:val="%1.%2.%3.%4.%5"/>
      <w:lvlJc w:val="left"/>
      <w:pPr>
        <w:ind w:left="1008" w:hanging="1008"/>
      </w:pPr>
    </w:lvl>
    <w:lvl w:ilvl="5" w:tentative="0">
      <w:start w:val="1"/>
      <w:numFmt w:val="decimal"/>
      <w:pStyle w:val="7"/>
      <w:lvlText w:val="%1.%2.%3.%4.%5.%6"/>
      <w:lvlJc w:val="left"/>
      <w:pPr>
        <w:ind w:left="1152" w:hanging="1152"/>
      </w:pPr>
    </w:lvl>
    <w:lvl w:ilvl="6" w:tentative="0">
      <w:start w:val="1"/>
      <w:numFmt w:val="decimal"/>
      <w:pStyle w:val="8"/>
      <w:lvlText w:val="%1.%2.%3.%4.%5.%6.%7"/>
      <w:lvlJc w:val="left"/>
      <w:pPr>
        <w:ind w:left="1296" w:hanging="1296"/>
      </w:pPr>
    </w:lvl>
    <w:lvl w:ilvl="7" w:tentative="0">
      <w:start w:val="1"/>
      <w:numFmt w:val="decimal"/>
      <w:pStyle w:val="9"/>
      <w:lvlText w:val="%1.%2.%3.%4.%5.%6.%7.%8"/>
      <w:lvlJc w:val="left"/>
      <w:pPr>
        <w:ind w:left="1440" w:hanging="1440"/>
      </w:pPr>
    </w:lvl>
    <w:lvl w:ilvl="8" w:tentative="0">
      <w:start w:val="1"/>
      <w:numFmt w:val="decimal"/>
      <w:pStyle w:val="10"/>
      <w:lvlText w:val="%1.%2.%3.%4.%5.%6.%7.%8.%9"/>
      <w:lvlJc w:val="left"/>
      <w:pPr>
        <w:ind w:left="1584" w:hanging="1584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228A"/>
    <w:rsid w:val="00093E1A"/>
    <w:rsid w:val="000A4315"/>
    <w:rsid w:val="000A6398"/>
    <w:rsid w:val="000C15C2"/>
    <w:rsid w:val="000F3414"/>
    <w:rsid w:val="0016182B"/>
    <w:rsid w:val="001C06E7"/>
    <w:rsid w:val="001D00C8"/>
    <w:rsid w:val="002A5223"/>
    <w:rsid w:val="002C4A19"/>
    <w:rsid w:val="00341F3F"/>
    <w:rsid w:val="003679FB"/>
    <w:rsid w:val="00390E26"/>
    <w:rsid w:val="00417EB4"/>
    <w:rsid w:val="004D7C97"/>
    <w:rsid w:val="00520B2E"/>
    <w:rsid w:val="005219BA"/>
    <w:rsid w:val="005662B8"/>
    <w:rsid w:val="00633865"/>
    <w:rsid w:val="00763EF2"/>
    <w:rsid w:val="008C6B54"/>
    <w:rsid w:val="00922C6C"/>
    <w:rsid w:val="009628C8"/>
    <w:rsid w:val="009C4A9A"/>
    <w:rsid w:val="009D7B0B"/>
    <w:rsid w:val="00A00117"/>
    <w:rsid w:val="00C943AC"/>
    <w:rsid w:val="00CC1A67"/>
    <w:rsid w:val="00D2555A"/>
    <w:rsid w:val="00D349DE"/>
    <w:rsid w:val="00D9228A"/>
    <w:rsid w:val="00DC155A"/>
    <w:rsid w:val="00DC2471"/>
    <w:rsid w:val="00E23A8B"/>
    <w:rsid w:val="00E27115"/>
    <w:rsid w:val="00E64748"/>
    <w:rsid w:val="00E72048"/>
    <w:rsid w:val="00E8104E"/>
    <w:rsid w:val="00EC4970"/>
    <w:rsid w:val="00EC4E7C"/>
    <w:rsid w:val="00EE50AB"/>
    <w:rsid w:val="058E1EE3"/>
    <w:rsid w:val="08047BC9"/>
    <w:rsid w:val="22282E45"/>
    <w:rsid w:val="2C575003"/>
    <w:rsid w:val="48724C48"/>
    <w:rsid w:val="4D953846"/>
    <w:rsid w:val="65600237"/>
    <w:rsid w:val="66A71D6E"/>
    <w:rsid w:val="797F36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12" w:lineRule="auto"/>
      <w:jc w:val="both"/>
    </w:pPr>
    <w:rPr>
      <w:rFonts w:ascii="Times New Roman" w:hAnsi="Times New Roman" w:eastAsia="宋体" w:cstheme="minorBidi"/>
      <w:kern w:val="2"/>
      <w:sz w:val="24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qFormat/>
    <w:uiPriority w:val="9"/>
    <w:pPr>
      <w:keepNext/>
      <w:keepLines/>
      <w:numPr>
        <w:ilvl w:val="0"/>
        <w:numId w:val="1"/>
      </w:numPr>
      <w:outlineLvl w:val="0"/>
    </w:pPr>
    <w:rPr>
      <w:b/>
      <w:bCs/>
      <w:kern w:val="44"/>
      <w:sz w:val="28"/>
      <w:szCs w:val="44"/>
    </w:rPr>
  </w:style>
  <w:style w:type="paragraph" w:styleId="3">
    <w:name w:val="heading 2"/>
    <w:basedOn w:val="1"/>
    <w:next w:val="1"/>
    <w:link w:val="17"/>
    <w:semiHidden/>
    <w:unhideWhenUsed/>
    <w:qFormat/>
    <w:uiPriority w:val="9"/>
    <w:pPr>
      <w:keepNext/>
      <w:keepLines/>
      <w:numPr>
        <w:ilvl w:val="1"/>
        <w:numId w:val="1"/>
      </w:numPr>
      <w:outlineLvl w:val="1"/>
    </w:pPr>
    <w:rPr>
      <w:rFonts w:cstheme="majorBidi"/>
      <w:b/>
      <w:bCs/>
      <w:szCs w:val="32"/>
    </w:rPr>
  </w:style>
  <w:style w:type="paragraph" w:styleId="4">
    <w:name w:val="heading 3"/>
    <w:basedOn w:val="1"/>
    <w:next w:val="1"/>
    <w:link w:val="18"/>
    <w:semiHidden/>
    <w:unhideWhenUsed/>
    <w:qFormat/>
    <w:uiPriority w:val="9"/>
    <w:pPr>
      <w:keepNext/>
      <w:keepLines/>
      <w:numPr>
        <w:ilvl w:val="2"/>
        <w:numId w:val="1"/>
      </w:numPr>
      <w:spacing w:before="260" w:after="260" w:line="415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19"/>
    <w:semiHidden/>
    <w:unhideWhenUsed/>
    <w:qFormat/>
    <w:uiPriority w:val="9"/>
    <w:pPr>
      <w:keepNext/>
      <w:keepLines/>
      <w:numPr>
        <w:ilvl w:val="3"/>
        <w:numId w:val="1"/>
      </w:numPr>
      <w:spacing w:before="280" w:after="290" w:line="374" w:lineRule="auto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paragraph" w:styleId="6">
    <w:name w:val="heading 5"/>
    <w:basedOn w:val="1"/>
    <w:next w:val="1"/>
    <w:link w:val="20"/>
    <w:semiHidden/>
    <w:unhideWhenUsed/>
    <w:qFormat/>
    <w:uiPriority w:val="9"/>
    <w:pPr>
      <w:keepNext/>
      <w:keepLines/>
      <w:numPr>
        <w:ilvl w:val="4"/>
        <w:numId w:val="1"/>
      </w:numPr>
      <w:spacing w:before="280" w:after="290" w:line="374" w:lineRule="auto"/>
      <w:outlineLvl w:val="4"/>
    </w:pPr>
    <w:rPr>
      <w:b/>
      <w:bCs/>
      <w:sz w:val="28"/>
      <w:szCs w:val="28"/>
    </w:rPr>
  </w:style>
  <w:style w:type="paragraph" w:styleId="7">
    <w:name w:val="heading 6"/>
    <w:basedOn w:val="1"/>
    <w:next w:val="1"/>
    <w:link w:val="21"/>
    <w:semiHidden/>
    <w:unhideWhenUsed/>
    <w:qFormat/>
    <w:uiPriority w:val="9"/>
    <w:pPr>
      <w:keepNext/>
      <w:keepLines/>
      <w:numPr>
        <w:ilvl w:val="5"/>
        <w:numId w:val="1"/>
      </w:numPr>
      <w:spacing w:before="240" w:after="64" w:line="319" w:lineRule="auto"/>
      <w:outlineLvl w:val="5"/>
    </w:pPr>
    <w:rPr>
      <w:rFonts w:asciiTheme="majorHAnsi" w:hAnsiTheme="majorHAnsi" w:eastAsiaTheme="majorEastAsia" w:cstheme="majorBidi"/>
      <w:b/>
      <w:bCs/>
      <w:szCs w:val="24"/>
    </w:rPr>
  </w:style>
  <w:style w:type="paragraph" w:styleId="8">
    <w:name w:val="heading 7"/>
    <w:basedOn w:val="1"/>
    <w:next w:val="1"/>
    <w:link w:val="22"/>
    <w:semiHidden/>
    <w:unhideWhenUsed/>
    <w:qFormat/>
    <w:uiPriority w:val="9"/>
    <w:pPr>
      <w:keepNext/>
      <w:keepLines/>
      <w:numPr>
        <w:ilvl w:val="6"/>
        <w:numId w:val="1"/>
      </w:numPr>
      <w:spacing w:before="240" w:after="64" w:line="319" w:lineRule="auto"/>
      <w:outlineLvl w:val="6"/>
    </w:pPr>
    <w:rPr>
      <w:b/>
      <w:bCs/>
      <w:szCs w:val="24"/>
    </w:rPr>
  </w:style>
  <w:style w:type="paragraph" w:styleId="9">
    <w:name w:val="heading 8"/>
    <w:basedOn w:val="1"/>
    <w:next w:val="1"/>
    <w:link w:val="23"/>
    <w:semiHidden/>
    <w:unhideWhenUsed/>
    <w:qFormat/>
    <w:uiPriority w:val="9"/>
    <w:pPr>
      <w:keepNext/>
      <w:keepLines/>
      <w:numPr>
        <w:ilvl w:val="7"/>
        <w:numId w:val="1"/>
      </w:numPr>
      <w:spacing w:before="240" w:after="64" w:line="319" w:lineRule="auto"/>
      <w:outlineLvl w:val="7"/>
    </w:pPr>
    <w:rPr>
      <w:rFonts w:asciiTheme="majorHAnsi" w:hAnsiTheme="majorHAnsi" w:eastAsiaTheme="majorEastAsia" w:cstheme="majorBidi"/>
      <w:szCs w:val="24"/>
    </w:rPr>
  </w:style>
  <w:style w:type="paragraph" w:styleId="10">
    <w:name w:val="heading 9"/>
    <w:basedOn w:val="1"/>
    <w:next w:val="1"/>
    <w:link w:val="24"/>
    <w:semiHidden/>
    <w:unhideWhenUsed/>
    <w:qFormat/>
    <w:uiPriority w:val="9"/>
    <w:pPr>
      <w:keepNext/>
      <w:keepLines/>
      <w:numPr>
        <w:ilvl w:val="8"/>
        <w:numId w:val="1"/>
      </w:numPr>
      <w:spacing w:before="240" w:after="64" w:line="319" w:lineRule="auto"/>
      <w:outlineLvl w:val="8"/>
    </w:pPr>
    <w:rPr>
      <w:rFonts w:asciiTheme="majorHAnsi" w:hAnsiTheme="majorHAnsi" w:eastAsiaTheme="majorEastAsia" w:cstheme="majorBidi"/>
      <w:sz w:val="21"/>
      <w:szCs w:val="21"/>
    </w:rPr>
  </w:style>
  <w:style w:type="character" w:default="1" w:styleId="15">
    <w:name w:val="Default Paragraph Font"/>
    <w:semiHidden/>
    <w:unhideWhenUsed/>
    <w:uiPriority w:val="1"/>
  </w:style>
  <w:style w:type="table" w:default="1" w:styleId="1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footer"/>
    <w:basedOn w:val="1"/>
    <w:link w:val="30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12">
    <w:name w:val="header"/>
    <w:basedOn w:val="1"/>
    <w:link w:val="2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13">
    <w:name w:val="Title"/>
    <w:basedOn w:val="1"/>
    <w:next w:val="1"/>
    <w:link w:val="25"/>
    <w:qFormat/>
    <w:uiPriority w:val="10"/>
    <w:pPr>
      <w:jc w:val="center"/>
      <w:outlineLvl w:val="0"/>
    </w:pPr>
    <w:rPr>
      <w:rFonts w:cstheme="majorBidi"/>
      <w:b/>
      <w:bCs/>
      <w:sz w:val="36"/>
      <w:szCs w:val="32"/>
    </w:rPr>
  </w:style>
  <w:style w:type="character" w:customStyle="1" w:styleId="16">
    <w:name w:val="标题 1 字符"/>
    <w:basedOn w:val="15"/>
    <w:link w:val="2"/>
    <w:qFormat/>
    <w:uiPriority w:val="9"/>
    <w:rPr>
      <w:rFonts w:ascii="Times New Roman" w:hAnsi="Times New Roman" w:eastAsia="宋体"/>
      <w:b/>
      <w:bCs/>
      <w:kern w:val="44"/>
      <w:sz w:val="28"/>
      <w:szCs w:val="44"/>
    </w:rPr>
  </w:style>
  <w:style w:type="character" w:customStyle="1" w:styleId="17">
    <w:name w:val="标题 2 字符"/>
    <w:basedOn w:val="15"/>
    <w:link w:val="3"/>
    <w:semiHidden/>
    <w:qFormat/>
    <w:uiPriority w:val="9"/>
    <w:rPr>
      <w:rFonts w:ascii="Times New Roman" w:hAnsi="Times New Roman" w:eastAsia="宋体" w:cstheme="majorBidi"/>
      <w:b/>
      <w:bCs/>
      <w:sz w:val="24"/>
      <w:szCs w:val="32"/>
    </w:rPr>
  </w:style>
  <w:style w:type="character" w:customStyle="1" w:styleId="18">
    <w:name w:val="标题 3 字符"/>
    <w:basedOn w:val="15"/>
    <w:link w:val="4"/>
    <w:semiHidden/>
    <w:qFormat/>
    <w:uiPriority w:val="9"/>
    <w:rPr>
      <w:rFonts w:ascii="Times New Roman" w:hAnsi="Times New Roman" w:eastAsia="宋体"/>
      <w:b/>
      <w:bCs/>
      <w:sz w:val="32"/>
      <w:szCs w:val="32"/>
    </w:rPr>
  </w:style>
  <w:style w:type="character" w:customStyle="1" w:styleId="19">
    <w:name w:val="标题 4 字符"/>
    <w:basedOn w:val="15"/>
    <w:link w:val="5"/>
    <w:semiHidden/>
    <w:qFormat/>
    <w:uiPriority w:val="9"/>
    <w:rPr>
      <w:rFonts w:asciiTheme="majorHAnsi" w:hAnsiTheme="majorHAnsi" w:eastAsiaTheme="majorEastAsia" w:cstheme="majorBidi"/>
      <w:b/>
      <w:bCs/>
      <w:sz w:val="28"/>
      <w:szCs w:val="28"/>
    </w:rPr>
  </w:style>
  <w:style w:type="character" w:customStyle="1" w:styleId="20">
    <w:name w:val="标题 5 字符"/>
    <w:basedOn w:val="15"/>
    <w:link w:val="6"/>
    <w:semiHidden/>
    <w:qFormat/>
    <w:uiPriority w:val="9"/>
    <w:rPr>
      <w:rFonts w:ascii="Times New Roman" w:hAnsi="Times New Roman" w:eastAsia="宋体"/>
      <w:b/>
      <w:bCs/>
      <w:sz w:val="28"/>
      <w:szCs w:val="28"/>
    </w:rPr>
  </w:style>
  <w:style w:type="character" w:customStyle="1" w:styleId="21">
    <w:name w:val="标题 6 字符"/>
    <w:basedOn w:val="15"/>
    <w:link w:val="7"/>
    <w:semiHidden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22">
    <w:name w:val="标题 7 字符"/>
    <w:basedOn w:val="15"/>
    <w:link w:val="8"/>
    <w:semiHidden/>
    <w:qFormat/>
    <w:uiPriority w:val="9"/>
    <w:rPr>
      <w:rFonts w:ascii="Times New Roman" w:hAnsi="Times New Roman" w:eastAsia="宋体"/>
      <w:b/>
      <w:bCs/>
      <w:sz w:val="24"/>
      <w:szCs w:val="24"/>
    </w:rPr>
  </w:style>
  <w:style w:type="character" w:customStyle="1" w:styleId="23">
    <w:name w:val="标题 8 字符"/>
    <w:basedOn w:val="15"/>
    <w:link w:val="9"/>
    <w:semiHidden/>
    <w:qFormat/>
    <w:uiPriority w:val="9"/>
    <w:rPr>
      <w:rFonts w:asciiTheme="majorHAnsi" w:hAnsiTheme="majorHAnsi" w:eastAsiaTheme="majorEastAsia" w:cstheme="majorBidi"/>
      <w:sz w:val="24"/>
      <w:szCs w:val="24"/>
    </w:rPr>
  </w:style>
  <w:style w:type="character" w:customStyle="1" w:styleId="24">
    <w:name w:val="标题 9 字符"/>
    <w:basedOn w:val="15"/>
    <w:link w:val="10"/>
    <w:semiHidden/>
    <w:qFormat/>
    <w:uiPriority w:val="9"/>
    <w:rPr>
      <w:rFonts w:asciiTheme="majorHAnsi" w:hAnsiTheme="majorHAnsi" w:eastAsiaTheme="majorEastAsia" w:cstheme="majorBidi"/>
      <w:szCs w:val="21"/>
    </w:rPr>
  </w:style>
  <w:style w:type="character" w:customStyle="1" w:styleId="25">
    <w:name w:val="标题 字符"/>
    <w:basedOn w:val="15"/>
    <w:link w:val="13"/>
    <w:qFormat/>
    <w:uiPriority w:val="10"/>
    <w:rPr>
      <w:rFonts w:ascii="Times New Roman" w:hAnsi="Times New Roman" w:eastAsia="宋体" w:cstheme="majorBidi"/>
      <w:b/>
      <w:bCs/>
      <w:sz w:val="36"/>
      <w:szCs w:val="32"/>
    </w:rPr>
  </w:style>
  <w:style w:type="paragraph" w:customStyle="1" w:styleId="26">
    <w:name w:val="Authors"/>
    <w:basedOn w:val="1"/>
    <w:qFormat/>
    <w:uiPriority w:val="0"/>
    <w:pPr>
      <w:widowControl/>
      <w:spacing w:before="120" w:after="360" w:line="240" w:lineRule="auto"/>
      <w:jc w:val="center"/>
    </w:pPr>
    <w:rPr>
      <w:rFonts w:eastAsia="Times New Roman" w:cs="Times New Roman"/>
      <w:kern w:val="0"/>
      <w:szCs w:val="24"/>
      <w:lang w:eastAsia="en-US"/>
    </w:rPr>
  </w:style>
  <w:style w:type="paragraph" w:customStyle="1" w:styleId="27">
    <w:name w:val="Paragraph"/>
    <w:basedOn w:val="1"/>
    <w:qFormat/>
    <w:uiPriority w:val="0"/>
    <w:pPr>
      <w:widowControl/>
      <w:spacing w:before="120" w:line="240" w:lineRule="auto"/>
      <w:ind w:firstLine="720"/>
      <w:jc w:val="left"/>
    </w:pPr>
    <w:rPr>
      <w:rFonts w:eastAsia="Times New Roman" w:cs="Times New Roman"/>
      <w:kern w:val="0"/>
      <w:szCs w:val="24"/>
      <w:lang w:eastAsia="en-US"/>
    </w:rPr>
  </w:style>
  <w:style w:type="table" w:customStyle="1" w:styleId="28">
    <w:name w:val="样式1"/>
    <w:basedOn w:val="14"/>
    <w:qFormat/>
    <w:uiPriority w:val="99"/>
    <w:pPr>
      <w:jc w:val="center"/>
    </w:pPr>
    <w:rPr>
      <w:rFonts w:ascii="Times New Roman" w:hAnsi="Times New Roman" w:eastAsia="宋体"/>
    </w:rPr>
    <w:tblPr>
      <w:tblBorders>
        <w:top w:val="double" w:color="auto" w:sz="4" w:space="0"/>
        <w:bottom w:val="double" w:color="auto" w:sz="4" w:space="0"/>
      </w:tblBorders>
    </w:tblPr>
    <w:tcPr>
      <w:vAlign w:val="center"/>
    </w:tcPr>
    <w:tblStylePr w:type="firstRow">
      <w:tcPr>
        <w:tcBorders>
          <w:bottom w:val="single" w:color="auto" w:sz="4" w:space="0"/>
        </w:tcBorders>
      </w:tcPr>
    </w:tblStylePr>
  </w:style>
  <w:style w:type="character" w:customStyle="1" w:styleId="29">
    <w:name w:val="页眉 字符"/>
    <w:basedOn w:val="15"/>
    <w:link w:val="12"/>
    <w:qFormat/>
    <w:uiPriority w:val="99"/>
    <w:rPr>
      <w:rFonts w:ascii="Times New Roman" w:hAnsi="Times New Roman" w:eastAsia="宋体"/>
      <w:sz w:val="18"/>
      <w:szCs w:val="18"/>
    </w:rPr>
  </w:style>
  <w:style w:type="character" w:customStyle="1" w:styleId="30">
    <w:name w:val="页脚 字符"/>
    <w:basedOn w:val="15"/>
    <w:link w:val="11"/>
    <w:qFormat/>
    <w:uiPriority w:val="99"/>
    <w:rPr>
      <w:rFonts w:ascii="Times New Roman" w:hAnsi="Times New Roman" w:eastAsia="宋体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emf"/><Relationship Id="rId6" Type="http://schemas.openxmlformats.org/officeDocument/2006/relationships/image" Target="media/image1.emf"/><Relationship Id="rId55" Type="http://schemas.openxmlformats.org/officeDocument/2006/relationships/fontTable" Target="fontTable.xml"/><Relationship Id="rId54" Type="http://schemas.openxmlformats.org/officeDocument/2006/relationships/numbering" Target="numbering.xml"/><Relationship Id="rId53" Type="http://schemas.openxmlformats.org/officeDocument/2006/relationships/customXml" Target="../customXml/item1.xml"/><Relationship Id="rId52" Type="http://schemas.openxmlformats.org/officeDocument/2006/relationships/image" Target="media/image47.emf"/><Relationship Id="rId51" Type="http://schemas.openxmlformats.org/officeDocument/2006/relationships/image" Target="media/image46.emf"/><Relationship Id="rId50" Type="http://schemas.openxmlformats.org/officeDocument/2006/relationships/image" Target="media/image45.emf"/><Relationship Id="rId5" Type="http://schemas.openxmlformats.org/officeDocument/2006/relationships/theme" Target="theme/theme1.xml"/><Relationship Id="rId49" Type="http://schemas.openxmlformats.org/officeDocument/2006/relationships/image" Target="media/image44.emf"/><Relationship Id="rId48" Type="http://schemas.openxmlformats.org/officeDocument/2006/relationships/image" Target="media/image43.emf"/><Relationship Id="rId47" Type="http://schemas.openxmlformats.org/officeDocument/2006/relationships/image" Target="media/image42.emf"/><Relationship Id="rId46" Type="http://schemas.openxmlformats.org/officeDocument/2006/relationships/image" Target="media/image41.emf"/><Relationship Id="rId45" Type="http://schemas.openxmlformats.org/officeDocument/2006/relationships/image" Target="media/image40.emf"/><Relationship Id="rId44" Type="http://schemas.openxmlformats.org/officeDocument/2006/relationships/image" Target="media/image39.emf"/><Relationship Id="rId43" Type="http://schemas.openxmlformats.org/officeDocument/2006/relationships/image" Target="media/image38.emf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jpe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985</Words>
  <Characters>5615</Characters>
  <Lines>46</Lines>
  <Paragraphs>13</Paragraphs>
  <TotalTime>64</TotalTime>
  <ScaleCrop>false</ScaleCrop>
  <LinksUpToDate>false</LinksUpToDate>
  <CharactersWithSpaces>6587</CharactersWithSpaces>
  <Application>WPS Office_11.1.0.10578_F1E327BC-269C-435d-A152-05C5408002CA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2020-11-30T03:02:00Z</dcterms:created>
  <dc:creator>程观剑</dc:creator>
  <cp:lastModifiedBy>尹万健</cp:lastModifiedBy>
  <dcterms:modified xsi:type="dcterms:W3CDTF">2021-07-13T07:05:38Z</dcterms:modified>
  <cp:revision>21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2052-11.1.0.10578</vt:lpwstr>
  </property>
  <property fmtid="{D5CDD505-2E9C-101B-9397-08002B2CF9AE}" pid="3" name="ICV">
    <vt:lpwstr>2DDA16C127A8404FBA14C992FEEF4925</vt:lpwstr>
  </property>
</Properties>
</file>