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DE4D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eastAsia="宋体" w:cs="Times New Roman"/>
          <w:b/>
          <w:sz w:val="24"/>
          <w:szCs w:val="24"/>
        </w:rPr>
      </w:pPr>
      <w:bookmarkStart w:id="0" w:name="_Hlk202226720"/>
      <w:bookmarkStart w:id="1" w:name="_Hlk65187735"/>
      <w:r>
        <w:rPr>
          <w:rFonts w:hint="eastAsia" w:eastAsia="宋体" w:cs="Times New Roman"/>
          <w:b/>
          <w:i/>
          <w:iCs w:val="0"/>
          <w:sz w:val="24"/>
          <w:szCs w:val="24"/>
        </w:rPr>
        <w:t>Bacillus</w:t>
      </w:r>
      <w:r>
        <w:rPr>
          <w:rFonts w:hint="eastAsia" w:eastAsia="宋体" w:cs="Times New Roman"/>
          <w:b/>
          <w:iCs/>
          <w:sz w:val="24"/>
          <w:szCs w:val="24"/>
        </w:rPr>
        <w:t xml:space="preserve">-Mediated Transcriptional and Metabolic Reprogramming Mitigates Root Rot in </w:t>
      </w:r>
      <w:r>
        <w:rPr>
          <w:rFonts w:hint="eastAsia" w:eastAsia="宋体" w:cs="Times New Roman"/>
          <w:b/>
          <w:i/>
          <w:iCs w:val="0"/>
          <w:sz w:val="24"/>
          <w:szCs w:val="24"/>
        </w:rPr>
        <w:t>Coptis chinensis</w:t>
      </w:r>
    </w:p>
    <w:bookmarkEnd w:id="0"/>
    <w:bookmarkEnd w:id="1"/>
    <w:p w14:paraId="731C75FA">
      <w:pPr>
        <w:spacing w:line="360" w:lineRule="auto"/>
        <w:rPr>
          <w:rFonts w:eastAsia="宋体" w:cs="Times New Roman"/>
          <w:bCs/>
          <w:sz w:val="24"/>
          <w:szCs w:val="24"/>
        </w:rPr>
      </w:pPr>
      <w:r>
        <w:rPr>
          <w:rFonts w:hint="eastAsia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Na Li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eastAsia="宋体" w:cs="Times New Roman"/>
          <w:bCs/>
          <w:sz w:val="24"/>
          <w:szCs w:val="24"/>
          <w:vertAlign w:val="superscript"/>
        </w:rPr>
        <w:t>,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 xml:space="preserve"> 3</w:t>
      </w:r>
      <w:r>
        <w:rPr>
          <w:rFonts w:hint="eastAsia" w:eastAsia="宋体" w:cs="Times New Roman"/>
          <w:bCs/>
          <w:sz w:val="24"/>
          <w:szCs w:val="24"/>
        </w:rPr>
        <w:t>, Hailang Liao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2</w:t>
      </w:r>
      <w:r>
        <w:rPr>
          <w:rFonts w:hint="eastAsia" w:eastAsia="宋体" w:cs="Times New Roman"/>
          <w:bCs/>
          <w:sz w:val="24"/>
          <w:szCs w:val="24"/>
        </w:rPr>
        <w:t>,</w:t>
      </w:r>
      <w:r>
        <w:rPr>
          <w:rFonts w:hint="eastAsia" w:eastAsia="宋体" w:cs="Times New Roman"/>
          <w:bCs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Chi Zhang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eastAsia="宋体" w:cs="Times New Roman"/>
          <w:bCs/>
          <w:sz w:val="24"/>
          <w:szCs w:val="24"/>
          <w:vertAlign w:val="superscript"/>
        </w:rPr>
        <w:t>,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 xml:space="preserve"> 3</w:t>
      </w:r>
      <w:r>
        <w:rPr>
          <w:rFonts w:hint="eastAsia" w:eastAsia="宋体" w:cs="Times New Roman"/>
          <w:bCs/>
          <w:sz w:val="24"/>
          <w:szCs w:val="24"/>
        </w:rPr>
        <w:t xml:space="preserve">, 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Fe</w:t>
      </w:r>
      <w:r>
        <w:rPr>
          <w:rFonts w:hint="eastAsia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ifei Xu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eastAsia="宋体" w:cs="Times New Roman"/>
          <w:bCs/>
          <w:sz w:val="24"/>
          <w:szCs w:val="24"/>
          <w:vertAlign w:val="superscript"/>
        </w:rPr>
        <w:t>,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 xml:space="preserve"> 3</w:t>
      </w:r>
      <w:r>
        <w:rPr>
          <w:rFonts w:hint="eastAsia" w:eastAsia="宋体" w:cs="Times New Roman"/>
          <w:bCs/>
          <w:sz w:val="24"/>
          <w:szCs w:val="24"/>
        </w:rPr>
        <w:t xml:space="preserve">, 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WenJia Ke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eastAsia="宋体" w:cs="Times New Roman"/>
          <w:bCs/>
          <w:sz w:val="24"/>
          <w:szCs w:val="24"/>
          <w:vertAlign w:val="superscript"/>
        </w:rPr>
        <w:t>,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 xml:space="preserve"> 3</w:t>
      </w:r>
      <w:r>
        <w:rPr>
          <w:rFonts w:hint="eastAsia" w:eastAsia="宋体" w:cs="Times New Roman"/>
          <w:bCs/>
          <w:sz w:val="24"/>
          <w:szCs w:val="24"/>
        </w:rPr>
        <w:t xml:space="preserve">, </w:t>
      </w:r>
      <w:r>
        <w:rPr>
          <w:rFonts w:hint="eastAsia" w:eastAsia="宋体" w:cs="Times New Roman"/>
          <w:sz w:val="24"/>
          <w:szCs w:val="24"/>
          <w:lang w:val="en-US" w:eastAsia="zh-CN"/>
        </w:rPr>
        <w:t>Yang Xiao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eastAsia="宋体" w:cs="Times New Roman"/>
          <w:bCs/>
          <w:sz w:val="24"/>
          <w:szCs w:val="24"/>
          <w:vertAlign w:val="superscript"/>
        </w:rPr>
        <w:t>,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 xml:space="preserve"> 3</w:t>
      </w:r>
      <w:r>
        <w:rPr>
          <w:rFonts w:hint="eastAsia" w:eastAsia="宋体" w:cs="Times New Roman"/>
          <w:bCs/>
          <w:sz w:val="24"/>
          <w:szCs w:val="24"/>
        </w:rPr>
        <w:t xml:space="preserve">, 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JiJing Dong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5</w:t>
      </w:r>
      <w:r>
        <w:rPr>
          <w:rFonts w:hint="eastAsia" w:eastAsia="宋体" w:cs="Times New Roman"/>
          <w:bCs/>
          <w:sz w:val="24"/>
          <w:szCs w:val="24"/>
        </w:rPr>
        <w:t xml:space="preserve">, </w:t>
      </w:r>
      <w:r>
        <w:rPr>
          <w:rFonts w:hint="eastAsia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BinJie Xu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4</w:t>
      </w:r>
      <w:r>
        <w:rPr>
          <w:rFonts w:hint="eastAsia" w:eastAsia="宋体" w:cs="Times New Roman"/>
          <w:bCs/>
          <w:sz w:val="24"/>
          <w:szCs w:val="24"/>
          <w:vertAlign w:val="superscript"/>
        </w:rPr>
        <w:t>*</w:t>
      </w:r>
      <w:r>
        <w:rPr>
          <w:rFonts w:hint="eastAsia" w:eastAsia="宋体" w:cs="Times New Roman"/>
          <w:bCs/>
          <w:sz w:val="24"/>
          <w:szCs w:val="24"/>
        </w:rPr>
        <w:t>,</w:t>
      </w:r>
      <w:r>
        <w:rPr>
          <w:rFonts w:hint="eastAsia" w:eastAsia="宋体" w:cs="Times New Roman"/>
          <w:bCs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Tao</w:t>
      </w:r>
      <w:r>
        <w:rPr>
          <w:rFonts w:hint="eastAsia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Zhou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eastAsia="宋体" w:cs="Times New Roman"/>
          <w:bCs/>
          <w:sz w:val="24"/>
          <w:szCs w:val="24"/>
          <w:vertAlign w:val="superscript"/>
        </w:rPr>
        <w:t>,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 xml:space="preserve"> 3</w:t>
      </w:r>
      <w:r>
        <w:rPr>
          <w:rFonts w:hint="eastAsia" w:eastAsia="宋体" w:cs="Times New Roman"/>
          <w:bCs/>
          <w:sz w:val="24"/>
          <w:szCs w:val="24"/>
          <w:vertAlign w:val="superscript"/>
        </w:rPr>
        <w:t>*</w:t>
      </w:r>
      <w:r>
        <w:rPr>
          <w:rFonts w:hint="eastAsia" w:eastAsia="宋体" w:cs="Times New Roman"/>
          <w:bCs/>
          <w:sz w:val="24"/>
          <w:szCs w:val="24"/>
        </w:rPr>
        <w:t>, YunTong Ma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eastAsia="宋体" w:cs="Times New Roman"/>
          <w:bCs/>
          <w:sz w:val="24"/>
          <w:szCs w:val="24"/>
          <w:vertAlign w:val="superscript"/>
        </w:rPr>
        <w:t>,</w:t>
      </w: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 xml:space="preserve"> 3</w:t>
      </w:r>
      <w:r>
        <w:rPr>
          <w:rFonts w:hint="eastAsia" w:eastAsia="宋体" w:cs="Times New Roman"/>
          <w:bCs/>
          <w:sz w:val="24"/>
          <w:szCs w:val="24"/>
          <w:vertAlign w:val="superscript"/>
        </w:rPr>
        <w:t>*</w:t>
      </w:r>
    </w:p>
    <w:p w14:paraId="02F7E844">
      <w:pPr>
        <w:spacing w:line="360" w:lineRule="auto"/>
        <w:rPr>
          <w:rFonts w:eastAsia="宋体" w:cs="Times New Roman"/>
          <w:bCs/>
          <w:sz w:val="24"/>
          <w:szCs w:val="24"/>
        </w:rPr>
      </w:pP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1</w:t>
      </w:r>
      <w:r>
        <w:rPr>
          <w:rFonts w:hint="eastAsia" w:eastAsia="宋体" w:cs="Times New Roman"/>
          <w:sz w:val="24"/>
          <w:szCs w:val="24"/>
          <w:lang w:val="en-US" w:eastAsia="zh-CN"/>
        </w:rPr>
        <w:t>State Key Laboratory of Southwestern Chinese Medicine Resources</w:t>
      </w:r>
      <w:r>
        <w:rPr>
          <w:rFonts w:eastAsia="宋体" w:cs="Times New Roman"/>
          <w:sz w:val="24"/>
          <w:szCs w:val="24"/>
        </w:rPr>
        <w:t xml:space="preserve">, Chengdu University of Traditional Chinese Medicine, </w:t>
      </w:r>
      <w:r>
        <w:rPr>
          <w:rFonts w:hint="eastAsia" w:eastAsia="宋体" w:cs="Times New Roman"/>
          <w:sz w:val="24"/>
          <w:szCs w:val="24"/>
        </w:rPr>
        <w:t>Chengdu, Sichuan 611137, China</w:t>
      </w:r>
      <w:r>
        <w:rPr>
          <w:rFonts w:eastAsia="宋体" w:cs="Times New Roman"/>
          <w:sz w:val="24"/>
          <w:szCs w:val="24"/>
        </w:rPr>
        <w:t>.</w:t>
      </w:r>
    </w:p>
    <w:p w14:paraId="48306E0C">
      <w:pPr>
        <w:spacing w:line="360" w:lineRule="auto"/>
        <w:rPr>
          <w:rFonts w:hint="eastAsia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eastAsia" w:eastAsia="宋体" w:cs="Times New Roman"/>
          <w:sz w:val="24"/>
          <w:szCs w:val="24"/>
          <w:highlight w:val="none"/>
          <w:vertAlign w:val="superscript"/>
          <w:lang w:val="en-US" w:eastAsia="zh-CN"/>
        </w:rPr>
        <w:t>2</w:t>
      </w:r>
      <w:r>
        <w:rPr>
          <w:rFonts w:hint="eastAsia" w:eastAsia="宋体" w:cs="Times New Roman"/>
          <w:sz w:val="24"/>
          <w:szCs w:val="24"/>
          <w:highlight w:val="none"/>
          <w:lang w:val="en-US" w:eastAsia="zh-CN"/>
        </w:rPr>
        <w:t>Industrial Crop Research Institute, Sichuan Academy of Agricultural Sciences, Chengdu 610300, Sichuan, China</w:t>
      </w:r>
      <w:r>
        <w:rPr>
          <w:rFonts w:eastAsia="宋体" w:cs="Times New Roman"/>
          <w:sz w:val="24"/>
          <w:szCs w:val="24"/>
        </w:rPr>
        <w:t>.</w:t>
      </w:r>
    </w:p>
    <w:p w14:paraId="012469B3">
      <w:pPr>
        <w:spacing w:line="360" w:lineRule="auto"/>
        <w:rPr>
          <w:rFonts w:hint="eastAsia" w:eastAsia="宋体" w:cs="Times New Roman"/>
          <w:sz w:val="24"/>
          <w:szCs w:val="24"/>
          <w:lang w:val="en-US" w:eastAsia="zh-CN"/>
        </w:rPr>
      </w:pP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3</w:t>
      </w:r>
      <w:r>
        <w:rPr>
          <w:rFonts w:hint="eastAsia" w:eastAsia="宋体" w:cs="Times New Roman"/>
          <w:sz w:val="24"/>
          <w:szCs w:val="24"/>
        </w:rPr>
        <w:t>College of Pharmacy, Chengdu University of Traditional Chinese Medicine, Chengdu, Sichuan 611137, China</w:t>
      </w:r>
    </w:p>
    <w:p w14:paraId="2C8C6BD2">
      <w:pPr>
        <w:spacing w:line="360" w:lineRule="auto"/>
        <w:rPr>
          <w:rFonts w:eastAsia="宋体" w:cs="Times New Roman"/>
          <w:sz w:val="24"/>
          <w:szCs w:val="24"/>
        </w:rPr>
      </w:pP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4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Innovative Institute of Chinese Medicine and Pharmacy, Chengdu University of Traditional Chinese Medicine, </w:t>
      </w:r>
      <w:r>
        <w:rPr>
          <w:rFonts w:hint="eastAsia" w:eastAsia="宋体" w:cs="Times New Roman"/>
          <w:sz w:val="24"/>
          <w:szCs w:val="24"/>
        </w:rPr>
        <w:t>Chengdu, Sichuan 611137, China</w:t>
      </w:r>
      <w:r>
        <w:rPr>
          <w:rFonts w:eastAsia="宋体" w:cs="Times New Roman"/>
          <w:sz w:val="24"/>
          <w:szCs w:val="24"/>
        </w:rPr>
        <w:t>.</w:t>
      </w:r>
    </w:p>
    <w:p w14:paraId="64666102">
      <w:pPr>
        <w:spacing w:line="360" w:lineRule="auto"/>
        <w:rPr>
          <w:rFonts w:hint="eastAsia" w:eastAsia="宋体" w:cs="Times New Roman"/>
          <w:sz w:val="24"/>
          <w:szCs w:val="24"/>
          <w:lang w:val="en-US" w:eastAsia="zh-CN"/>
        </w:rPr>
      </w:pPr>
      <w:r>
        <w:rPr>
          <w:rFonts w:hint="eastAsia" w:eastAsia="宋体" w:cs="Times New Roman"/>
          <w:bCs/>
          <w:sz w:val="24"/>
          <w:szCs w:val="24"/>
          <w:vertAlign w:val="superscript"/>
          <w:lang w:val="en-US" w:eastAsia="zh-CN"/>
        </w:rPr>
        <w:t>5</w:t>
      </w:r>
      <w:r>
        <w:rPr>
          <w:rFonts w:hint="eastAsia" w:eastAsia="宋体" w:cs="Times New Roman"/>
          <w:sz w:val="24"/>
          <w:szCs w:val="24"/>
          <w:lang w:val="en-US" w:eastAsia="zh-CN"/>
        </w:rPr>
        <w:t>Traditional Chinese Medicine Hospital of Ya</w:t>
      </w:r>
      <w:r>
        <w:rPr>
          <w:rFonts w:hint="default" w:eastAsia="宋体" w:cs="Times New Roman"/>
          <w:sz w:val="24"/>
          <w:szCs w:val="24"/>
          <w:lang w:val="en-US" w:eastAsia="zh-CN"/>
        </w:rPr>
        <w:t>’</w:t>
      </w:r>
      <w:r>
        <w:rPr>
          <w:rFonts w:hint="eastAsia" w:eastAsia="宋体" w:cs="Times New Roman"/>
          <w:sz w:val="24"/>
          <w:szCs w:val="24"/>
          <w:lang w:val="en-US" w:eastAsia="zh-CN"/>
        </w:rPr>
        <w:t>an,</w:t>
      </w:r>
      <w:r>
        <w:rPr>
          <w:rFonts w:hint="eastAsia" w:eastAsia="宋体" w:cs="Times New Roman"/>
          <w:sz w:val="24"/>
          <w:szCs w:val="24"/>
        </w:rPr>
        <w:t xml:space="preserve"> Sichuan</w:t>
      </w:r>
      <w:r>
        <w:rPr>
          <w:rFonts w:hint="eastAsia" w:eastAsia="宋体" w:cs="Times New Roman"/>
          <w:sz w:val="24"/>
          <w:szCs w:val="24"/>
          <w:lang w:val="en-US" w:eastAsia="zh-CN"/>
        </w:rPr>
        <w:t>,</w:t>
      </w:r>
      <w:r>
        <w:rPr>
          <w:rFonts w:hint="eastAsia" w:eastAsia="宋体" w:cs="Times New Roman"/>
          <w:sz w:val="24"/>
          <w:szCs w:val="24"/>
        </w:rPr>
        <w:t xml:space="preserve"> China</w:t>
      </w:r>
      <w:r>
        <w:rPr>
          <w:rFonts w:eastAsia="宋体" w:cs="Times New Roman"/>
          <w:sz w:val="24"/>
          <w:szCs w:val="24"/>
        </w:rPr>
        <w:t>.</w:t>
      </w:r>
    </w:p>
    <w:p w14:paraId="37248B44">
      <w:pPr>
        <w:pStyle w:val="1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0"/>
        <w:jc w:val="both"/>
        <w:textAlignment w:val="auto"/>
        <w:rPr>
          <w:rFonts w:ascii="Times New Roman" w:hAnsi="Times New Roman" w:eastAsia="宋体"/>
          <w:b/>
          <w:sz w:val="24"/>
          <w:szCs w:val="24"/>
          <w:lang w:eastAsia="zh-CN"/>
        </w:rPr>
      </w:pPr>
      <w:bookmarkStart w:id="2" w:name="_GoBack"/>
      <w:bookmarkEnd w:id="2"/>
      <w:r>
        <w:rPr>
          <w:rFonts w:ascii="Times New Roman" w:hAnsi="Times New Roman" w:eastAsia="宋体"/>
          <w:sz w:val="24"/>
          <w:szCs w:val="24"/>
        </w:rPr>
        <w:t>*</w:t>
      </w:r>
      <w:r>
        <w:rPr>
          <w:rFonts w:ascii="Times New Roman" w:hAnsi="Times New Roman" w:eastAsia="宋体"/>
          <w:b/>
          <w:sz w:val="24"/>
          <w:szCs w:val="24"/>
        </w:rPr>
        <w:t>Corresponding author</w:t>
      </w:r>
      <w:r>
        <w:rPr>
          <w:rFonts w:hint="eastAsia" w:ascii="Times New Roman" w:hAnsi="Times New Roman" w:eastAsia="宋体"/>
          <w:b/>
          <w:sz w:val="24"/>
          <w:szCs w:val="24"/>
          <w:lang w:eastAsia="zh-CN"/>
        </w:rPr>
        <w:t>:</w:t>
      </w:r>
    </w:p>
    <w:p w14:paraId="1D34F1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BinJie Xu</w:t>
      </w:r>
      <w:r>
        <w:rPr>
          <w:rFonts w:hint="eastAsia" w:eastAsia="宋体" w:cs="Times New Roman"/>
          <w:sz w:val="24"/>
          <w:szCs w:val="24"/>
        </w:rPr>
        <w:t xml:space="preserve"> (</w:t>
      </w:r>
      <w:r>
        <w:rPr>
          <w:rFonts w:hint="eastAsia" w:eastAsia="宋体" w:cs="Times New Roman"/>
          <w:sz w:val="24"/>
          <w:szCs w:val="24"/>
          <w:lang w:val="en-US" w:eastAsia="zh-CN"/>
        </w:rPr>
        <w:t>Innovative Institute of Chinese Medicine and Pharmacy</w:t>
      </w:r>
      <w:r>
        <w:rPr>
          <w:rFonts w:eastAsia="宋体" w:cs="Times New Roman"/>
          <w:sz w:val="24"/>
          <w:szCs w:val="24"/>
          <w:highlight w:val="none"/>
        </w:rPr>
        <w:t>,</w:t>
      </w:r>
      <w:r>
        <w:rPr>
          <w:rFonts w:eastAsia="宋体" w:cs="Times New Roman"/>
          <w:sz w:val="24"/>
          <w:szCs w:val="24"/>
        </w:rPr>
        <w:t xml:space="preserve"> </w:t>
      </w:r>
      <w:r>
        <w:rPr>
          <w:rFonts w:eastAsia="宋体" w:cs="Times New Roman"/>
          <w:sz w:val="24"/>
          <w:szCs w:val="24"/>
          <w:highlight w:val="none"/>
        </w:rPr>
        <w:t xml:space="preserve">Chengdu University of Traditional Chinese Medicine, </w:t>
      </w:r>
      <w:r>
        <w:rPr>
          <w:rFonts w:hint="eastAsia" w:eastAsia="宋体" w:cs="Times New Roman"/>
          <w:sz w:val="24"/>
          <w:szCs w:val="24"/>
        </w:rPr>
        <w:t>Chengdu, Sichuan 611137, China</w:t>
      </w:r>
      <w:r>
        <w:rPr>
          <w:rFonts w:eastAsia="宋体" w:cs="Times New Roman"/>
          <w:sz w:val="24"/>
          <w:szCs w:val="24"/>
          <w:highlight w:val="none"/>
        </w:rPr>
        <w:t>.</w:t>
      </w:r>
      <w:r>
        <w:rPr>
          <w:rFonts w:hint="eastAsia" w:eastAsia="宋体" w:cs="Times New Roman"/>
          <w:bCs/>
          <w:sz w:val="24"/>
          <w:szCs w:val="24"/>
          <w:highlight w:val="none"/>
        </w:rPr>
        <w:t xml:space="preserve"> Email</w:t>
      </w:r>
      <w:r>
        <w:rPr>
          <w:rFonts w:hint="eastAsia" w:eastAsia="宋体" w:cs="Times New Roman"/>
          <w:bCs/>
          <w:sz w:val="24"/>
          <w:szCs w:val="24"/>
          <w:highlight w:val="none"/>
          <w:lang w:val="en-US" w:eastAsia="zh-CN"/>
        </w:rPr>
        <w:t>:</w:t>
      </w:r>
      <w:r>
        <w:rPr>
          <w:rFonts w:hint="eastAsia" w:eastAsia="宋体" w:cs="Times New Roman"/>
          <w:bCs/>
          <w:sz w:val="24"/>
          <w:szCs w:val="24"/>
          <w:highlight w:val="none"/>
        </w:rPr>
        <w:t xml:space="preserve"> binjiexu@outlook.com</w:t>
      </w:r>
      <w:r>
        <w:rPr>
          <w:rFonts w:hint="eastAsia" w:eastAsia="宋体" w:cs="Times New Roman"/>
          <w:sz w:val="24"/>
          <w:szCs w:val="24"/>
          <w:highlight w:val="none"/>
        </w:rPr>
        <w:t>)</w:t>
      </w:r>
    </w:p>
    <w:p w14:paraId="0FFF7BF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eastAsia="宋体" w:cs="Times New Roman"/>
          <w:sz w:val="24"/>
          <w:szCs w:val="24"/>
          <w:highlight w:val="none"/>
        </w:rPr>
      </w:pP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Tao</w:t>
      </w:r>
      <w:r>
        <w:rPr>
          <w:rFonts w:hint="eastAsia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宋体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Zhou</w:t>
      </w:r>
      <w:r>
        <w:rPr>
          <w:rFonts w:hint="eastAsia" w:eastAsia="宋体" w:cs="Times New Roman"/>
          <w:sz w:val="24"/>
          <w:szCs w:val="24"/>
        </w:rPr>
        <w:t xml:space="preserve"> (</w:t>
      </w:r>
      <w:r>
        <w:rPr>
          <w:rFonts w:eastAsia="宋体" w:cs="Times New Roman"/>
          <w:sz w:val="24"/>
          <w:szCs w:val="24"/>
        </w:rPr>
        <w:t xml:space="preserve">College of Pharmacy, </w:t>
      </w:r>
      <w:r>
        <w:rPr>
          <w:rFonts w:eastAsia="宋体" w:cs="Times New Roman"/>
          <w:sz w:val="24"/>
          <w:szCs w:val="24"/>
          <w:highlight w:val="none"/>
        </w:rPr>
        <w:t xml:space="preserve">Chengdu University of Traditional Chinese Medicine, </w:t>
      </w:r>
      <w:r>
        <w:rPr>
          <w:rFonts w:hint="eastAsia" w:eastAsia="宋体" w:cs="Times New Roman"/>
          <w:sz w:val="24"/>
          <w:szCs w:val="24"/>
        </w:rPr>
        <w:t>Chengdu, Sichuan 611137, China</w:t>
      </w:r>
      <w:r>
        <w:rPr>
          <w:rFonts w:eastAsia="宋体" w:cs="Times New Roman"/>
          <w:sz w:val="24"/>
          <w:szCs w:val="24"/>
          <w:highlight w:val="none"/>
        </w:rPr>
        <w:t>.</w:t>
      </w:r>
      <w:r>
        <w:rPr>
          <w:rFonts w:hint="eastAsia" w:eastAsia="宋体" w:cs="Times New Roman"/>
          <w:bCs/>
          <w:sz w:val="24"/>
          <w:szCs w:val="24"/>
          <w:highlight w:val="none"/>
        </w:rPr>
        <w:t xml:space="preserve"> Email</w:t>
      </w:r>
      <w:r>
        <w:rPr>
          <w:rFonts w:hint="eastAsia" w:eastAsia="宋体" w:cs="Times New Roman"/>
          <w:bCs/>
          <w:sz w:val="24"/>
          <w:szCs w:val="24"/>
          <w:highlight w:val="none"/>
          <w:lang w:val="en-US" w:eastAsia="zh-CN"/>
        </w:rPr>
        <w:t>:</w:t>
      </w:r>
      <w:r>
        <w:rPr>
          <w:rFonts w:hint="eastAsia" w:eastAsia="宋体" w:cs="Times New Roman"/>
          <w:bCs/>
          <w:sz w:val="24"/>
          <w:szCs w:val="24"/>
          <w:highlight w:val="none"/>
        </w:rPr>
        <w:t xml:space="preserve"> 364462907@qq.com</w:t>
      </w:r>
      <w:r>
        <w:rPr>
          <w:rFonts w:hint="eastAsia" w:eastAsia="宋体" w:cs="Times New Roman"/>
          <w:sz w:val="24"/>
          <w:szCs w:val="24"/>
          <w:highlight w:val="none"/>
        </w:rPr>
        <w:t>)</w:t>
      </w:r>
    </w:p>
    <w:p w14:paraId="2F16313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  <w:r>
        <w:rPr>
          <w:rFonts w:eastAsia="宋体" w:cs="Times New Roman"/>
          <w:sz w:val="24"/>
          <w:szCs w:val="24"/>
          <w:highlight w:val="none"/>
        </w:rPr>
        <w:t>Yun</w:t>
      </w:r>
      <w:r>
        <w:rPr>
          <w:rFonts w:hint="eastAsia" w:eastAsia="宋体" w:cs="Times New Roman"/>
          <w:sz w:val="24"/>
          <w:szCs w:val="24"/>
          <w:highlight w:val="none"/>
        </w:rPr>
        <w:t>T</w:t>
      </w:r>
      <w:r>
        <w:rPr>
          <w:rFonts w:eastAsia="宋体" w:cs="Times New Roman"/>
          <w:sz w:val="24"/>
          <w:szCs w:val="24"/>
          <w:highlight w:val="none"/>
        </w:rPr>
        <w:t xml:space="preserve">ong Ma (College of Pharmacy, Chengdu University of Traditional Chinese Medicine, </w:t>
      </w:r>
      <w:r>
        <w:rPr>
          <w:rFonts w:hint="eastAsia" w:eastAsia="宋体" w:cs="Times New Roman"/>
          <w:sz w:val="24"/>
          <w:szCs w:val="24"/>
        </w:rPr>
        <w:t>Chengdu, Sichuan 611137, China</w:t>
      </w:r>
      <w:r>
        <w:rPr>
          <w:rFonts w:eastAsia="宋体" w:cs="Times New Roman"/>
          <w:sz w:val="24"/>
          <w:szCs w:val="24"/>
          <w:highlight w:val="none"/>
        </w:rPr>
        <w:t>. E-mail: mayuntong@cdutcm.edu.cn)</w:t>
      </w:r>
      <w:r>
        <w:rPr>
          <w:rFonts w:eastAsia="宋体" w:cs="Times New Roman"/>
          <w:sz w:val="24"/>
          <w:szCs w:val="24"/>
        </w:rPr>
        <w:br w:type="page"/>
      </w:r>
    </w:p>
    <w:p w14:paraId="5153303D">
      <w:pPr>
        <w:pStyle w:val="2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Figure captions</w:t>
      </w:r>
    </w:p>
    <w:p w14:paraId="0A0C99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240" w:beforeLines="100" w:after="120" w:afterLines="50" w:line="360" w:lineRule="auto"/>
        <w:ind w:left="482" w:hanging="482" w:hangingChars="200"/>
        <w:textAlignment w:val="auto"/>
        <w:rPr>
          <w:rFonts w:hint="eastAsia" w:eastAsia="宋体" w:cs="Times New Roman"/>
          <w:sz w:val="24"/>
          <w:szCs w:val="24"/>
        </w:rPr>
      </w:pPr>
      <w:r>
        <w:rPr>
          <w:rFonts w:hint="eastAsia" w:eastAsia="宋体" w:cs="Times New Roman"/>
          <w:b/>
          <w:bCs/>
          <w:sz w:val="24"/>
          <w:szCs w:val="24"/>
        </w:rPr>
        <w:t>Supplementary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b/>
          <w:bCs/>
          <w:sz w:val="24"/>
          <w:szCs w:val="24"/>
        </w:rPr>
        <w:t xml:space="preserve">Fig. 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eastAsia" w:eastAsia="宋体" w:cs="Times New Roman"/>
          <w:b/>
          <w:bCs/>
          <w:sz w:val="24"/>
          <w:szCs w:val="24"/>
        </w:rPr>
        <w:t>1.</w:t>
      </w:r>
      <w:r>
        <w:rPr>
          <w:rFonts w:hint="eastAsia" w:eastAsia="宋体" w:cs="Times New Roman"/>
          <w:sz w:val="24"/>
          <w:szCs w:val="24"/>
        </w:rPr>
        <w:t xml:space="preserve"> In vitro compatibility test of 4 Bacillus: (A) </w:t>
      </w:r>
      <w:r>
        <w:rPr>
          <w:rFonts w:hint="eastAsia" w:eastAsia="宋体" w:cs="Times New Roman"/>
          <w:i/>
          <w:iCs/>
          <w:sz w:val="24"/>
          <w:szCs w:val="24"/>
        </w:rPr>
        <w:t xml:space="preserve">B. mycoides </w:t>
      </w:r>
      <w:r>
        <w:rPr>
          <w:rFonts w:hint="eastAsia" w:eastAsia="宋体" w:cs="Times New Roman"/>
          <w:sz w:val="24"/>
          <w:szCs w:val="24"/>
        </w:rPr>
        <w:t xml:space="preserve">vs </w:t>
      </w:r>
      <w:r>
        <w:rPr>
          <w:rFonts w:hint="eastAsia" w:eastAsia="宋体" w:cs="Times New Roman"/>
          <w:i/>
          <w:iCs/>
          <w:sz w:val="24"/>
          <w:szCs w:val="24"/>
        </w:rPr>
        <w:t>B. pseudomycoides</w:t>
      </w:r>
      <w:r>
        <w:rPr>
          <w:rFonts w:hint="eastAsia" w:eastAsia="宋体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B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i/>
          <w:iCs/>
          <w:sz w:val="24"/>
          <w:szCs w:val="24"/>
        </w:rPr>
        <w:t>B. mycoides</w:t>
      </w:r>
      <w:r>
        <w:rPr>
          <w:rFonts w:hint="eastAsia" w:eastAsia="宋体" w:cs="Times New Roman"/>
          <w:sz w:val="24"/>
          <w:szCs w:val="24"/>
        </w:rPr>
        <w:t xml:space="preserve"> vs </w:t>
      </w:r>
      <w:r>
        <w:rPr>
          <w:rFonts w:hint="eastAsia" w:eastAsia="宋体" w:cs="Times New Roman"/>
          <w:i/>
          <w:iCs/>
          <w:sz w:val="24"/>
          <w:szCs w:val="24"/>
        </w:rPr>
        <w:t>B. subtilis</w:t>
      </w:r>
      <w:r>
        <w:rPr>
          <w:rFonts w:hint="eastAsia" w:eastAsia="宋体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C</w:t>
      </w:r>
      <w:r>
        <w:rPr>
          <w:rFonts w:hint="eastAsia" w:eastAsia="宋体" w:cs="Times New Roman"/>
          <w:sz w:val="24"/>
          <w:szCs w:val="24"/>
        </w:rPr>
        <w:t xml:space="preserve">) </w:t>
      </w:r>
      <w:r>
        <w:rPr>
          <w:rFonts w:hint="eastAsia" w:eastAsia="宋体" w:cs="Times New Roman"/>
          <w:i/>
          <w:iCs/>
          <w:sz w:val="24"/>
          <w:szCs w:val="24"/>
        </w:rPr>
        <w:t>B. mycoides</w:t>
      </w:r>
      <w:r>
        <w:rPr>
          <w:rFonts w:hint="eastAsia" w:eastAsia="宋体" w:cs="Times New Roman"/>
          <w:sz w:val="24"/>
          <w:szCs w:val="24"/>
        </w:rPr>
        <w:t xml:space="preserve"> vs </w:t>
      </w:r>
      <w:r>
        <w:rPr>
          <w:rFonts w:hint="eastAsia" w:eastAsia="宋体" w:cs="Times New Roman"/>
          <w:i/>
          <w:iCs/>
          <w:sz w:val="24"/>
          <w:szCs w:val="24"/>
        </w:rPr>
        <w:t>B. velezensis</w:t>
      </w:r>
      <w:r>
        <w:rPr>
          <w:rFonts w:hint="eastAsia" w:eastAsia="宋体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D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i/>
          <w:iCs/>
          <w:sz w:val="24"/>
          <w:szCs w:val="24"/>
        </w:rPr>
        <w:t>B. velezensis</w:t>
      </w:r>
      <w:r>
        <w:rPr>
          <w:rFonts w:hint="eastAsia" w:eastAsia="宋体" w:cs="Times New Roman"/>
          <w:sz w:val="24"/>
          <w:szCs w:val="24"/>
        </w:rPr>
        <w:t xml:space="preserve"> vs </w:t>
      </w:r>
      <w:r>
        <w:rPr>
          <w:rFonts w:hint="eastAsia" w:eastAsia="宋体" w:cs="Times New Roman"/>
          <w:i/>
          <w:iCs/>
          <w:sz w:val="24"/>
          <w:szCs w:val="24"/>
        </w:rPr>
        <w:t>B. pseudomycoides</w:t>
      </w:r>
      <w:r>
        <w:rPr>
          <w:rFonts w:hint="eastAsia" w:eastAsia="宋体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E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i/>
          <w:iCs/>
          <w:sz w:val="24"/>
          <w:szCs w:val="24"/>
        </w:rPr>
        <w:t>B. velezensis</w:t>
      </w:r>
      <w:r>
        <w:rPr>
          <w:rFonts w:hint="eastAsia" w:eastAsia="宋体" w:cs="Times New Roman"/>
          <w:sz w:val="24"/>
          <w:szCs w:val="24"/>
        </w:rPr>
        <w:t xml:space="preserve"> vs </w:t>
      </w:r>
      <w:r>
        <w:rPr>
          <w:rFonts w:hint="eastAsia" w:eastAsia="宋体" w:cs="Times New Roman"/>
          <w:i/>
          <w:iCs/>
          <w:sz w:val="24"/>
          <w:szCs w:val="24"/>
        </w:rPr>
        <w:t>B. subtilis</w:t>
      </w:r>
      <w:r>
        <w:rPr>
          <w:rFonts w:hint="eastAsia" w:eastAsia="宋体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F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i/>
          <w:iCs/>
          <w:sz w:val="24"/>
          <w:szCs w:val="24"/>
        </w:rPr>
        <w:t>B. subtilis</w:t>
      </w:r>
      <w:r>
        <w:rPr>
          <w:rFonts w:hint="eastAsia" w:eastAsia="宋体" w:cs="Times New Roman"/>
          <w:sz w:val="24"/>
          <w:szCs w:val="24"/>
        </w:rPr>
        <w:t xml:space="preserve"> vs </w:t>
      </w:r>
      <w:r>
        <w:rPr>
          <w:rFonts w:hint="eastAsia" w:eastAsia="宋体" w:cs="Times New Roman"/>
          <w:i/>
          <w:iCs/>
          <w:sz w:val="24"/>
          <w:szCs w:val="24"/>
        </w:rPr>
        <w:t>B. pseudomycoides</w:t>
      </w:r>
      <w:r>
        <w:rPr>
          <w:rFonts w:hint="eastAsia" w:eastAsia="宋体" w:cs="Times New Roman"/>
          <w:sz w:val="24"/>
          <w:szCs w:val="24"/>
        </w:rPr>
        <w:t>. Scale bar, 1cm.</w:t>
      </w:r>
    </w:p>
    <w:p w14:paraId="5B601A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240" w:beforeLines="100" w:after="120" w:afterLines="50" w:line="360" w:lineRule="auto"/>
        <w:ind w:left="482" w:hanging="482" w:hangingChars="200"/>
        <w:textAlignment w:val="auto"/>
        <w:rPr>
          <w:rFonts w:eastAsia="宋体" w:cs="Times New Roman"/>
          <w:sz w:val="24"/>
          <w:szCs w:val="24"/>
        </w:rPr>
      </w:pPr>
      <w:r>
        <w:rPr>
          <w:rFonts w:hint="eastAsia" w:eastAsia="宋体" w:cs="Times New Roman"/>
          <w:b/>
          <w:bCs/>
          <w:sz w:val="24"/>
          <w:szCs w:val="24"/>
        </w:rPr>
        <w:t>Supplementary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b/>
          <w:bCs/>
          <w:sz w:val="24"/>
          <w:szCs w:val="24"/>
        </w:rPr>
        <w:t xml:space="preserve">Fig. 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S2</w:t>
      </w:r>
      <w:r>
        <w:rPr>
          <w:rFonts w:hint="eastAsia" w:eastAsia="宋体" w:cs="Times New Roman"/>
          <w:b/>
          <w:bCs/>
          <w:sz w:val="24"/>
          <w:szCs w:val="24"/>
        </w:rPr>
        <w:t>.</w:t>
      </w:r>
      <w:r>
        <w:rPr>
          <w:rFonts w:hint="eastAsia" w:eastAsia="宋体" w:cs="Times New Roman"/>
          <w:sz w:val="24"/>
          <w:szCs w:val="24"/>
        </w:rPr>
        <w:t xml:space="preserve"> PCA statistical analysis of transcriptome of </w:t>
      </w:r>
      <w:r>
        <w:rPr>
          <w:rFonts w:hint="eastAsia" w:eastAsia="宋体" w:cs="Times New Roman"/>
          <w:i/>
          <w:iCs/>
          <w:sz w:val="24"/>
          <w:szCs w:val="24"/>
        </w:rPr>
        <w:t>Coptis chinensis</w:t>
      </w:r>
      <w:r>
        <w:rPr>
          <w:rFonts w:hint="eastAsia" w:eastAsia="宋体" w:cs="Times New Roman"/>
          <w:sz w:val="24"/>
          <w:szCs w:val="24"/>
        </w:rPr>
        <w:t xml:space="preserve"> roots under different treatments.</w:t>
      </w:r>
    </w:p>
    <w:p w14:paraId="332F08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240" w:beforeLines="100" w:after="120" w:afterLines="50" w:line="360" w:lineRule="auto"/>
        <w:ind w:left="482" w:hanging="482" w:hangingChars="200"/>
        <w:textAlignment w:val="auto"/>
        <w:rPr>
          <w:rFonts w:eastAsia="宋体" w:cs="Times New Roman"/>
          <w:sz w:val="24"/>
          <w:szCs w:val="24"/>
        </w:rPr>
      </w:pPr>
      <w:r>
        <w:rPr>
          <w:rFonts w:hint="eastAsia" w:eastAsia="宋体" w:cs="Times New Roman"/>
          <w:b/>
          <w:bCs/>
          <w:sz w:val="24"/>
          <w:szCs w:val="24"/>
        </w:rPr>
        <w:t>Supplementary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b/>
          <w:bCs/>
          <w:sz w:val="24"/>
          <w:szCs w:val="24"/>
        </w:rPr>
        <w:t xml:space="preserve">Fig. 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S3</w:t>
      </w:r>
      <w:r>
        <w:rPr>
          <w:rFonts w:hint="eastAsia" w:eastAsia="宋体" w:cs="Times New Roman"/>
          <w:b/>
          <w:bCs/>
          <w:sz w:val="24"/>
          <w:szCs w:val="24"/>
        </w:rPr>
        <w:t>.</w:t>
      </w:r>
      <w:r>
        <w:rPr>
          <w:rFonts w:hint="eastAsia" w:eastAsia="宋体" w:cs="Times New Roman"/>
          <w:sz w:val="24"/>
          <w:szCs w:val="24"/>
        </w:rPr>
        <w:t xml:space="preserve"> Pathways related to disease resistance and the expression levels of key genes.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A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sz w:val="24"/>
          <w:szCs w:val="24"/>
        </w:rPr>
        <w:t>MAPK signaling pathway and plant-pathogen interaction pathway.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B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sz w:val="24"/>
          <w:szCs w:val="24"/>
        </w:rPr>
        <w:t>Plant hormone signal transduction pathway.</w:t>
      </w:r>
    </w:p>
    <w:p w14:paraId="305B4C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6F660D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1E6A01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58120B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0C9B03E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67E9EB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7E5010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0882AF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091BCE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0879A1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68E5BE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04D4A5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20C8CB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23D4C4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03AB6F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160" w:line="360" w:lineRule="auto"/>
        <w:jc w:val="left"/>
        <w:textAlignment w:val="auto"/>
        <w:rPr>
          <w:rFonts w:eastAsia="宋体" w:cs="Times New Roman"/>
          <w:sz w:val="24"/>
          <w:szCs w:val="24"/>
        </w:rPr>
      </w:pPr>
    </w:p>
    <w:p w14:paraId="63D290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cs="Times New Roman"/>
        </w:rPr>
      </w:pPr>
    </w:p>
    <w:p w14:paraId="0E2C8A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 w:eastAsiaTheme="minorEastAsia"/>
          <w:lang w:eastAsia="zh-CN"/>
        </w:rPr>
      </w:pPr>
      <w:r>
        <w:rPr>
          <w:rFonts w:hint="eastAsia" w:cs="Times New Roman" w:eastAsiaTheme="minorEastAsia"/>
          <w:lang w:eastAsia="zh-CN"/>
        </w:rPr>
        <w:drawing>
          <wp:inline distT="0" distB="0" distL="114300" distR="114300">
            <wp:extent cx="5269865" cy="3512820"/>
            <wp:effectExtent l="0" t="0" r="8890" b="6350"/>
            <wp:docPr id="2" name="图片 2" descr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icture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99AF"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Supplementary Fig. S</w:t>
      </w:r>
      <w:r>
        <w:rPr>
          <w:rFonts w:hint="eastAsia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In vitro compatibility test of 4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Bacillus</w:t>
      </w:r>
      <w:r>
        <w:rPr>
          <w:rFonts w:hint="default" w:ascii="Times New Roman" w:hAnsi="Times New Roman" w:cs="Times New Roman"/>
          <w:sz w:val="24"/>
          <w:szCs w:val="24"/>
        </w:rPr>
        <w:t>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Times New Roman"/>
          <w:sz w:val="24"/>
          <w:szCs w:val="24"/>
        </w:rPr>
        <w:t>(A)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B. mycoides</w:t>
      </w:r>
      <w:r>
        <w:rPr>
          <w:rFonts w:hint="default" w:ascii="Times New Roman" w:hAnsi="Times New Roman" w:cs="Times New Roman"/>
          <w:sz w:val="24"/>
          <w:szCs w:val="24"/>
        </w:rPr>
        <w:t xml:space="preserve"> vs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B. pseudomycoides</w:t>
      </w:r>
      <w:r>
        <w:rPr>
          <w:rFonts w:hint="eastAsia" w:eastAsia="宋体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B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B. mycoides</w:t>
      </w:r>
      <w:r>
        <w:rPr>
          <w:rFonts w:hint="default" w:ascii="Times New Roman" w:hAnsi="Times New Roman" w:cs="Times New Roman"/>
          <w:sz w:val="24"/>
          <w:szCs w:val="24"/>
        </w:rPr>
        <w:t xml:space="preserve"> vs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B. subtilis</w:t>
      </w:r>
      <w:r>
        <w:rPr>
          <w:rFonts w:hint="eastAsia" w:eastAsia="宋体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C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B. mycoides</w:t>
      </w:r>
      <w:r>
        <w:rPr>
          <w:rFonts w:hint="default" w:ascii="Times New Roman" w:hAnsi="Times New Roman" w:cs="Times New Roman"/>
          <w:sz w:val="24"/>
          <w:szCs w:val="24"/>
        </w:rPr>
        <w:t xml:space="preserve"> vs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B. velezensis</w:t>
      </w:r>
      <w:r>
        <w:rPr>
          <w:rFonts w:hint="eastAsia" w:eastAsia="宋体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D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B. velezensis</w:t>
      </w:r>
      <w:r>
        <w:rPr>
          <w:rFonts w:hint="default" w:ascii="Times New Roman" w:hAnsi="Times New Roman" w:cs="Times New Roman"/>
          <w:sz w:val="24"/>
          <w:szCs w:val="24"/>
        </w:rPr>
        <w:t xml:space="preserve"> vs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B. pseudomycoides</w:t>
      </w:r>
      <w:r>
        <w:rPr>
          <w:rFonts w:hint="eastAsia" w:eastAsia="宋体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E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B. velezensis</w:t>
      </w:r>
      <w:r>
        <w:rPr>
          <w:rFonts w:hint="default" w:ascii="Times New Roman" w:hAnsi="Times New Roman" w:cs="Times New Roman"/>
          <w:sz w:val="24"/>
          <w:szCs w:val="24"/>
        </w:rPr>
        <w:t xml:space="preserve"> vs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B. subtilis</w:t>
      </w:r>
      <w:r>
        <w:rPr>
          <w:rFonts w:hint="eastAsia" w:eastAsia="宋体" w:cs="Times New Roman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F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 xml:space="preserve">B. subtilis </w:t>
      </w:r>
      <w:r>
        <w:rPr>
          <w:rFonts w:hint="default" w:ascii="Times New Roman" w:hAnsi="Times New Roman" w:cs="Times New Roman"/>
          <w:sz w:val="24"/>
          <w:szCs w:val="24"/>
        </w:rPr>
        <w:t xml:space="preserve">vs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B. pseudomycoides</w:t>
      </w:r>
      <w:r>
        <w:rPr>
          <w:rFonts w:hint="default" w:ascii="Times New Roman" w:hAnsi="Times New Roman" w:cs="Times New Roman"/>
          <w:sz w:val="24"/>
          <w:szCs w:val="24"/>
        </w:rPr>
        <w:t>. Scale bar, 1cm.</w:t>
      </w:r>
    </w:p>
    <w:p w14:paraId="23F1831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cs="Times New Roman"/>
        </w:rPr>
      </w:pPr>
    </w:p>
    <w:p w14:paraId="0EB469B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cs="Times New Roman"/>
        </w:rPr>
      </w:pPr>
    </w:p>
    <w:p w14:paraId="413045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 w:eastAsiaTheme="minorEastAsia"/>
          <w:lang w:eastAsia="zh-CN"/>
        </w:rPr>
      </w:pPr>
    </w:p>
    <w:p w14:paraId="45B7BD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 w:eastAsiaTheme="minorEastAsia"/>
          <w:lang w:eastAsia="zh-CN"/>
        </w:rPr>
      </w:pPr>
    </w:p>
    <w:p w14:paraId="394625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5C9594B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130A83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6531C7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24DAA6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60FFE8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7D25F7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1D3FCE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254881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318D98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1B6B9F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2F273D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6D1B60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6B906B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hint="eastAsia" w:cs="Times New Roman"/>
          <w:color w:val="auto"/>
        </w:rPr>
      </w:pPr>
    </w:p>
    <w:p w14:paraId="582E85D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66390" cy="2612390"/>
            <wp:effectExtent l="0" t="0" r="5080" b="0"/>
            <wp:docPr id="5" name="图片 5" descr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icture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1B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Supplementary Fig. S2.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PCA statistical analysis of transcriptome of </w:t>
      </w:r>
      <w:r>
        <w:rPr>
          <w:rFonts w:hint="eastAsia" w:eastAsia="宋体" w:cs="Times New Roman"/>
          <w:i/>
          <w:iCs/>
          <w:sz w:val="24"/>
          <w:szCs w:val="24"/>
        </w:rPr>
        <w:t>Coptis chinensis</w:t>
      </w:r>
      <w:r>
        <w:rPr>
          <w:rFonts w:hint="default" w:ascii="Times New Roman" w:hAnsi="Times New Roman" w:cs="Times New Roman"/>
          <w:color w:val="auto"/>
          <w:sz w:val="24"/>
          <w:szCs w:val="24"/>
        </w:rPr>
        <w:t xml:space="preserve"> roots under different treatments.</w:t>
      </w:r>
    </w:p>
    <w:p w14:paraId="68C4A7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default" w:ascii="Arial" w:hAnsi="Arial" w:cs="Arial"/>
          <w:color w:val="auto"/>
          <w:sz w:val="20"/>
          <w:szCs w:val="22"/>
        </w:rPr>
      </w:pPr>
    </w:p>
    <w:p w14:paraId="75C4A2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default" w:ascii="Arial" w:hAnsi="Arial" w:cs="Arial"/>
          <w:color w:val="auto"/>
          <w:sz w:val="20"/>
          <w:szCs w:val="22"/>
        </w:rPr>
      </w:pPr>
    </w:p>
    <w:p w14:paraId="65F631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default" w:ascii="Arial" w:hAnsi="Arial" w:cs="Arial"/>
          <w:color w:val="auto"/>
          <w:sz w:val="20"/>
          <w:szCs w:val="22"/>
        </w:rPr>
      </w:pPr>
    </w:p>
    <w:p w14:paraId="070AF3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default" w:ascii="Arial" w:hAnsi="Arial" w:cs="Arial"/>
          <w:color w:val="auto"/>
          <w:sz w:val="20"/>
          <w:szCs w:val="22"/>
        </w:rPr>
      </w:pPr>
    </w:p>
    <w:p w14:paraId="52F69C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Arial" w:hAnsi="Arial" w:cs="Arial" w:eastAsiaTheme="minorEastAsia"/>
          <w:color w:val="auto"/>
          <w:sz w:val="20"/>
          <w:szCs w:val="22"/>
          <w:lang w:eastAsia="zh-CN"/>
        </w:rPr>
      </w:pPr>
      <w:r>
        <w:rPr>
          <w:rFonts w:hint="eastAsia" w:ascii="Arial" w:hAnsi="Arial" w:cs="Arial" w:eastAsiaTheme="minorEastAsia"/>
          <w:color w:val="auto"/>
          <w:sz w:val="20"/>
          <w:szCs w:val="22"/>
          <w:lang w:eastAsia="zh-CN"/>
        </w:rPr>
        <w:drawing>
          <wp:inline distT="0" distB="0" distL="114300" distR="114300">
            <wp:extent cx="5266690" cy="5925185"/>
            <wp:effectExtent l="0" t="0" r="1270" b="1270"/>
            <wp:docPr id="9" name="图片 9" descr="关键基因通路-3-4组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关键基因通路-3-4组_0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9750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default" w:ascii="Times New Roman" w:hAnsi="Times New Roman" w:cs="Times New Roman"/>
          <w:color w:val="auto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Supplementary Fig. S3.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Pathways related to disease resistance and the expression levels of key genes.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A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MAPK signaling pathway and plant-pathogen interaction pathway. </w:t>
      </w:r>
      <w:r>
        <w:rPr>
          <w:rFonts w:hint="eastAsia" w:eastAsia="宋体" w:cs="Times New Roman"/>
          <w:sz w:val="24"/>
          <w:szCs w:val="24"/>
        </w:rPr>
        <w:t>(</w:t>
      </w:r>
      <w:r>
        <w:rPr>
          <w:rFonts w:hint="eastAsia" w:eastAsia="宋体" w:cs="Times New Roman"/>
          <w:sz w:val="24"/>
          <w:szCs w:val="24"/>
          <w:lang w:val="en-US" w:eastAsia="zh-CN"/>
        </w:rPr>
        <w:t>B</w:t>
      </w:r>
      <w:r>
        <w:rPr>
          <w:rFonts w:hint="eastAsia" w:eastAsia="宋体" w:cs="Times New Roman"/>
          <w:sz w:val="24"/>
          <w:szCs w:val="24"/>
        </w:rPr>
        <w:t>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>Plant hormone signal transduction pathway.</w:t>
      </w:r>
    </w:p>
    <w:p w14:paraId="34257F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Arial" w:hAnsi="Arial" w:cs="Arial" w:eastAsiaTheme="minorEastAsia"/>
          <w:color w:val="auto"/>
          <w:sz w:val="20"/>
          <w:szCs w:val="22"/>
          <w:lang w:eastAsia="zh-CN"/>
        </w:rPr>
      </w:pPr>
    </w:p>
    <w:p w14:paraId="5130F36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eastAsia="宋体" w:cs="Times New Roman"/>
          <w:sz w:val="24"/>
          <w:szCs w:val="24"/>
        </w:rPr>
      </w:pPr>
    </w:p>
    <w:sectPr>
      <w:pgSz w:w="11906" w:h="16838"/>
      <w:pgMar w:top="1440" w:right="1797" w:bottom="1440" w:left="1797" w:header="851" w:footer="992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2D"/>
    <w:rsid w:val="00066705"/>
    <w:rsid w:val="000D00D4"/>
    <w:rsid w:val="0010018C"/>
    <w:rsid w:val="00114E95"/>
    <w:rsid w:val="00266721"/>
    <w:rsid w:val="002D60E0"/>
    <w:rsid w:val="003057BE"/>
    <w:rsid w:val="00344DE6"/>
    <w:rsid w:val="003872A3"/>
    <w:rsid w:val="0042128A"/>
    <w:rsid w:val="00442541"/>
    <w:rsid w:val="004A25B0"/>
    <w:rsid w:val="004A482A"/>
    <w:rsid w:val="004A7E26"/>
    <w:rsid w:val="004E56E6"/>
    <w:rsid w:val="00536123"/>
    <w:rsid w:val="00584297"/>
    <w:rsid w:val="005E40F4"/>
    <w:rsid w:val="0061553A"/>
    <w:rsid w:val="0066362B"/>
    <w:rsid w:val="0071693C"/>
    <w:rsid w:val="007A2FA2"/>
    <w:rsid w:val="00874486"/>
    <w:rsid w:val="008B0913"/>
    <w:rsid w:val="008F11A2"/>
    <w:rsid w:val="0092032D"/>
    <w:rsid w:val="00920C41"/>
    <w:rsid w:val="00930CBA"/>
    <w:rsid w:val="009579DD"/>
    <w:rsid w:val="00970F02"/>
    <w:rsid w:val="009864C5"/>
    <w:rsid w:val="009C196D"/>
    <w:rsid w:val="00A324B2"/>
    <w:rsid w:val="00B4460B"/>
    <w:rsid w:val="00B77870"/>
    <w:rsid w:val="00B83973"/>
    <w:rsid w:val="00BB76E5"/>
    <w:rsid w:val="00C023BC"/>
    <w:rsid w:val="00D0673F"/>
    <w:rsid w:val="00D42013"/>
    <w:rsid w:val="00D538CB"/>
    <w:rsid w:val="00D6297A"/>
    <w:rsid w:val="00D70759"/>
    <w:rsid w:val="00D90D3F"/>
    <w:rsid w:val="00E00276"/>
    <w:rsid w:val="00E50BE0"/>
    <w:rsid w:val="00E66D9D"/>
    <w:rsid w:val="00F9699B"/>
    <w:rsid w:val="00FB11C2"/>
    <w:rsid w:val="00FB380D"/>
    <w:rsid w:val="00FC7078"/>
    <w:rsid w:val="00FF517F"/>
    <w:rsid w:val="022E7687"/>
    <w:rsid w:val="25625383"/>
    <w:rsid w:val="63816DA2"/>
    <w:rsid w:val="6C9976CB"/>
    <w:rsid w:val="6E213A55"/>
    <w:rsid w:val="7D1F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pPr>
      <w:jc w:val="center"/>
    </w:pPr>
    <w:rPr>
      <w:rFonts w:eastAsia="Times New Roman" w:cstheme="majorBidi"/>
      <w:sz w:val="20"/>
      <w:szCs w:val="20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spacing w:after="160"/>
      <w:jc w:val="left"/>
    </w:pPr>
    <w:rPr>
      <w:rFonts w:asciiTheme="minorHAnsi" w:hAnsiTheme="minorHAnsi"/>
      <w:sz w:val="18"/>
      <w:szCs w:val="18"/>
      <w14:ligatures w14:val="standardContextual"/>
    </w:rPr>
  </w:style>
  <w:style w:type="paragraph" w:styleId="5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spacing w:after="160"/>
      <w:jc w:val="center"/>
    </w:pPr>
    <w:rPr>
      <w:rFonts w:asciiTheme="minorHAnsi" w:hAnsiTheme="minorHAnsi"/>
      <w:sz w:val="18"/>
      <w:szCs w:val="18"/>
      <w14:ligatures w14:val="standardContextual"/>
    </w:rPr>
  </w:style>
  <w:style w:type="table" w:styleId="7">
    <w:name w:val="Table Grid"/>
    <w:basedOn w:val="6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semiHidden/>
    <w:unhideWhenUsed/>
    <w:qFormat/>
    <w:uiPriority w:val="99"/>
    <w:rPr>
      <w:color w:val="96607D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line number"/>
    <w:basedOn w:val="8"/>
    <w:semiHidden/>
    <w:unhideWhenUsed/>
    <w:qFormat/>
    <w:uiPriority w:val="99"/>
  </w:style>
  <w:style w:type="character" w:styleId="11">
    <w:name w:val="Hyperlink"/>
    <w:basedOn w:val="8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4"/>
    <w:qFormat/>
    <w:uiPriority w:val="99"/>
    <w:rPr>
      <w:sz w:val="18"/>
      <w:szCs w:val="18"/>
    </w:rPr>
  </w:style>
  <w:style w:type="paragraph" w:customStyle="1" w:styleId="14">
    <w:name w:val="MDPI_1.6_affiliation"/>
    <w:basedOn w:val="1"/>
    <w:qFormat/>
    <w:uiPriority w:val="0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hAnsi="Palatino Linotype" w:eastAsia="Times New Roman" w:cs="Times New Roman"/>
      <w:color w:val="000000"/>
      <w:kern w:val="0"/>
      <w:sz w:val="18"/>
      <w:szCs w:val="18"/>
      <w:lang w:eastAsia="de-DE" w:bidi="en-US"/>
    </w:rPr>
  </w:style>
  <w:style w:type="character" w:customStyle="1" w:styleId="15">
    <w:name w:val="标题 1 字符"/>
    <w:basedOn w:val="8"/>
    <w:link w:val="2"/>
    <w:qFormat/>
    <w:uiPriority w:val="9"/>
    <w:rPr>
      <w:rFonts w:ascii="Times New Roman" w:hAnsi="Times New Roman"/>
      <w:b/>
      <w:bCs/>
      <w:kern w:val="44"/>
      <w:sz w:val="44"/>
      <w:szCs w:val="44"/>
      <w14:ligatures w14:val="none"/>
    </w:rPr>
  </w:style>
  <w:style w:type="character" w:customStyle="1" w:styleId="16">
    <w:name w:val="font31"/>
    <w:basedOn w:val="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  <w:vertAlign w:val="superscript"/>
    </w:rPr>
  </w:style>
  <w:style w:type="character" w:customStyle="1" w:styleId="17">
    <w:name w:val="font51"/>
    <w:basedOn w:val="8"/>
    <w:qFormat/>
    <w:uiPriority w:val="0"/>
    <w:rPr>
      <w:rFonts w:ascii="Arial" w:hAnsi="Arial" w:cs="Arial"/>
      <w:color w:val="000000"/>
      <w:sz w:val="24"/>
      <w:szCs w:val="24"/>
      <w:u w:val="none"/>
    </w:rPr>
  </w:style>
  <w:style w:type="character" w:customStyle="1" w:styleId="18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styleId="20">
    <w:name w:val="Placeholder Text"/>
    <w:basedOn w:val="8"/>
    <w:semiHidden/>
    <w:qFormat/>
    <w:uiPriority w:val="99"/>
    <w:rPr>
      <w:color w:val="808080"/>
    </w:rPr>
  </w:style>
  <w:style w:type="character" w:customStyle="1" w:styleId="21">
    <w:name w:val="font4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2">
    <w:name w:val="font21"/>
    <w:basedOn w:val="8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  <w:vertAlign w:val="subscript"/>
    </w:rPr>
  </w:style>
  <w:style w:type="character" w:customStyle="1" w:styleId="23">
    <w:name w:val="font11"/>
    <w:basedOn w:val="8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paragraph" w:customStyle="1" w:styleId="24">
    <w:name w:val="Bibliography"/>
    <w:basedOn w:val="1"/>
    <w:next w:val="1"/>
    <w:unhideWhenUsed/>
    <w:qFormat/>
    <w:uiPriority w:val="37"/>
    <w:pPr>
      <w:ind w:left="720" w:hanging="720"/>
    </w:pPr>
  </w:style>
  <w:style w:type="character" w:customStyle="1" w:styleId="25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6">
    <w:name w:val="EndNote Bibliography"/>
    <w:qFormat/>
    <w:uiPriority w:val="0"/>
    <w:pPr>
      <w:jc w:val="both"/>
    </w:pPr>
    <w:rPr>
      <w:rFonts w:ascii="Calibri" w:hAnsi="Calibri" w:cs="Calibri" w:eastAsiaTheme="minorEastAsia"/>
      <w:kern w:val="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A250F-5EFF-4755-8270-75A9ACF4C2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345</Words>
  <Characters>2183</Characters>
  <Lines>94</Lines>
  <Paragraphs>26</Paragraphs>
  <TotalTime>0</TotalTime>
  <ScaleCrop>false</ScaleCrop>
  <LinksUpToDate>false</LinksUpToDate>
  <CharactersWithSpaces>2511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2025-01-20T08:21:00Z</dcterms:created>
  <dc:creator>于刚 丁</dc:creator>
  <cp:lastModifiedBy>李某某</cp:lastModifiedBy>
  <dcterms:modified xsi:type="dcterms:W3CDTF">2025-11-18T14:05:32Z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eyJoZGlkIjoiMDEzOThlYmZiYzQ3N2Y3MTQ2ZTM1MDYyNWUwZTAzODIiLCJ1c2VySWQiOiIyMzI1OTM0NTUifQ==</vt:lpwstr>
  </property>
  <property fmtid="{D5CDD505-2E9C-101B-9397-08002B2CF9AE}" pid="3" name="KSOProductBuildVer">
    <vt:lpwstr>2052-12.1.0.23542</vt:lpwstr>
  </property>
  <property fmtid="{D5CDD505-2E9C-101B-9397-08002B2CF9AE}" pid="4" name="ICV">
    <vt:lpwstr>E866CE2BD4314D2093885552C26B7B4A_12</vt:lpwstr>
  </property>
</Properties>
</file>