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5F97B" w14:textId="77777777" w:rsidR="00181676" w:rsidRPr="001C5DE2" w:rsidRDefault="00181676" w:rsidP="0018167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1487D">
        <w:rPr>
          <w:rFonts w:ascii="Times New Roman" w:eastAsia="SimHei" w:hAnsi="Times New Roman" w:cs="Times New Roman"/>
          <w:b/>
          <w:bCs/>
          <w:sz w:val="24"/>
          <w:szCs w:val="24"/>
        </w:rPr>
        <w:t>Table 1.</w:t>
      </w:r>
      <w:r w:rsidRPr="001C5DE2">
        <w:rPr>
          <w:rFonts w:ascii="Times New Roman" w:eastAsia="SimHei" w:hAnsi="Times New Roman" w:cs="Times New Roman"/>
          <w:sz w:val="24"/>
          <w:szCs w:val="24"/>
        </w:rPr>
        <w:t xml:space="preserve"> Demographic Characteristics of Delphi Panelists</w:t>
      </w:r>
    </w:p>
    <w:tbl>
      <w:tblPr>
        <w:tblW w:w="8306" w:type="dxa"/>
        <w:tblLayout w:type="fixed"/>
        <w:tblLook w:val="04A0" w:firstRow="1" w:lastRow="0" w:firstColumn="1" w:lastColumn="0" w:noHBand="0" w:noVBand="1"/>
      </w:tblPr>
      <w:tblGrid>
        <w:gridCol w:w="3089"/>
        <w:gridCol w:w="2254"/>
        <w:gridCol w:w="1166"/>
        <w:gridCol w:w="1797"/>
      </w:tblGrid>
      <w:tr w:rsidR="00181676" w:rsidRPr="001C5DE2" w14:paraId="55B9C7B5" w14:textId="77777777" w:rsidTr="00966037">
        <w:trPr>
          <w:trHeight w:val="627"/>
        </w:trPr>
        <w:tc>
          <w:tcPr>
            <w:tcW w:w="308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750D6A0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Variant</w:t>
            </w:r>
          </w:p>
        </w:tc>
        <w:tc>
          <w:tcPr>
            <w:tcW w:w="225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3468408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Categories</w:t>
            </w:r>
          </w:p>
        </w:tc>
        <w:tc>
          <w:tcPr>
            <w:tcW w:w="116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343DA76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79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209325" w14:textId="77777777" w:rsidR="00181676" w:rsidRPr="001C5DE2" w:rsidRDefault="00181676" w:rsidP="00966037">
            <w:pPr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%</w:t>
            </w:r>
          </w:p>
        </w:tc>
      </w:tr>
      <w:tr w:rsidR="00181676" w:rsidRPr="001C5DE2" w14:paraId="0CF5025F" w14:textId="77777777" w:rsidTr="00966037">
        <w:trPr>
          <w:trHeight w:val="285"/>
        </w:trPr>
        <w:tc>
          <w:tcPr>
            <w:tcW w:w="308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32F5FB7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2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B77DE13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u w:val="single"/>
              </w:rPr>
              <w:t>&lt;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40 years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08F5CA4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6E1BBF9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37.50</w:t>
            </w:r>
          </w:p>
        </w:tc>
      </w:tr>
      <w:tr w:rsidR="00181676" w:rsidRPr="001C5DE2" w14:paraId="4E44427E" w14:textId="77777777" w:rsidTr="00966037">
        <w:trPr>
          <w:trHeight w:val="285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68B1DB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7BF302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41-50 years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263C0B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DA1AD5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37.50</w:t>
            </w:r>
          </w:p>
        </w:tc>
      </w:tr>
      <w:tr w:rsidR="00181676" w:rsidRPr="001C5DE2" w14:paraId="37EE1D96" w14:textId="77777777" w:rsidTr="00966037">
        <w:trPr>
          <w:trHeight w:val="285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B7CD84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541074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u w:val="single"/>
              </w:rPr>
              <w:t>&gt;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51 years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080144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256059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25.00</w:t>
            </w:r>
          </w:p>
        </w:tc>
      </w:tr>
      <w:tr w:rsidR="00181676" w:rsidRPr="001C5DE2" w14:paraId="420A05FE" w14:textId="77777777" w:rsidTr="00966037">
        <w:trPr>
          <w:trHeight w:val="285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F1C282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Educational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a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ttainment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BFC5DA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Undergraduate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1600C2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27CDAB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43.75</w:t>
            </w:r>
          </w:p>
        </w:tc>
      </w:tr>
      <w:tr w:rsidR="00181676" w:rsidRPr="001C5DE2" w14:paraId="4449C45A" w14:textId="77777777" w:rsidTr="00966037">
        <w:trPr>
          <w:trHeight w:val="285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94B845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6DDE20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Master’s degree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EF27CC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D6A377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18.75</w:t>
            </w:r>
          </w:p>
        </w:tc>
      </w:tr>
      <w:tr w:rsidR="00181676" w:rsidRPr="001C5DE2" w14:paraId="09358FC6" w14:textId="77777777" w:rsidTr="00966037">
        <w:trPr>
          <w:trHeight w:val="285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FE8C68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5D5836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Doctoral degree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0DCEB6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BFCD58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37.50</w:t>
            </w:r>
          </w:p>
        </w:tc>
      </w:tr>
      <w:tr w:rsidR="00181676" w:rsidRPr="001C5DE2" w14:paraId="14C34975" w14:textId="77777777" w:rsidTr="00966037">
        <w:trPr>
          <w:trHeight w:val="285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D95A7F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Professional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r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oles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71A37D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Postdoctoral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f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ellow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99B4BA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B6ED88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6.25</w:t>
            </w:r>
          </w:p>
        </w:tc>
      </w:tr>
      <w:tr w:rsidR="00181676" w:rsidRPr="001C5DE2" w14:paraId="105B94CE" w14:textId="77777777" w:rsidTr="00966037">
        <w:trPr>
          <w:trHeight w:val="285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E5D92F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C9A515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Physician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CEFBA1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9849FE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31.25</w:t>
            </w:r>
          </w:p>
        </w:tc>
      </w:tr>
      <w:tr w:rsidR="00181676" w:rsidRPr="001C5DE2" w14:paraId="58804387" w14:textId="77777777" w:rsidTr="00966037">
        <w:trPr>
          <w:trHeight w:val="285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685C4F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AA0263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Director of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n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ursing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2A78F0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6E7B61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6.25</w:t>
            </w:r>
          </w:p>
        </w:tc>
      </w:tr>
      <w:tr w:rsidR="00181676" w:rsidRPr="001C5DE2" w14:paraId="6510B723" w14:textId="77777777" w:rsidTr="00966037">
        <w:trPr>
          <w:trHeight w:val="285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AB85A8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33624A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Head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n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urse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4E65B5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A0ACC4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25.00</w:t>
            </w:r>
          </w:p>
        </w:tc>
      </w:tr>
      <w:tr w:rsidR="00181676" w:rsidRPr="001C5DE2" w14:paraId="7670F5A4" w14:textId="77777777" w:rsidTr="00966037">
        <w:trPr>
          <w:trHeight w:val="285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4EB50C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846673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Nurse manager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5B227D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471803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25.00</w:t>
            </w:r>
          </w:p>
        </w:tc>
      </w:tr>
      <w:tr w:rsidR="00181676" w:rsidRPr="001C5DE2" w14:paraId="207B9CD6" w14:textId="77777777" w:rsidTr="00966037">
        <w:trPr>
          <w:trHeight w:val="285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8C8A83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AAC032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Specialist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n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urse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9C1AA1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B64B82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6.25</w:t>
            </w:r>
          </w:p>
        </w:tc>
      </w:tr>
      <w:tr w:rsidR="00181676" w:rsidRPr="001C5DE2" w14:paraId="3BCB18CC" w14:textId="77777777" w:rsidTr="00966037">
        <w:trPr>
          <w:trHeight w:val="285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3C72B7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Primary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s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pecialization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09C06E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Nursing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280FA8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ED75C1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62.50</w:t>
            </w:r>
          </w:p>
        </w:tc>
      </w:tr>
      <w:tr w:rsidR="00181676" w:rsidRPr="001C5DE2" w14:paraId="66B5406B" w14:textId="77777777" w:rsidTr="00966037">
        <w:trPr>
          <w:trHeight w:val="285"/>
        </w:trPr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831FF9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6E99CE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Medicine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0F4189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520C79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37.50</w:t>
            </w:r>
          </w:p>
        </w:tc>
      </w:tr>
      <w:tr w:rsidR="00181676" w:rsidRPr="001C5DE2" w14:paraId="2F3491B2" w14:textId="77777777" w:rsidTr="00966037">
        <w:trPr>
          <w:trHeight w:val="285"/>
        </w:trPr>
        <w:tc>
          <w:tcPr>
            <w:tcW w:w="3089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52752722" w14:textId="77777777" w:rsidR="00181676" w:rsidRPr="001C5DE2" w:rsidRDefault="00181676" w:rsidP="00966037">
            <w:pPr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Clinical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e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xperience </w:t>
            </w:r>
          </w:p>
          <w:p w14:paraId="736B188B" w14:textId="77777777" w:rsidR="00181676" w:rsidRPr="001C5DE2" w:rsidRDefault="00181676" w:rsidP="00966037">
            <w:pPr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(acute and critical care)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997A7D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u w:val="single"/>
              </w:rPr>
              <w:t>&lt;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10 years 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FD0021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FAA90F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12.50</w:t>
            </w:r>
          </w:p>
        </w:tc>
      </w:tr>
      <w:tr w:rsidR="00181676" w:rsidRPr="001C5DE2" w14:paraId="7D74E847" w14:textId="77777777" w:rsidTr="00966037">
        <w:trPr>
          <w:trHeight w:val="285"/>
        </w:trPr>
        <w:tc>
          <w:tcPr>
            <w:tcW w:w="3089" w:type="dxa"/>
            <w:vMerge/>
            <w:tcBorders>
              <w:left w:val="nil"/>
              <w:right w:val="nil"/>
            </w:tcBorders>
            <w:noWrap/>
            <w:vAlign w:val="center"/>
          </w:tcPr>
          <w:p w14:paraId="0EC62D10" w14:textId="77777777" w:rsidR="00181676" w:rsidRPr="001C5DE2" w:rsidRDefault="00181676" w:rsidP="00966037">
            <w:pPr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BB78A8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-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20 years 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10A790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F913AE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31.25</w:t>
            </w:r>
          </w:p>
        </w:tc>
      </w:tr>
      <w:tr w:rsidR="00181676" w:rsidRPr="001C5DE2" w14:paraId="17EE61DB" w14:textId="77777777" w:rsidTr="00966037">
        <w:trPr>
          <w:trHeight w:val="285"/>
        </w:trPr>
        <w:tc>
          <w:tcPr>
            <w:tcW w:w="3089" w:type="dxa"/>
            <w:vMerge/>
            <w:tcBorders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8FFE57B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C13528F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u w:val="single"/>
              </w:rPr>
              <w:t>&gt;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21 years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C531E99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BC9CDF1" w14:textId="77777777" w:rsidR="00181676" w:rsidRPr="001C5DE2" w:rsidRDefault="00181676" w:rsidP="00966037">
            <w:pPr>
              <w:widowControl/>
              <w:spacing w:after="0" w:line="48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56.25</w:t>
            </w:r>
          </w:p>
        </w:tc>
      </w:tr>
    </w:tbl>
    <w:p w14:paraId="2F2CD717" w14:textId="77777777" w:rsidR="00181676" w:rsidRDefault="00181676" w:rsidP="00181676">
      <w:pPr>
        <w:spacing w:after="0" w:line="480" w:lineRule="auto"/>
        <w:rPr>
          <w:rFonts w:ascii="Times New Roman" w:eastAsia="SimHei" w:hAnsi="Times New Roman" w:cs="Times New Roman"/>
          <w:sz w:val="24"/>
          <w:szCs w:val="24"/>
        </w:rPr>
      </w:pPr>
    </w:p>
    <w:p w14:paraId="66446099" w14:textId="77777777" w:rsidR="00181676" w:rsidRDefault="00181676" w:rsidP="00181676">
      <w:pPr>
        <w:widowControl/>
        <w:jc w:val="left"/>
        <w:rPr>
          <w:rFonts w:ascii="Times New Roman" w:eastAsia="SimHei" w:hAnsi="Times New Roman" w:cs="Times New Roman"/>
          <w:sz w:val="24"/>
          <w:szCs w:val="24"/>
        </w:rPr>
      </w:pPr>
      <w:r>
        <w:rPr>
          <w:rFonts w:ascii="Times New Roman" w:eastAsia="SimHei" w:hAnsi="Times New Roman" w:cs="Times New Roman"/>
          <w:sz w:val="24"/>
          <w:szCs w:val="24"/>
        </w:rPr>
        <w:br w:type="page"/>
      </w:r>
    </w:p>
    <w:p w14:paraId="683AC637" w14:textId="77777777" w:rsidR="00181676" w:rsidRPr="001C5DE2" w:rsidRDefault="00181676" w:rsidP="00181676">
      <w:pPr>
        <w:spacing w:after="0" w:line="480" w:lineRule="auto"/>
        <w:rPr>
          <w:rFonts w:ascii="Times New Roman" w:eastAsia="SimHei" w:hAnsi="Times New Roman" w:cs="Times New Roman"/>
          <w:sz w:val="24"/>
          <w:szCs w:val="24"/>
        </w:rPr>
      </w:pPr>
      <w:r w:rsidRPr="0071487D">
        <w:rPr>
          <w:rFonts w:ascii="Times New Roman" w:eastAsia="SimHei" w:hAnsi="Times New Roman" w:cs="Times New Roman"/>
          <w:b/>
          <w:bCs/>
          <w:sz w:val="24"/>
          <w:szCs w:val="24"/>
        </w:rPr>
        <w:lastRenderedPageBreak/>
        <w:t>Table 2.</w:t>
      </w:r>
      <w:r w:rsidRPr="001C5DE2">
        <w:rPr>
          <w:rFonts w:ascii="Times New Roman" w:eastAsia="SimHei" w:hAnsi="Times New Roman" w:cs="Times New Roman"/>
          <w:sz w:val="24"/>
          <w:szCs w:val="24"/>
        </w:rPr>
        <w:t xml:space="preserve"> Response </w:t>
      </w:r>
      <w:r>
        <w:rPr>
          <w:rFonts w:ascii="Times New Roman" w:eastAsia="SimHei" w:hAnsi="Times New Roman" w:cs="Times New Roman"/>
          <w:sz w:val="24"/>
          <w:szCs w:val="24"/>
        </w:rPr>
        <w:t>r</w:t>
      </w:r>
      <w:r w:rsidRPr="001C5DE2">
        <w:rPr>
          <w:rFonts w:ascii="Times New Roman" w:eastAsia="SimHei" w:hAnsi="Times New Roman" w:cs="Times New Roman"/>
          <w:sz w:val="24"/>
          <w:szCs w:val="24"/>
        </w:rPr>
        <w:t xml:space="preserve">ates of Delphi </w:t>
      </w:r>
      <w:r>
        <w:rPr>
          <w:rFonts w:ascii="Times New Roman" w:eastAsia="SimHei" w:hAnsi="Times New Roman" w:cs="Times New Roman"/>
          <w:sz w:val="24"/>
          <w:szCs w:val="24"/>
        </w:rPr>
        <w:t>q</w:t>
      </w:r>
      <w:r w:rsidRPr="001C5DE2">
        <w:rPr>
          <w:rFonts w:ascii="Times New Roman" w:eastAsia="SimHei" w:hAnsi="Times New Roman" w:cs="Times New Roman"/>
          <w:sz w:val="24"/>
          <w:szCs w:val="24"/>
        </w:rPr>
        <w:t xml:space="preserve">uestionnaire </w:t>
      </w:r>
      <w:r>
        <w:rPr>
          <w:rFonts w:ascii="Times New Roman" w:eastAsia="SimHei" w:hAnsi="Times New Roman" w:cs="Times New Roman"/>
          <w:sz w:val="24"/>
          <w:szCs w:val="24"/>
        </w:rPr>
        <w:t>r</w:t>
      </w:r>
      <w:r w:rsidRPr="001C5DE2">
        <w:rPr>
          <w:rFonts w:ascii="Times New Roman" w:eastAsia="SimHei" w:hAnsi="Times New Roman" w:cs="Times New Roman"/>
          <w:sz w:val="24"/>
          <w:szCs w:val="24"/>
        </w:rPr>
        <w:t>ounds</w:t>
      </w:r>
    </w:p>
    <w:tbl>
      <w:tblPr>
        <w:tblW w:w="8931" w:type="dxa"/>
        <w:tblBorders>
          <w:top w:val="single" w:sz="12" w:space="0" w:color="auto"/>
          <w:bottom w:val="single" w:sz="12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3"/>
        <w:gridCol w:w="2645"/>
        <w:gridCol w:w="2217"/>
        <w:gridCol w:w="2206"/>
      </w:tblGrid>
      <w:tr w:rsidR="00181676" w:rsidRPr="001C5DE2" w14:paraId="6231AE89" w14:textId="77777777" w:rsidTr="00966037">
        <w:trPr>
          <w:trHeight w:val="270"/>
        </w:trPr>
        <w:tc>
          <w:tcPr>
            <w:tcW w:w="1863" w:type="dxa"/>
            <w:tcBorders>
              <w:bottom w:val="single" w:sz="4" w:space="0" w:color="auto"/>
            </w:tcBorders>
            <w:noWrap/>
          </w:tcPr>
          <w:p w14:paraId="31D316C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Round</w:t>
            </w:r>
          </w:p>
        </w:tc>
        <w:tc>
          <w:tcPr>
            <w:tcW w:w="2645" w:type="dxa"/>
            <w:tcBorders>
              <w:bottom w:val="single" w:sz="4" w:space="0" w:color="auto"/>
            </w:tcBorders>
            <w:noWrap/>
          </w:tcPr>
          <w:p w14:paraId="0A1CBDB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Total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d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istributed</w:t>
            </w:r>
          </w:p>
        </w:tc>
        <w:tc>
          <w:tcPr>
            <w:tcW w:w="2217" w:type="dxa"/>
            <w:tcBorders>
              <w:bottom w:val="single" w:sz="4" w:space="0" w:color="auto"/>
            </w:tcBorders>
            <w:noWrap/>
          </w:tcPr>
          <w:p w14:paraId="0BA7A40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Valid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r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esponses</w:t>
            </w:r>
          </w:p>
        </w:tc>
        <w:tc>
          <w:tcPr>
            <w:tcW w:w="2206" w:type="dxa"/>
            <w:tcBorders>
              <w:bottom w:val="single" w:sz="4" w:space="0" w:color="auto"/>
            </w:tcBorders>
            <w:noWrap/>
          </w:tcPr>
          <w:p w14:paraId="394D368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Response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r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ate (%)</w:t>
            </w:r>
          </w:p>
        </w:tc>
      </w:tr>
      <w:tr w:rsidR="00181676" w:rsidRPr="001C5DE2" w14:paraId="552D5FA8" w14:textId="77777777" w:rsidTr="00966037">
        <w:trPr>
          <w:trHeight w:val="270"/>
        </w:trPr>
        <w:tc>
          <w:tcPr>
            <w:tcW w:w="1863" w:type="dxa"/>
            <w:tcBorders>
              <w:top w:val="single" w:sz="4" w:space="0" w:color="auto"/>
              <w:bottom w:val="nil"/>
            </w:tcBorders>
            <w:noWrap/>
          </w:tcPr>
          <w:p w14:paraId="2701A14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First round</w:t>
            </w:r>
          </w:p>
        </w:tc>
        <w:tc>
          <w:tcPr>
            <w:tcW w:w="2645" w:type="dxa"/>
            <w:tcBorders>
              <w:top w:val="single" w:sz="4" w:space="0" w:color="auto"/>
              <w:bottom w:val="nil"/>
            </w:tcBorders>
            <w:noWrap/>
          </w:tcPr>
          <w:p w14:paraId="0494DCA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17" w:type="dxa"/>
            <w:tcBorders>
              <w:top w:val="single" w:sz="4" w:space="0" w:color="auto"/>
              <w:bottom w:val="nil"/>
            </w:tcBorders>
            <w:noWrap/>
          </w:tcPr>
          <w:p w14:paraId="5DE21E4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06" w:type="dxa"/>
            <w:tcBorders>
              <w:top w:val="single" w:sz="4" w:space="0" w:color="auto"/>
              <w:bottom w:val="nil"/>
            </w:tcBorders>
            <w:noWrap/>
          </w:tcPr>
          <w:p w14:paraId="46AF7BC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100.00</w:t>
            </w:r>
          </w:p>
        </w:tc>
      </w:tr>
      <w:tr w:rsidR="00181676" w:rsidRPr="001C5DE2" w14:paraId="3260052D" w14:textId="77777777" w:rsidTr="00966037">
        <w:trPr>
          <w:trHeight w:val="270"/>
        </w:trPr>
        <w:tc>
          <w:tcPr>
            <w:tcW w:w="1863" w:type="dxa"/>
            <w:tcBorders>
              <w:top w:val="nil"/>
            </w:tcBorders>
            <w:noWrap/>
          </w:tcPr>
          <w:p w14:paraId="48BB975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Second round</w:t>
            </w:r>
          </w:p>
        </w:tc>
        <w:tc>
          <w:tcPr>
            <w:tcW w:w="2645" w:type="dxa"/>
            <w:tcBorders>
              <w:top w:val="nil"/>
            </w:tcBorders>
            <w:noWrap/>
          </w:tcPr>
          <w:p w14:paraId="5FAA6A6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17" w:type="dxa"/>
            <w:tcBorders>
              <w:top w:val="nil"/>
            </w:tcBorders>
            <w:noWrap/>
          </w:tcPr>
          <w:p w14:paraId="27C0E44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06" w:type="dxa"/>
            <w:tcBorders>
              <w:top w:val="nil"/>
            </w:tcBorders>
            <w:noWrap/>
          </w:tcPr>
          <w:p w14:paraId="2E02897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100.00</w:t>
            </w:r>
          </w:p>
        </w:tc>
      </w:tr>
    </w:tbl>
    <w:p w14:paraId="28B3679D" w14:textId="77777777" w:rsidR="00181676" w:rsidRDefault="00181676" w:rsidP="00181676">
      <w:pPr>
        <w:spacing w:after="0" w:line="480" w:lineRule="auto"/>
        <w:rPr>
          <w:rFonts w:ascii="Times New Roman" w:eastAsia="SimHei" w:hAnsi="Times New Roman" w:cs="Times New Roman"/>
          <w:sz w:val="24"/>
          <w:szCs w:val="24"/>
        </w:rPr>
      </w:pPr>
    </w:p>
    <w:p w14:paraId="059ACAD4" w14:textId="77777777" w:rsidR="00181676" w:rsidRDefault="00181676" w:rsidP="00181676">
      <w:pPr>
        <w:widowControl/>
        <w:jc w:val="left"/>
        <w:rPr>
          <w:rFonts w:ascii="Times New Roman" w:eastAsia="SimHei" w:hAnsi="Times New Roman" w:cs="Times New Roman"/>
          <w:sz w:val="24"/>
          <w:szCs w:val="24"/>
        </w:rPr>
      </w:pPr>
      <w:r>
        <w:rPr>
          <w:rFonts w:ascii="Times New Roman" w:eastAsia="SimHei" w:hAnsi="Times New Roman" w:cs="Times New Roman"/>
          <w:sz w:val="24"/>
          <w:szCs w:val="24"/>
        </w:rPr>
        <w:br w:type="page"/>
      </w:r>
    </w:p>
    <w:p w14:paraId="1E63E3DC" w14:textId="77777777" w:rsidR="00181676" w:rsidRPr="001C5DE2" w:rsidRDefault="00181676" w:rsidP="0018167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B86408">
        <w:rPr>
          <w:rFonts w:ascii="Times New Roman" w:eastAsia="SimHei" w:hAnsi="Times New Roman" w:cs="Times New Roman"/>
          <w:b/>
          <w:bCs/>
          <w:sz w:val="24"/>
          <w:szCs w:val="24"/>
        </w:rPr>
        <w:lastRenderedPageBreak/>
        <w:t>Table 3.</w:t>
      </w:r>
      <w:r w:rsidRPr="001C5DE2">
        <w:rPr>
          <w:rFonts w:ascii="Times New Roman" w:eastAsia="SimHei" w:hAnsi="Times New Roman" w:cs="Times New Roman"/>
          <w:sz w:val="24"/>
          <w:szCs w:val="24"/>
        </w:rPr>
        <w:t xml:space="preserve"> Expert authority coefficients</w:t>
      </w:r>
    </w:p>
    <w:tbl>
      <w:tblPr>
        <w:tblW w:w="8306" w:type="dxa"/>
        <w:tblBorders>
          <w:top w:val="single" w:sz="12" w:space="0" w:color="auto"/>
          <w:bottom w:val="single" w:sz="12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3"/>
        <w:gridCol w:w="2645"/>
        <w:gridCol w:w="2217"/>
        <w:gridCol w:w="1581"/>
      </w:tblGrid>
      <w:tr w:rsidR="00181676" w:rsidRPr="001C5DE2" w14:paraId="0A6142BE" w14:textId="77777777" w:rsidTr="00966037">
        <w:trPr>
          <w:trHeight w:val="270"/>
        </w:trPr>
        <w:tc>
          <w:tcPr>
            <w:tcW w:w="1863" w:type="dxa"/>
            <w:tcBorders>
              <w:bottom w:val="single" w:sz="4" w:space="0" w:color="auto"/>
            </w:tcBorders>
            <w:noWrap/>
          </w:tcPr>
          <w:p w14:paraId="7929354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Round</w:t>
            </w:r>
          </w:p>
        </w:tc>
        <w:tc>
          <w:tcPr>
            <w:tcW w:w="2645" w:type="dxa"/>
            <w:tcBorders>
              <w:bottom w:val="single" w:sz="4" w:space="0" w:color="auto"/>
            </w:tcBorders>
            <w:noWrap/>
          </w:tcPr>
          <w:p w14:paraId="3CEDD42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Coefficient of experts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’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judgmental basis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(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Ca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17" w:type="dxa"/>
            <w:tcBorders>
              <w:bottom w:val="single" w:sz="4" w:space="0" w:color="auto"/>
            </w:tcBorders>
            <w:noWrap/>
          </w:tcPr>
          <w:p w14:paraId="0AF0198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Coefficient of experts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’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familiarity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(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Cs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81" w:type="dxa"/>
            <w:tcBorders>
              <w:bottom w:val="single" w:sz="4" w:space="0" w:color="auto"/>
            </w:tcBorders>
            <w:noWrap/>
          </w:tcPr>
          <w:p w14:paraId="38114A6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Coefficient of experts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’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authority</w:t>
            </w:r>
          </w:p>
        </w:tc>
      </w:tr>
      <w:tr w:rsidR="00181676" w:rsidRPr="001C5DE2" w14:paraId="22FF5235" w14:textId="77777777" w:rsidTr="00966037">
        <w:trPr>
          <w:trHeight w:val="270"/>
        </w:trPr>
        <w:tc>
          <w:tcPr>
            <w:tcW w:w="1863" w:type="dxa"/>
            <w:tcBorders>
              <w:top w:val="single" w:sz="4" w:space="0" w:color="auto"/>
              <w:bottom w:val="nil"/>
            </w:tcBorders>
            <w:noWrap/>
          </w:tcPr>
          <w:p w14:paraId="504A324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First round</w:t>
            </w:r>
          </w:p>
        </w:tc>
        <w:tc>
          <w:tcPr>
            <w:tcW w:w="2645" w:type="dxa"/>
            <w:tcBorders>
              <w:top w:val="single" w:sz="4" w:space="0" w:color="auto"/>
              <w:bottom w:val="nil"/>
            </w:tcBorders>
            <w:noWrap/>
          </w:tcPr>
          <w:p w14:paraId="497719D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2217" w:type="dxa"/>
            <w:tcBorders>
              <w:top w:val="single" w:sz="4" w:space="0" w:color="auto"/>
              <w:bottom w:val="nil"/>
            </w:tcBorders>
            <w:noWrap/>
          </w:tcPr>
          <w:p w14:paraId="7928383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1581" w:type="dxa"/>
            <w:tcBorders>
              <w:top w:val="single" w:sz="4" w:space="0" w:color="auto"/>
              <w:bottom w:val="nil"/>
            </w:tcBorders>
            <w:noWrap/>
          </w:tcPr>
          <w:p w14:paraId="17012BF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0.95</w:t>
            </w:r>
          </w:p>
        </w:tc>
      </w:tr>
      <w:tr w:rsidR="00181676" w:rsidRPr="001C5DE2" w14:paraId="36E1CAB9" w14:textId="77777777" w:rsidTr="00966037">
        <w:trPr>
          <w:trHeight w:val="270"/>
        </w:trPr>
        <w:tc>
          <w:tcPr>
            <w:tcW w:w="1863" w:type="dxa"/>
            <w:tcBorders>
              <w:top w:val="nil"/>
            </w:tcBorders>
            <w:noWrap/>
          </w:tcPr>
          <w:p w14:paraId="380181B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Second round</w:t>
            </w:r>
          </w:p>
        </w:tc>
        <w:tc>
          <w:tcPr>
            <w:tcW w:w="2645" w:type="dxa"/>
            <w:tcBorders>
              <w:top w:val="nil"/>
            </w:tcBorders>
            <w:noWrap/>
          </w:tcPr>
          <w:p w14:paraId="2CD90CE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2217" w:type="dxa"/>
            <w:tcBorders>
              <w:top w:val="nil"/>
            </w:tcBorders>
            <w:noWrap/>
          </w:tcPr>
          <w:p w14:paraId="1DD0330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1581" w:type="dxa"/>
            <w:tcBorders>
              <w:top w:val="nil"/>
            </w:tcBorders>
            <w:noWrap/>
          </w:tcPr>
          <w:p w14:paraId="5742C08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0.96</w:t>
            </w:r>
          </w:p>
        </w:tc>
      </w:tr>
    </w:tbl>
    <w:p w14:paraId="0F2AEB75" w14:textId="77777777" w:rsidR="00181676" w:rsidRDefault="00181676" w:rsidP="0018167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C97AF95" w14:textId="77777777" w:rsidR="00181676" w:rsidRDefault="00181676" w:rsidP="0018167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237DD4A" w14:textId="77777777" w:rsidR="00181676" w:rsidRPr="001C5DE2" w:rsidRDefault="00181676" w:rsidP="00181676">
      <w:pPr>
        <w:spacing w:after="0" w:line="480" w:lineRule="auto"/>
        <w:rPr>
          <w:rFonts w:ascii="Times New Roman" w:eastAsia="SimHei" w:hAnsi="Times New Roman" w:cs="Times New Roman"/>
          <w:sz w:val="24"/>
          <w:szCs w:val="24"/>
        </w:rPr>
      </w:pPr>
      <w:r w:rsidRPr="00B86408">
        <w:rPr>
          <w:rFonts w:ascii="Times New Roman" w:eastAsia="SimHei" w:hAnsi="Times New Roman" w:cs="Times New Roman"/>
          <w:b/>
          <w:bCs/>
          <w:sz w:val="24"/>
          <w:szCs w:val="24"/>
        </w:rPr>
        <w:lastRenderedPageBreak/>
        <w:t>Table 4.</w:t>
      </w:r>
      <w:r w:rsidRPr="001C5DE2">
        <w:rPr>
          <w:rFonts w:ascii="Times New Roman" w:eastAsia="SimHei" w:hAnsi="Times New Roman" w:cs="Times New Roman"/>
          <w:sz w:val="24"/>
          <w:szCs w:val="24"/>
        </w:rPr>
        <w:t xml:space="preserve"> Coefficient </w:t>
      </w:r>
      <w:r>
        <w:rPr>
          <w:rFonts w:ascii="Times New Roman" w:eastAsia="SimHei" w:hAnsi="Times New Roman" w:cs="Times New Roman"/>
          <w:sz w:val="24"/>
          <w:szCs w:val="24"/>
        </w:rPr>
        <w:t xml:space="preserve">for the level of consensus </w:t>
      </w:r>
      <w:r w:rsidRPr="001C5DE2">
        <w:rPr>
          <w:rFonts w:ascii="Times New Roman" w:eastAsia="SimHei" w:hAnsi="Times New Roman" w:cs="Times New Roman"/>
          <w:sz w:val="24"/>
          <w:szCs w:val="24"/>
        </w:rPr>
        <w:t>of expert opinions</w:t>
      </w:r>
    </w:p>
    <w:tbl>
      <w:tblPr>
        <w:tblW w:w="11200" w:type="dxa"/>
        <w:tblBorders>
          <w:top w:val="single" w:sz="12" w:space="0" w:color="auto"/>
          <w:bottom w:val="single" w:sz="12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836"/>
        <w:gridCol w:w="1645"/>
        <w:gridCol w:w="1707"/>
        <w:gridCol w:w="1545"/>
        <w:gridCol w:w="1766"/>
      </w:tblGrid>
      <w:tr w:rsidR="00181676" w:rsidRPr="001C5DE2" w14:paraId="21499ED7" w14:textId="77777777" w:rsidTr="00966037">
        <w:trPr>
          <w:trHeight w:val="300"/>
        </w:trPr>
        <w:tc>
          <w:tcPr>
            <w:tcW w:w="1701" w:type="dxa"/>
            <w:tcBorders>
              <w:bottom w:val="single" w:sz="12" w:space="0" w:color="auto"/>
            </w:tcBorders>
            <w:noWrap/>
          </w:tcPr>
          <w:p w14:paraId="14314AF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Round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2836" w:type="dxa"/>
            <w:tcBorders>
              <w:bottom w:val="single" w:sz="12" w:space="0" w:color="auto"/>
            </w:tcBorders>
          </w:tcPr>
          <w:p w14:paraId="4215622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645" w:type="dxa"/>
            <w:tcBorders>
              <w:bottom w:val="single" w:sz="12" w:space="0" w:color="auto"/>
            </w:tcBorders>
            <w:noWrap/>
          </w:tcPr>
          <w:p w14:paraId="496296F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Coordination factor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(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W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7" w:type="dxa"/>
            <w:tcBorders>
              <w:bottom w:val="single" w:sz="12" w:space="0" w:color="auto"/>
            </w:tcBorders>
            <w:noWrap/>
          </w:tcPr>
          <w:p w14:paraId="6646F2D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Chi-square value (</w:t>
            </w:r>
            <m:oMath>
              <m:sSup>
                <m:sSupPr>
                  <m:ctrlPr>
                    <w:rPr>
                      <w:rFonts w:ascii="Cambria Math" w:eastAsia="SimSun" w:hAnsi="Cambria Math" w:cs="Times New Roman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SimSun" w:hAnsi="Cambria Math" w:cs="Times New Roman"/>
                      <w:sz w:val="24"/>
                      <w:szCs w:val="24"/>
                    </w:rPr>
                    <m:t>χ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="SimSun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="SimSun" w:hAnsi="Cambria Math" w:cs="Times New Roman"/>
                  <w:sz w:val="24"/>
                  <w:szCs w:val="24"/>
                </w:rPr>
                <m:t>)</m:t>
              </m:r>
            </m:oMath>
          </w:p>
        </w:tc>
        <w:tc>
          <w:tcPr>
            <w:tcW w:w="1545" w:type="dxa"/>
            <w:tcBorders>
              <w:bottom w:val="single" w:sz="12" w:space="0" w:color="auto"/>
            </w:tcBorders>
          </w:tcPr>
          <w:p w14:paraId="4ADF5C9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Degrees of Freedom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(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df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66" w:type="dxa"/>
            <w:tcBorders>
              <w:bottom w:val="single" w:sz="12" w:space="0" w:color="auto"/>
            </w:tcBorders>
            <w:noWrap/>
          </w:tcPr>
          <w:p w14:paraId="75F05DC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Significance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(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)</w:t>
            </w:r>
          </w:p>
        </w:tc>
      </w:tr>
      <w:tr w:rsidR="00181676" w:rsidRPr="001C5DE2" w14:paraId="7A262745" w14:textId="77777777" w:rsidTr="00966037">
        <w:trPr>
          <w:trHeight w:val="70"/>
        </w:trPr>
        <w:tc>
          <w:tcPr>
            <w:tcW w:w="1701" w:type="dxa"/>
            <w:vMerge w:val="restart"/>
            <w:tcBorders>
              <w:top w:val="single" w:sz="12" w:space="0" w:color="auto"/>
            </w:tcBorders>
            <w:noWrap/>
          </w:tcPr>
          <w:p w14:paraId="205F5CF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First round</w:t>
            </w:r>
          </w:p>
        </w:tc>
        <w:tc>
          <w:tcPr>
            <w:tcW w:w="2836" w:type="dxa"/>
            <w:tcBorders>
              <w:top w:val="single" w:sz="12" w:space="0" w:color="auto"/>
              <w:bottom w:val="nil"/>
            </w:tcBorders>
          </w:tcPr>
          <w:p w14:paraId="057E7F2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Applicability</w:t>
            </w:r>
          </w:p>
        </w:tc>
        <w:tc>
          <w:tcPr>
            <w:tcW w:w="1645" w:type="dxa"/>
            <w:tcBorders>
              <w:top w:val="single" w:sz="12" w:space="0" w:color="auto"/>
              <w:bottom w:val="nil"/>
            </w:tcBorders>
            <w:noWrap/>
          </w:tcPr>
          <w:p w14:paraId="60E07B3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0.120</w:t>
            </w:r>
          </w:p>
        </w:tc>
        <w:tc>
          <w:tcPr>
            <w:tcW w:w="1707" w:type="dxa"/>
            <w:tcBorders>
              <w:top w:val="single" w:sz="12" w:space="0" w:color="auto"/>
              <w:bottom w:val="nil"/>
            </w:tcBorders>
            <w:noWrap/>
          </w:tcPr>
          <w:p w14:paraId="1EE4DA5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61.429</w:t>
            </w:r>
          </w:p>
        </w:tc>
        <w:tc>
          <w:tcPr>
            <w:tcW w:w="1545" w:type="dxa"/>
            <w:tcBorders>
              <w:top w:val="single" w:sz="12" w:space="0" w:color="auto"/>
              <w:bottom w:val="nil"/>
            </w:tcBorders>
          </w:tcPr>
          <w:p w14:paraId="4C98BC6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766" w:type="dxa"/>
            <w:tcBorders>
              <w:top w:val="single" w:sz="12" w:space="0" w:color="auto"/>
              <w:bottom w:val="nil"/>
            </w:tcBorders>
            <w:noWrap/>
          </w:tcPr>
          <w:p w14:paraId="1A81A1B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0.001</w:t>
            </w:r>
          </w:p>
        </w:tc>
      </w:tr>
      <w:tr w:rsidR="00181676" w:rsidRPr="001C5DE2" w14:paraId="74FE988D" w14:textId="77777777" w:rsidTr="00966037">
        <w:trPr>
          <w:trHeight w:val="70"/>
        </w:trPr>
        <w:tc>
          <w:tcPr>
            <w:tcW w:w="1701" w:type="dxa"/>
            <w:vMerge/>
            <w:noWrap/>
          </w:tcPr>
          <w:p w14:paraId="24BD85F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  <w:bottom w:val="nil"/>
            </w:tcBorders>
          </w:tcPr>
          <w:p w14:paraId="15C83C6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Importance</w:t>
            </w:r>
          </w:p>
        </w:tc>
        <w:tc>
          <w:tcPr>
            <w:tcW w:w="1645" w:type="dxa"/>
            <w:tcBorders>
              <w:top w:val="nil"/>
              <w:bottom w:val="nil"/>
            </w:tcBorders>
            <w:noWrap/>
          </w:tcPr>
          <w:p w14:paraId="3DC20AB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0.316</w:t>
            </w:r>
          </w:p>
        </w:tc>
        <w:tc>
          <w:tcPr>
            <w:tcW w:w="1707" w:type="dxa"/>
            <w:tcBorders>
              <w:top w:val="nil"/>
              <w:bottom w:val="nil"/>
            </w:tcBorders>
            <w:noWrap/>
          </w:tcPr>
          <w:p w14:paraId="582108E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161.963</w:t>
            </w:r>
          </w:p>
        </w:tc>
        <w:tc>
          <w:tcPr>
            <w:tcW w:w="1545" w:type="dxa"/>
            <w:tcBorders>
              <w:top w:val="nil"/>
              <w:bottom w:val="nil"/>
            </w:tcBorders>
          </w:tcPr>
          <w:p w14:paraId="065EA51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766" w:type="dxa"/>
            <w:tcBorders>
              <w:top w:val="nil"/>
              <w:bottom w:val="nil"/>
            </w:tcBorders>
            <w:noWrap/>
          </w:tcPr>
          <w:p w14:paraId="77F1094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&lt;0.001</w:t>
            </w:r>
          </w:p>
        </w:tc>
      </w:tr>
      <w:tr w:rsidR="00181676" w:rsidRPr="001C5DE2" w14:paraId="5F326572" w14:textId="77777777" w:rsidTr="00966037">
        <w:trPr>
          <w:trHeight w:val="70"/>
        </w:trPr>
        <w:tc>
          <w:tcPr>
            <w:tcW w:w="1701" w:type="dxa"/>
            <w:vMerge/>
            <w:tcBorders>
              <w:bottom w:val="nil"/>
            </w:tcBorders>
            <w:noWrap/>
          </w:tcPr>
          <w:p w14:paraId="662F417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  <w:bottom w:val="nil"/>
            </w:tcBorders>
          </w:tcPr>
          <w:p w14:paraId="3DEEA5B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Operational feasibility</w:t>
            </w:r>
          </w:p>
        </w:tc>
        <w:tc>
          <w:tcPr>
            <w:tcW w:w="1645" w:type="dxa"/>
            <w:tcBorders>
              <w:top w:val="nil"/>
              <w:bottom w:val="nil"/>
            </w:tcBorders>
            <w:noWrap/>
          </w:tcPr>
          <w:p w14:paraId="0758BF5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0.146</w:t>
            </w:r>
          </w:p>
        </w:tc>
        <w:tc>
          <w:tcPr>
            <w:tcW w:w="1707" w:type="dxa"/>
            <w:tcBorders>
              <w:top w:val="nil"/>
              <w:bottom w:val="nil"/>
            </w:tcBorders>
            <w:noWrap/>
          </w:tcPr>
          <w:p w14:paraId="72B04BB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74.899</w:t>
            </w:r>
          </w:p>
        </w:tc>
        <w:tc>
          <w:tcPr>
            <w:tcW w:w="1545" w:type="dxa"/>
            <w:tcBorders>
              <w:top w:val="nil"/>
              <w:bottom w:val="nil"/>
            </w:tcBorders>
          </w:tcPr>
          <w:p w14:paraId="705645C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766" w:type="dxa"/>
            <w:tcBorders>
              <w:top w:val="nil"/>
              <w:bottom w:val="nil"/>
            </w:tcBorders>
            <w:noWrap/>
          </w:tcPr>
          <w:p w14:paraId="38C1003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&lt;0.001</w:t>
            </w:r>
          </w:p>
        </w:tc>
      </w:tr>
      <w:tr w:rsidR="00181676" w:rsidRPr="001C5DE2" w14:paraId="6CD5BBF7" w14:textId="77777777" w:rsidTr="00966037">
        <w:trPr>
          <w:trHeight w:val="70"/>
        </w:trPr>
        <w:tc>
          <w:tcPr>
            <w:tcW w:w="1701" w:type="dxa"/>
            <w:vMerge w:val="restart"/>
            <w:tcBorders>
              <w:top w:val="nil"/>
            </w:tcBorders>
            <w:noWrap/>
          </w:tcPr>
          <w:p w14:paraId="2B6A9EF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Second round</w:t>
            </w:r>
          </w:p>
        </w:tc>
        <w:tc>
          <w:tcPr>
            <w:tcW w:w="2836" w:type="dxa"/>
            <w:tcBorders>
              <w:top w:val="nil"/>
              <w:bottom w:val="nil"/>
            </w:tcBorders>
          </w:tcPr>
          <w:p w14:paraId="3461D17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Applicability</w:t>
            </w:r>
          </w:p>
        </w:tc>
        <w:tc>
          <w:tcPr>
            <w:tcW w:w="1645" w:type="dxa"/>
            <w:tcBorders>
              <w:top w:val="nil"/>
              <w:bottom w:val="nil"/>
            </w:tcBorders>
            <w:noWrap/>
          </w:tcPr>
          <w:p w14:paraId="27AE54C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0.116</w:t>
            </w:r>
          </w:p>
        </w:tc>
        <w:tc>
          <w:tcPr>
            <w:tcW w:w="1707" w:type="dxa"/>
            <w:tcBorders>
              <w:top w:val="nil"/>
              <w:bottom w:val="nil"/>
            </w:tcBorders>
            <w:noWrap/>
          </w:tcPr>
          <w:p w14:paraId="65F6D16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75.945</w:t>
            </w:r>
          </w:p>
        </w:tc>
        <w:tc>
          <w:tcPr>
            <w:tcW w:w="1545" w:type="dxa"/>
            <w:tcBorders>
              <w:top w:val="nil"/>
              <w:bottom w:val="nil"/>
            </w:tcBorders>
          </w:tcPr>
          <w:p w14:paraId="48CCFD7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766" w:type="dxa"/>
            <w:tcBorders>
              <w:top w:val="nil"/>
              <w:bottom w:val="nil"/>
            </w:tcBorders>
            <w:noWrap/>
          </w:tcPr>
          <w:p w14:paraId="7B259BC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0.001</w:t>
            </w:r>
          </w:p>
        </w:tc>
      </w:tr>
      <w:tr w:rsidR="00181676" w:rsidRPr="001C5DE2" w14:paraId="6EC519EC" w14:textId="77777777" w:rsidTr="00966037">
        <w:trPr>
          <w:trHeight w:val="70"/>
        </w:trPr>
        <w:tc>
          <w:tcPr>
            <w:tcW w:w="1701" w:type="dxa"/>
            <w:vMerge/>
            <w:noWrap/>
          </w:tcPr>
          <w:p w14:paraId="5E98E60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  <w:bottom w:val="nil"/>
            </w:tcBorders>
          </w:tcPr>
          <w:p w14:paraId="2ABE22D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Importance</w:t>
            </w:r>
          </w:p>
        </w:tc>
        <w:tc>
          <w:tcPr>
            <w:tcW w:w="1645" w:type="dxa"/>
            <w:tcBorders>
              <w:top w:val="nil"/>
              <w:bottom w:val="nil"/>
            </w:tcBorders>
            <w:noWrap/>
          </w:tcPr>
          <w:p w14:paraId="5B4A783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0.125</w:t>
            </w:r>
          </w:p>
        </w:tc>
        <w:tc>
          <w:tcPr>
            <w:tcW w:w="1707" w:type="dxa"/>
            <w:tcBorders>
              <w:top w:val="nil"/>
              <w:bottom w:val="nil"/>
            </w:tcBorders>
            <w:noWrap/>
          </w:tcPr>
          <w:p w14:paraId="52F2394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81.773</w:t>
            </w:r>
          </w:p>
        </w:tc>
        <w:tc>
          <w:tcPr>
            <w:tcW w:w="1545" w:type="dxa"/>
            <w:tcBorders>
              <w:top w:val="nil"/>
              <w:bottom w:val="nil"/>
            </w:tcBorders>
          </w:tcPr>
          <w:p w14:paraId="318C698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766" w:type="dxa"/>
            <w:tcBorders>
              <w:top w:val="nil"/>
              <w:bottom w:val="nil"/>
            </w:tcBorders>
            <w:noWrap/>
          </w:tcPr>
          <w:p w14:paraId="72BA43B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&lt;0.001</w:t>
            </w:r>
          </w:p>
        </w:tc>
      </w:tr>
      <w:tr w:rsidR="00181676" w:rsidRPr="001C5DE2" w14:paraId="4101798B" w14:textId="77777777" w:rsidTr="00966037">
        <w:trPr>
          <w:trHeight w:val="70"/>
        </w:trPr>
        <w:tc>
          <w:tcPr>
            <w:tcW w:w="1701" w:type="dxa"/>
            <w:vMerge/>
            <w:tcBorders>
              <w:bottom w:val="single" w:sz="12" w:space="0" w:color="auto"/>
            </w:tcBorders>
            <w:noWrap/>
          </w:tcPr>
          <w:p w14:paraId="1A806D8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nil"/>
              <w:bottom w:val="single" w:sz="12" w:space="0" w:color="auto"/>
            </w:tcBorders>
          </w:tcPr>
          <w:p w14:paraId="4BF73C3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Operational feasibility</w:t>
            </w:r>
          </w:p>
        </w:tc>
        <w:tc>
          <w:tcPr>
            <w:tcW w:w="1645" w:type="dxa"/>
            <w:tcBorders>
              <w:top w:val="nil"/>
              <w:bottom w:val="single" w:sz="12" w:space="0" w:color="auto"/>
            </w:tcBorders>
            <w:noWrap/>
          </w:tcPr>
          <w:p w14:paraId="66CF130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0.142</w:t>
            </w:r>
          </w:p>
        </w:tc>
        <w:tc>
          <w:tcPr>
            <w:tcW w:w="1707" w:type="dxa"/>
            <w:tcBorders>
              <w:top w:val="nil"/>
              <w:bottom w:val="single" w:sz="12" w:space="0" w:color="auto"/>
            </w:tcBorders>
            <w:noWrap/>
          </w:tcPr>
          <w:p w14:paraId="311AD59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93.016</w:t>
            </w:r>
          </w:p>
        </w:tc>
        <w:tc>
          <w:tcPr>
            <w:tcW w:w="1545" w:type="dxa"/>
            <w:tcBorders>
              <w:top w:val="nil"/>
              <w:bottom w:val="single" w:sz="12" w:space="0" w:color="auto"/>
            </w:tcBorders>
          </w:tcPr>
          <w:p w14:paraId="6D80724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766" w:type="dxa"/>
            <w:tcBorders>
              <w:top w:val="nil"/>
              <w:bottom w:val="single" w:sz="12" w:space="0" w:color="auto"/>
            </w:tcBorders>
            <w:noWrap/>
          </w:tcPr>
          <w:p w14:paraId="73ACA34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&lt;0.001</w:t>
            </w:r>
          </w:p>
        </w:tc>
      </w:tr>
    </w:tbl>
    <w:p w14:paraId="70A0A8BA" w14:textId="77777777" w:rsidR="00181676" w:rsidRPr="001C5DE2" w:rsidRDefault="00181676" w:rsidP="0018167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5E75E29A" w14:textId="77777777" w:rsidR="00181676" w:rsidRDefault="00181676" w:rsidP="00181676">
      <w:pPr>
        <w:widowControl/>
        <w:jc w:val="left"/>
      </w:pPr>
      <w:r>
        <w:br w:type="page"/>
      </w:r>
    </w:p>
    <w:p w14:paraId="6B8311AC" w14:textId="77777777" w:rsidR="00181676" w:rsidRPr="001C5DE2" w:rsidRDefault="00181676" w:rsidP="00181676">
      <w:pPr>
        <w:spacing w:after="0" w:line="480" w:lineRule="auto"/>
        <w:rPr>
          <w:rFonts w:ascii="Times New Roman" w:eastAsia="SimHei" w:hAnsi="Times New Roman" w:cs="Times New Roman"/>
          <w:sz w:val="24"/>
          <w:szCs w:val="24"/>
        </w:rPr>
      </w:pPr>
      <w:r w:rsidRPr="00B86408">
        <w:rPr>
          <w:rFonts w:ascii="Times New Roman" w:eastAsia="SimHei" w:hAnsi="Times New Roman" w:cs="Times New Roman"/>
          <w:b/>
          <w:bCs/>
          <w:sz w:val="24"/>
          <w:szCs w:val="24"/>
        </w:rPr>
        <w:lastRenderedPageBreak/>
        <w:t>Table 5.</w:t>
      </w:r>
      <w:r w:rsidRPr="001C5DE2">
        <w:rPr>
          <w:rFonts w:ascii="Times New Roman" w:eastAsia="SimHei" w:hAnsi="Times New Roman" w:cs="Times New Roman"/>
          <w:sz w:val="24"/>
          <w:szCs w:val="24"/>
        </w:rPr>
        <w:t xml:space="preserve"> First-round expert consultation results for primary indicators</w:t>
      </w:r>
    </w:p>
    <w:tbl>
      <w:tblPr>
        <w:tblW w:w="12318" w:type="dxa"/>
        <w:tblLayout w:type="fixed"/>
        <w:tblLook w:val="04A0" w:firstRow="1" w:lastRow="0" w:firstColumn="1" w:lastColumn="0" w:noHBand="0" w:noVBand="1"/>
      </w:tblPr>
      <w:tblGrid>
        <w:gridCol w:w="2410"/>
        <w:gridCol w:w="836"/>
        <w:gridCol w:w="709"/>
        <w:gridCol w:w="851"/>
        <w:gridCol w:w="992"/>
        <w:gridCol w:w="709"/>
        <w:gridCol w:w="850"/>
        <w:gridCol w:w="851"/>
        <w:gridCol w:w="992"/>
        <w:gridCol w:w="709"/>
        <w:gridCol w:w="708"/>
        <w:gridCol w:w="709"/>
        <w:gridCol w:w="992"/>
      </w:tblGrid>
      <w:tr w:rsidR="00181676" w:rsidRPr="001C5DE2" w14:paraId="4E52E624" w14:textId="77777777" w:rsidTr="00966037">
        <w:trPr>
          <w:trHeight w:val="270"/>
        </w:trPr>
        <w:tc>
          <w:tcPr>
            <w:tcW w:w="2410" w:type="dxa"/>
            <w:vMerge w:val="restart"/>
            <w:tcBorders>
              <w:top w:val="single" w:sz="12" w:space="0" w:color="auto"/>
              <w:left w:val="nil"/>
              <w:right w:val="nil"/>
            </w:tcBorders>
            <w:noWrap/>
          </w:tcPr>
          <w:p w14:paraId="1E49EA9F" w14:textId="77777777" w:rsidR="00181676" w:rsidRPr="001C5DE2" w:rsidRDefault="00181676" w:rsidP="00966037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Hei" w:hAnsi="Times New Roman" w:cs="Times New Roman"/>
                <w:sz w:val="24"/>
                <w:szCs w:val="24"/>
              </w:rPr>
              <w:t>Primary indicators</w:t>
            </w:r>
          </w:p>
        </w:tc>
        <w:tc>
          <w:tcPr>
            <w:tcW w:w="3388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4BAA86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Applicability</w:t>
            </w:r>
          </w:p>
        </w:tc>
        <w:tc>
          <w:tcPr>
            <w:tcW w:w="3402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</w:tcPr>
          <w:p w14:paraId="57DB850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Importance</w:t>
            </w:r>
          </w:p>
        </w:tc>
        <w:tc>
          <w:tcPr>
            <w:tcW w:w="3118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1B8B694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Operational Feasibility</w:t>
            </w:r>
          </w:p>
        </w:tc>
      </w:tr>
      <w:tr w:rsidR="00181676" w:rsidRPr="001C5DE2" w14:paraId="14B40A22" w14:textId="77777777" w:rsidTr="00966037">
        <w:trPr>
          <w:trHeight w:val="270"/>
        </w:trPr>
        <w:tc>
          <w:tcPr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  <w:noWrap/>
          </w:tcPr>
          <w:p w14:paraId="5D53DE0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78878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F53F7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90427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CV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53D78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FR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2A813F2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5F6E9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57235B8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CV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027AD90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FR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E4C7F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D85A8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169B7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CV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568ED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FR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(%)</w:t>
            </w:r>
          </w:p>
        </w:tc>
      </w:tr>
      <w:tr w:rsidR="00181676" w:rsidRPr="001C5DE2" w14:paraId="7C076BA4" w14:textId="77777777" w:rsidTr="00966037">
        <w:trPr>
          <w:trHeight w:val="27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F57D6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 Structural indicator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D914C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4.88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FF559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832AE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12418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87.50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F68AEE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4.81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0A01F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40F985B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3F8ABCE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87.50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7DCF7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4.81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8C26F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C0012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F87E0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87.50</w:t>
            </w:r>
          </w:p>
        </w:tc>
      </w:tr>
      <w:tr w:rsidR="00181676" w:rsidRPr="001C5DE2" w14:paraId="50E733B8" w14:textId="77777777" w:rsidTr="00966037">
        <w:trPr>
          <w:trHeight w:val="27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B96D1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 Process indicator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14:paraId="3B9ABE3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A80C41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8EF53F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075DC2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87.50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8B12A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656F4F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FFB9D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D88287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100.00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B8651F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4.88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B0496E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A1CF72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4425C9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93.75</w:t>
            </w:r>
          </w:p>
        </w:tc>
      </w:tr>
      <w:tr w:rsidR="00181676" w:rsidRPr="001C5DE2" w14:paraId="356B9514" w14:textId="77777777" w:rsidTr="00966037">
        <w:trPr>
          <w:trHeight w:val="270"/>
        </w:trPr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50B8076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 Outcome indicator</w:t>
            </w:r>
          </w:p>
        </w:tc>
        <w:tc>
          <w:tcPr>
            <w:tcW w:w="83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F00503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A12DD8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0C91B5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E2AEB9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87.50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1F9DCE6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4.88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4046CF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38D4D28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579DC25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87.50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A344A2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4.81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30DCB3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33A631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1F815D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87.50</w:t>
            </w:r>
          </w:p>
        </w:tc>
      </w:tr>
    </w:tbl>
    <w:p w14:paraId="7B42F947" w14:textId="77777777" w:rsidR="00181676" w:rsidRPr="001C5DE2" w:rsidRDefault="00181676" w:rsidP="00181676">
      <w:pPr>
        <w:spacing w:after="0" w:line="480" w:lineRule="auto"/>
        <w:rPr>
          <w:rFonts w:ascii="Times New Roman" w:eastAsia="SimSun" w:hAnsi="Times New Roman" w:cs="Times New Roman"/>
          <w:sz w:val="24"/>
          <w:szCs w:val="24"/>
        </w:rPr>
      </w:pPr>
      <w:r w:rsidRPr="001C5DE2">
        <w:rPr>
          <w:rFonts w:ascii="Times New Roman" w:eastAsia="SimSun" w:hAnsi="Times New Roman" w:cs="Times New Roman"/>
          <w:sz w:val="24"/>
          <w:szCs w:val="24"/>
        </w:rPr>
        <w:t>Note: M = mean, SD = standard deviation, CV = coefficient of variation, and FR= full score rate.</w:t>
      </w:r>
    </w:p>
    <w:p w14:paraId="536210E7" w14:textId="77777777" w:rsidR="00181676" w:rsidRDefault="00181676" w:rsidP="00181676">
      <w:pPr>
        <w:widowControl/>
        <w:jc w:val="left"/>
      </w:pPr>
      <w:r>
        <w:br w:type="page"/>
      </w:r>
    </w:p>
    <w:p w14:paraId="742F4E59" w14:textId="77777777" w:rsidR="00181676" w:rsidRPr="001C5DE2" w:rsidRDefault="00181676" w:rsidP="00181676">
      <w:pPr>
        <w:spacing w:after="0" w:line="480" w:lineRule="auto"/>
        <w:rPr>
          <w:rFonts w:ascii="Times New Roman" w:eastAsia="SimHei" w:hAnsi="Times New Roman" w:cs="Times New Roman"/>
          <w:sz w:val="24"/>
          <w:szCs w:val="24"/>
        </w:rPr>
      </w:pPr>
      <w:r w:rsidRPr="00B86408">
        <w:rPr>
          <w:rFonts w:ascii="Times New Roman" w:eastAsia="SimHei" w:hAnsi="Times New Roman" w:cs="Times New Roman"/>
          <w:b/>
          <w:bCs/>
          <w:sz w:val="24"/>
          <w:szCs w:val="24"/>
        </w:rPr>
        <w:lastRenderedPageBreak/>
        <w:t>Table 6.</w:t>
      </w:r>
      <w:r w:rsidRPr="001C5DE2">
        <w:rPr>
          <w:rFonts w:ascii="Times New Roman" w:eastAsia="SimHei" w:hAnsi="Times New Roman" w:cs="Times New Roman"/>
          <w:sz w:val="24"/>
          <w:szCs w:val="24"/>
        </w:rPr>
        <w:t xml:space="preserve"> Results of the first round of expert consultations on secondary indicators</w:t>
      </w:r>
    </w:p>
    <w:tbl>
      <w:tblPr>
        <w:tblW w:w="12616" w:type="dxa"/>
        <w:tblLayout w:type="fixed"/>
        <w:tblLook w:val="04A0" w:firstRow="1" w:lastRow="0" w:firstColumn="1" w:lastColumn="0" w:noHBand="0" w:noVBand="1"/>
      </w:tblPr>
      <w:tblGrid>
        <w:gridCol w:w="2447"/>
        <w:gridCol w:w="672"/>
        <w:gridCol w:w="709"/>
        <w:gridCol w:w="850"/>
        <w:gridCol w:w="1134"/>
        <w:gridCol w:w="851"/>
        <w:gridCol w:w="850"/>
        <w:gridCol w:w="709"/>
        <w:gridCol w:w="992"/>
        <w:gridCol w:w="851"/>
        <w:gridCol w:w="850"/>
        <w:gridCol w:w="709"/>
        <w:gridCol w:w="992"/>
      </w:tblGrid>
      <w:tr w:rsidR="00181676" w:rsidRPr="001C5DE2" w14:paraId="176F7BC8" w14:textId="77777777" w:rsidTr="00966037">
        <w:trPr>
          <w:trHeight w:val="270"/>
        </w:trPr>
        <w:tc>
          <w:tcPr>
            <w:tcW w:w="2447" w:type="dxa"/>
            <w:vMerge w:val="restart"/>
            <w:tcBorders>
              <w:top w:val="single" w:sz="12" w:space="0" w:color="auto"/>
              <w:left w:val="nil"/>
              <w:right w:val="nil"/>
            </w:tcBorders>
            <w:noWrap/>
          </w:tcPr>
          <w:p w14:paraId="55DDA3C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Hei" w:hAnsi="Times New Roman" w:cs="Times New Roman"/>
                <w:sz w:val="24"/>
                <w:szCs w:val="24"/>
              </w:rPr>
              <w:t>Secondary indicators</w:t>
            </w:r>
          </w:p>
        </w:tc>
        <w:tc>
          <w:tcPr>
            <w:tcW w:w="3365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2E084B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Applicability</w:t>
            </w:r>
          </w:p>
        </w:tc>
        <w:tc>
          <w:tcPr>
            <w:tcW w:w="3402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</w:tcPr>
          <w:p w14:paraId="6A5083F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Importance</w:t>
            </w:r>
          </w:p>
        </w:tc>
        <w:tc>
          <w:tcPr>
            <w:tcW w:w="3402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DE3CE5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Operational Feasibility</w:t>
            </w:r>
          </w:p>
        </w:tc>
      </w:tr>
      <w:tr w:rsidR="00181676" w:rsidRPr="001C5DE2" w14:paraId="48E7F26B" w14:textId="77777777" w:rsidTr="00966037">
        <w:trPr>
          <w:trHeight w:val="270"/>
        </w:trPr>
        <w:tc>
          <w:tcPr>
            <w:tcW w:w="2447" w:type="dxa"/>
            <w:vMerge/>
            <w:tcBorders>
              <w:left w:val="nil"/>
              <w:bottom w:val="single" w:sz="4" w:space="0" w:color="auto"/>
              <w:right w:val="nil"/>
            </w:tcBorders>
            <w:noWrap/>
          </w:tcPr>
          <w:p w14:paraId="2AEC668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25E55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DD13F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53321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CV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B5438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FR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3CED055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F285E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52083B6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CV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20DB865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FR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BE23C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6F778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48BDD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CV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A7FED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FR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(%)</w:t>
            </w:r>
          </w:p>
        </w:tc>
      </w:tr>
      <w:tr w:rsidR="00181676" w:rsidRPr="001C5DE2" w14:paraId="419B491F" w14:textId="77777777" w:rsidTr="00966037">
        <w:trPr>
          <w:trHeight w:val="270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54BBFD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1.1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 xml:space="preserve">Human Resource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llocation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</w:tcPr>
          <w:p w14:paraId="460ACA0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6F5809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352884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42F5D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87.50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3DD2D9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72ACB7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FCC01F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07394D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43.75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D2162C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4D75D5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5256FE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843F1A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75.00</w:t>
            </w:r>
          </w:p>
        </w:tc>
      </w:tr>
      <w:tr w:rsidR="00181676" w:rsidRPr="001C5DE2" w14:paraId="7E63851F" w14:textId="77777777" w:rsidTr="00966037">
        <w:trPr>
          <w:trHeight w:val="270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D510AD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1.2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 xml:space="preserve">Knowledge &amp;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 xml:space="preserve">kill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raining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</w:tcPr>
          <w:p w14:paraId="2919DF7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09F317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638D25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EAD52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93.75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FF5EA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ADF1CA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C5C549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27129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87.50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F00A82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73FF20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B35CFA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A6C78D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93.75</w:t>
            </w:r>
          </w:p>
        </w:tc>
      </w:tr>
      <w:tr w:rsidR="00181676" w:rsidRPr="001C5DE2" w14:paraId="24D091D2" w14:textId="77777777" w:rsidTr="00966037">
        <w:trPr>
          <w:trHeight w:val="270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AF6F3F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2.1 Early identification of sepsis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</w:tcPr>
          <w:p w14:paraId="7EFB295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46D04A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558812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6003D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87.50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17F67C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FBD2AF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2702C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A16D9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93.75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1F644F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FC1D03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95E99B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D3AD38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75.00</w:t>
            </w:r>
          </w:p>
        </w:tc>
      </w:tr>
      <w:tr w:rsidR="00181676" w:rsidRPr="001C5DE2" w14:paraId="0D30E542" w14:textId="77777777" w:rsidTr="00966037">
        <w:trPr>
          <w:trHeight w:val="270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76E13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2.2 1-Hour Sepsis Bundle Care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</w:tcPr>
          <w:p w14:paraId="1BAB7A4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C7E307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016DE3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579D4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87.50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43A6B1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3.88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02B1C3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E608B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E8A70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31.25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F5B7B1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38E4E9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569CEE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733117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87.50</w:t>
            </w:r>
          </w:p>
        </w:tc>
      </w:tr>
      <w:tr w:rsidR="00181676" w:rsidRPr="001C5DE2" w14:paraId="0751E9D7" w14:textId="77777777" w:rsidTr="00966037">
        <w:trPr>
          <w:trHeight w:val="270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7D7DA3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2.3 Nursing monitoring techniques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</w:tcPr>
          <w:p w14:paraId="1EDB1D2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6FA9C0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74105E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8D03D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93.75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D9A93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93DC02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10281D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83C333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93.75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88535C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96CB0B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9C52B4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C1972B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75.00</w:t>
            </w:r>
          </w:p>
        </w:tc>
      </w:tr>
      <w:tr w:rsidR="00181676" w:rsidRPr="001C5DE2" w14:paraId="15D7BDD3" w14:textId="77777777" w:rsidTr="00966037">
        <w:trPr>
          <w:trHeight w:val="270"/>
        </w:trPr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84820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3.1 Clinical outcomes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</w:tcPr>
          <w:p w14:paraId="327DCEE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F76D41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CB2AF2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F715C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87.50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B0A871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DED98D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0CF99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D1253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58DDB3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E20A3B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53503A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DD9567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81.25</w:t>
            </w:r>
          </w:p>
        </w:tc>
      </w:tr>
      <w:tr w:rsidR="00181676" w:rsidRPr="001C5DE2" w14:paraId="480C030C" w14:textId="77777777" w:rsidTr="00966037">
        <w:trPr>
          <w:trHeight w:val="270"/>
        </w:trPr>
        <w:tc>
          <w:tcPr>
            <w:tcW w:w="244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1099F4F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3.2 Nursing Care Quality</w:t>
            </w:r>
          </w:p>
        </w:tc>
        <w:tc>
          <w:tcPr>
            <w:tcW w:w="67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D583D4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D332BC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F223AB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F327F4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93.75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1F48AA4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1B8E1B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6CB93D9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197BD41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37.50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E837BB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52D4E9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62D5C3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5375D8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68.75</w:t>
            </w:r>
          </w:p>
        </w:tc>
      </w:tr>
    </w:tbl>
    <w:p w14:paraId="0FDDB8A2" w14:textId="77777777" w:rsidR="00181676" w:rsidRPr="001C5DE2" w:rsidRDefault="00181676" w:rsidP="00181676">
      <w:pPr>
        <w:spacing w:after="0" w:line="480" w:lineRule="auto"/>
        <w:rPr>
          <w:rFonts w:ascii="Times New Roman" w:eastAsia="SimSun" w:hAnsi="Times New Roman" w:cs="Times New Roman"/>
          <w:sz w:val="24"/>
          <w:szCs w:val="24"/>
        </w:rPr>
      </w:pPr>
      <w:r w:rsidRPr="001C5DE2">
        <w:rPr>
          <w:rFonts w:ascii="Times New Roman" w:eastAsia="SimSun" w:hAnsi="Times New Roman" w:cs="Times New Roman"/>
          <w:sz w:val="24"/>
          <w:szCs w:val="24"/>
        </w:rPr>
        <w:lastRenderedPageBreak/>
        <w:t>M = mean, SD = standard deviation, CV = coefficient of variation, and FR= full score rate.</w:t>
      </w:r>
    </w:p>
    <w:p w14:paraId="4800C717" w14:textId="77777777" w:rsidR="00181676" w:rsidRDefault="00181676" w:rsidP="00181676">
      <w:pPr>
        <w:widowControl/>
        <w:jc w:val="left"/>
      </w:pPr>
      <w:r>
        <w:br w:type="page"/>
      </w:r>
    </w:p>
    <w:p w14:paraId="60E28596" w14:textId="77777777" w:rsidR="00181676" w:rsidRPr="001C5DE2" w:rsidRDefault="00181676" w:rsidP="00181676">
      <w:pPr>
        <w:spacing w:after="0" w:line="480" w:lineRule="auto"/>
        <w:rPr>
          <w:rFonts w:ascii="Times New Roman" w:eastAsia="SimHei" w:hAnsi="Times New Roman" w:cs="Times New Roman"/>
          <w:sz w:val="24"/>
          <w:szCs w:val="24"/>
        </w:rPr>
      </w:pPr>
      <w:r w:rsidRPr="00B86408">
        <w:rPr>
          <w:rFonts w:ascii="Times New Roman" w:eastAsia="SimHei" w:hAnsi="Times New Roman" w:cs="Times New Roman"/>
          <w:b/>
          <w:bCs/>
          <w:sz w:val="24"/>
          <w:szCs w:val="24"/>
        </w:rPr>
        <w:lastRenderedPageBreak/>
        <w:t>Table 7.</w:t>
      </w:r>
      <w:r w:rsidRPr="001C5DE2">
        <w:rPr>
          <w:rFonts w:ascii="Times New Roman" w:eastAsia="SimHei" w:hAnsi="Times New Roman" w:cs="Times New Roman"/>
          <w:sz w:val="24"/>
          <w:szCs w:val="24"/>
        </w:rPr>
        <w:t xml:space="preserve"> First-Round Expert Consultation Results for Tertiary Indicators</w:t>
      </w:r>
    </w:p>
    <w:tbl>
      <w:tblPr>
        <w:tblW w:w="12899" w:type="dxa"/>
        <w:tblLayout w:type="fixed"/>
        <w:tblLook w:val="04A0" w:firstRow="1" w:lastRow="0" w:firstColumn="1" w:lastColumn="0" w:noHBand="0" w:noVBand="1"/>
      </w:tblPr>
      <w:tblGrid>
        <w:gridCol w:w="3969"/>
        <w:gridCol w:w="664"/>
        <w:gridCol w:w="651"/>
        <w:gridCol w:w="648"/>
        <w:gridCol w:w="1013"/>
        <w:gridCol w:w="648"/>
        <w:gridCol w:w="650"/>
        <w:gridCol w:w="650"/>
        <w:gridCol w:w="1029"/>
        <w:gridCol w:w="650"/>
        <w:gridCol w:w="648"/>
        <w:gridCol w:w="650"/>
        <w:gridCol w:w="1029"/>
      </w:tblGrid>
      <w:tr w:rsidR="00181676" w:rsidRPr="001C5DE2" w14:paraId="52D40F10" w14:textId="77777777" w:rsidTr="00966037">
        <w:trPr>
          <w:trHeight w:val="270"/>
        </w:trPr>
        <w:tc>
          <w:tcPr>
            <w:tcW w:w="3969" w:type="dxa"/>
            <w:vMerge w:val="restart"/>
            <w:tcBorders>
              <w:top w:val="single" w:sz="12" w:space="0" w:color="auto"/>
              <w:left w:val="nil"/>
              <w:right w:val="nil"/>
            </w:tcBorders>
            <w:noWrap/>
          </w:tcPr>
          <w:p w14:paraId="6D2BA93A" w14:textId="77777777" w:rsidR="00181676" w:rsidRPr="001C5DE2" w:rsidRDefault="00181676" w:rsidP="00966037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Hei" w:hAnsi="Times New Roman" w:cs="Times New Roman"/>
                <w:sz w:val="24"/>
                <w:szCs w:val="24"/>
              </w:rPr>
              <w:t>Tertiary indicators</w:t>
            </w:r>
          </w:p>
        </w:tc>
        <w:tc>
          <w:tcPr>
            <w:tcW w:w="2976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F07F8D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Applicability</w:t>
            </w:r>
          </w:p>
        </w:tc>
        <w:tc>
          <w:tcPr>
            <w:tcW w:w="2977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</w:tcPr>
          <w:p w14:paraId="2FE1A01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Importance</w:t>
            </w:r>
          </w:p>
        </w:tc>
        <w:tc>
          <w:tcPr>
            <w:tcW w:w="2977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DC6E88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Operational Feasibility</w:t>
            </w:r>
          </w:p>
        </w:tc>
      </w:tr>
      <w:tr w:rsidR="00181676" w:rsidRPr="001C5DE2" w14:paraId="2821B82A" w14:textId="77777777" w:rsidTr="00966037">
        <w:trPr>
          <w:trHeight w:val="270"/>
        </w:trPr>
        <w:tc>
          <w:tcPr>
            <w:tcW w:w="3969" w:type="dxa"/>
            <w:vMerge/>
            <w:tcBorders>
              <w:left w:val="nil"/>
              <w:bottom w:val="single" w:sz="4" w:space="0" w:color="auto"/>
              <w:right w:val="nil"/>
            </w:tcBorders>
            <w:noWrap/>
          </w:tcPr>
          <w:p w14:paraId="2C52A85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0FD42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4C081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DEF4F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CV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6820F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FR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5CC6566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EDE57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2487FE1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CV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102B6A4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FR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983EC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ACC86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912A8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CV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185FD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FR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(%)</w:t>
            </w:r>
          </w:p>
        </w:tc>
      </w:tr>
      <w:tr w:rsidR="00181676" w:rsidRPr="001C5DE2" w14:paraId="66BDECB1" w14:textId="77777777" w:rsidTr="00966037">
        <w:trPr>
          <w:trHeight w:val="27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0A2DCC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1.1.1 Patient-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n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urse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r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atio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72FD917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4.81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04C373A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5937ADD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81526D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81.25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E7ED04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4.81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12082D8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C7345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2FAC1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81.25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EEA014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4.56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4240554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3914D6D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F81EF1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62.50</w:t>
            </w:r>
          </w:p>
        </w:tc>
      </w:tr>
      <w:tr w:rsidR="00181676" w:rsidRPr="001C5DE2" w14:paraId="0E5F64BF" w14:textId="77777777" w:rsidTr="00966037">
        <w:trPr>
          <w:trHeight w:val="27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2E2A1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1.1.2 Nurse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a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cademic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q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ualification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r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atio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49110AB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4.44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2DD428C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3F2E2E0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69A83EB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62.50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7B0EE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69F8A47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CB3C2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9CEAD5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56.25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18DC6C9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4.44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5B3E13F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7790353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256FE1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56.25</w:t>
            </w:r>
          </w:p>
        </w:tc>
      </w:tr>
      <w:tr w:rsidR="00181676" w:rsidRPr="001C5DE2" w14:paraId="334BEDEE" w14:textId="77777777" w:rsidTr="00966037">
        <w:trPr>
          <w:trHeight w:val="27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A8AE8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1.2.1 Achievement rate of training in relevant theoretical knowledge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6E3B70C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4.94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7961EA3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3C641AA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676023B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93.75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E46ADD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4.44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28872DA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4F01E5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AC8B6E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56.25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311EEC0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4.94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0A51B67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7BD1B89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7A4408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93.75</w:t>
            </w:r>
          </w:p>
        </w:tc>
      </w:tr>
      <w:tr w:rsidR="00181676" w:rsidRPr="001C5DE2" w14:paraId="22F54353" w14:textId="77777777" w:rsidTr="00966037">
        <w:trPr>
          <w:trHeight w:val="27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F3A57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1.2.2 Achievement rate of skills training in relevant specialties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581FB68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5.00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53AAFD6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61C8B33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6B8FE11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100.00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9BA9A8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4.94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6C6F40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98B7E5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7B91D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93.75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A97FAE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5.00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0381DA3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279D6FC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DD72D6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100.00</w:t>
            </w:r>
          </w:p>
        </w:tc>
      </w:tr>
      <w:tr w:rsidR="00181676" w:rsidRPr="001C5DE2" w14:paraId="33D7AA91" w14:textId="77777777" w:rsidTr="00966037">
        <w:trPr>
          <w:trHeight w:val="27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624938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2.1.1 SIRS assessment implementation rate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343B993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4.19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6D7205F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4A5C6C1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56AA81A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62.50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63C7CF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3.88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3994054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E9A2E1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0.30*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E6C08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31.25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E75FB3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4.31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6F32B7D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7C42EB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C40FA8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68.75</w:t>
            </w:r>
          </w:p>
        </w:tc>
      </w:tr>
      <w:tr w:rsidR="00181676" w:rsidRPr="001C5DE2" w14:paraId="50E51188" w14:textId="77777777" w:rsidTr="00966037">
        <w:trPr>
          <w:trHeight w:val="27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3B745E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2.1.2 qSOFA/SOFA assessment implementation rate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5900B45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4.94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0B131AC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76F77F2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0FD6488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93.75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AA9F80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4.31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59DF8B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85B773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F8968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50.00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76B378F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4.81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5E34268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11B69C2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59143D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87.50</w:t>
            </w:r>
          </w:p>
        </w:tc>
      </w:tr>
      <w:tr w:rsidR="00181676" w:rsidRPr="001C5DE2" w14:paraId="234233B4" w14:textId="77777777" w:rsidTr="00966037">
        <w:trPr>
          <w:trHeight w:val="27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EDE7A9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2.2.1 Implementation rate of the first lactate test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38124AE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4.81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30CF40A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19EF1E6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056D4A6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93.75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CCD139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4.44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7276239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940ECA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AC328D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62.50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7C01C09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4.75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6A45C1C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1127212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52F50F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87.50</w:t>
            </w:r>
          </w:p>
        </w:tc>
      </w:tr>
      <w:tr w:rsidR="00181676" w:rsidRPr="001C5DE2" w14:paraId="79EE8812" w14:textId="77777777" w:rsidTr="00966037">
        <w:trPr>
          <w:trHeight w:val="27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C652A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lastRenderedPageBreak/>
              <w:t>2.2.2 Implementation rate of two blood culture collections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7C5E082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4.81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3E6C2D3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5710724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2CFCBD9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81.25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7026C1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32F8F86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5E900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AC7A1F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56.25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279CBF7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4.50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436A306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BD039D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E478CB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75.00</w:t>
            </w:r>
          </w:p>
        </w:tc>
      </w:tr>
      <w:tr w:rsidR="00181676" w:rsidRPr="001C5DE2" w14:paraId="0FDCEE9B" w14:textId="77777777" w:rsidTr="00966037">
        <w:trPr>
          <w:trHeight w:val="27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E705D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2.2.3 Antibiotic use implementation rate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0FD7C0C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4.75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630B6A8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4803C8B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5438DDD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81.25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4A4540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4F3799B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3108B7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CC2745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50.00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AF55AC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11A99C0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32D48B4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EF09DA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62.50</w:t>
            </w:r>
          </w:p>
        </w:tc>
      </w:tr>
      <w:tr w:rsidR="00181676" w:rsidRPr="001C5DE2" w14:paraId="55C073A7" w14:textId="77777777" w:rsidTr="00966037">
        <w:trPr>
          <w:trHeight w:val="27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9BA691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2.2.4 Liquid expansion implementation rate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6F5EFE8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4.75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2A56A8E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599B74E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3BE15FF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81.25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2C807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64861D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1DE597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A19D97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56.25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CB91B9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4.63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3463B2B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6FCBE7E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C8D59F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87.50</w:t>
            </w:r>
          </w:p>
        </w:tc>
      </w:tr>
      <w:tr w:rsidR="00181676" w:rsidRPr="001C5DE2" w14:paraId="74FEBE1B" w14:textId="77777777" w:rsidTr="00966037">
        <w:trPr>
          <w:trHeight w:val="27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321A64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2.2.5 Vasopressin implementation rate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4CF5F9F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4.56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13836DB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34140DE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0065E7E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75.00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07F51D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F74017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6948A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216579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50.00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7E2AF2A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4.19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50AADBD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45C16AF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830D8E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50.00</w:t>
            </w:r>
          </w:p>
        </w:tc>
      </w:tr>
      <w:tr w:rsidR="00181676" w:rsidRPr="001C5DE2" w14:paraId="1906E111" w14:textId="77777777" w:rsidTr="00966037">
        <w:trPr>
          <w:trHeight w:val="27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BD012F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2.3.1 Vital signs monitoring implementation rate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28752D1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4.94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324F48E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26ABE02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2AC391D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93.75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BBE8BC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4.81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4804D3E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429F8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2F00BD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81.25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6E02F75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4.88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02D6D1D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63C0E4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8FC7AF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93.75</w:t>
            </w:r>
          </w:p>
        </w:tc>
      </w:tr>
      <w:tr w:rsidR="00181676" w:rsidRPr="001C5DE2" w14:paraId="2EEE20F8" w14:textId="77777777" w:rsidTr="00966037">
        <w:trPr>
          <w:trHeight w:val="27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F5175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2.3.2 Implementation rate of urine output monitoring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508CB64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4.94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413A781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7B1D2B0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2909436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93.75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36B8A6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4.75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2FA87B6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D93529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7D571A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75.00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62770AD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4.88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0BE7796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4A2A219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D57734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93.75</w:t>
            </w:r>
          </w:p>
        </w:tc>
      </w:tr>
      <w:tr w:rsidR="00181676" w:rsidRPr="001C5DE2" w14:paraId="718289A7" w14:textId="77777777" w:rsidTr="00966037">
        <w:trPr>
          <w:trHeight w:val="27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0738A1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2.3.3 MAP monitoring implementation rate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6B85261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4.94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6E14023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10A71CD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760ABBA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93.75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CEA59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4.81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6B2EE6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971359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720EC7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81.25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451B930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4.88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4DE5380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6DA4653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6CC2A6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93.75</w:t>
            </w:r>
          </w:p>
        </w:tc>
      </w:tr>
      <w:tr w:rsidR="00181676" w:rsidRPr="001C5DE2" w14:paraId="6A6F8381" w14:textId="77777777" w:rsidTr="00966037">
        <w:trPr>
          <w:trHeight w:val="27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E7B14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2.3.4 CVP monitoring implementation rate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4E88899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4.75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67136AC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6EF436F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29EDD0C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81.25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36EAEA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682FAA3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7A0EC0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8A797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62.50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3261BBC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4.44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6A6E291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1F2C63F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5034B6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62.50</w:t>
            </w:r>
          </w:p>
        </w:tc>
      </w:tr>
      <w:tr w:rsidR="00181676" w:rsidRPr="001C5DE2" w14:paraId="0EB6E5B7" w14:textId="77777777" w:rsidTr="00966037">
        <w:trPr>
          <w:trHeight w:val="27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314DFB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lastRenderedPageBreak/>
              <w:t>2.3.5 ScvO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  <w:vertAlign w:val="subscript"/>
              </w:rPr>
              <w:t>2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monitoring implementation rate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62D6CF2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4.69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65D7334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0BD66E7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3C590FB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75.00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FBBDD2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4.44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25210C6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FE6557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26A767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56.25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94FE6B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4.81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5951A28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2BD54F3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14DBF7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81.25</w:t>
            </w:r>
          </w:p>
        </w:tc>
      </w:tr>
      <w:tr w:rsidR="00181676" w:rsidRPr="001C5DE2" w14:paraId="0CD827D4" w14:textId="77777777" w:rsidTr="00966037">
        <w:trPr>
          <w:trHeight w:val="27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9975AC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2.3.6 Passive leg raising test execution rate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5E8227B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4.81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423B2DE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735D42F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5BDE2F0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81.25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5C010B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644E142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267BD5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0D85E2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37.50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7A1791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4.19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58AFC05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6972FCD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B5BD3C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50.00</w:t>
            </w:r>
          </w:p>
        </w:tc>
      </w:tr>
      <w:tr w:rsidR="00181676" w:rsidRPr="001C5DE2" w14:paraId="6015247D" w14:textId="77777777" w:rsidTr="00966037">
        <w:trPr>
          <w:trHeight w:val="27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7C9BD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3.1.1 Incidence of septic shock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5673B7A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4.81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3058BFF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57C8E86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5187AAE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87.50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CB5303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2E06CFC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65E929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52A574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62.50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446380B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4.88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384D7CE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FBD083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1F0706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87.50</w:t>
            </w:r>
          </w:p>
        </w:tc>
      </w:tr>
      <w:tr w:rsidR="00181676" w:rsidRPr="001C5DE2" w14:paraId="5E32DA93" w14:textId="77777777" w:rsidTr="00966037">
        <w:trPr>
          <w:trHeight w:val="27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625C00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3.1.2 28-day hospitalization mortality rate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1144A69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4.75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11B86EE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6B82C77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132BFC2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81.25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97418E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4.31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15EB9E5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B25922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B65686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43.75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3C63A0D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4.75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551D6AD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64995A3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A26666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81.25</w:t>
            </w:r>
          </w:p>
        </w:tc>
      </w:tr>
      <w:tr w:rsidR="00181676" w:rsidRPr="001C5DE2" w14:paraId="75947320" w14:textId="77777777" w:rsidTr="00966037">
        <w:trPr>
          <w:trHeight w:val="27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F827D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3.1.3 30-day readmission rate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4E1D7FA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4.75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5CB62E7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5422339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3F2150C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87.50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252CA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392FB3C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10A55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7A408D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50.00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6AF330D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4.88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0EA565C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7A3E234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CDC96D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93.75</w:t>
            </w:r>
          </w:p>
        </w:tc>
      </w:tr>
      <w:tr w:rsidR="00181676" w:rsidRPr="001C5DE2" w14:paraId="7988C2F1" w14:textId="77777777" w:rsidTr="00966037">
        <w:trPr>
          <w:trHeight w:val="27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11807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3.2.1 Percentage of correctly written nursing documents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497A608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4.31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76D5C1D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017ACBD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5EEAFCD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75.00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7F319C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4431B44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DDC35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0.28*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39C89C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68.75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75E333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4.31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53E0A1E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6BB0B0C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479A3A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68.75</w:t>
            </w:r>
          </w:p>
        </w:tc>
      </w:tr>
      <w:tr w:rsidR="00181676" w:rsidRPr="001C5DE2" w14:paraId="00E80940" w14:textId="77777777" w:rsidTr="00966037">
        <w:trPr>
          <w:trHeight w:val="27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AB801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3.2.2 Health promotion awareness rate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645D41B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</w:tcPr>
          <w:p w14:paraId="68AF5AD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2A3C643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69DC51D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75.00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3D6F9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3.63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3EFBC3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137BB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0.26*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97D119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18.75*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E19857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4.25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1422AA8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10F4FDF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1C0EA4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68.75</w:t>
            </w:r>
          </w:p>
        </w:tc>
      </w:tr>
      <w:tr w:rsidR="00181676" w:rsidRPr="001C5DE2" w14:paraId="6506FF68" w14:textId="77777777" w:rsidTr="00966037">
        <w:trPr>
          <w:trHeight w:val="270"/>
        </w:trPr>
        <w:tc>
          <w:tcPr>
            <w:tcW w:w="396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60B787D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3.2.3 Nursing care satisfaction rate</w:t>
            </w:r>
          </w:p>
        </w:tc>
        <w:tc>
          <w:tcPr>
            <w:tcW w:w="66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BE3D1D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4.81</w:t>
            </w:r>
          </w:p>
        </w:tc>
        <w:tc>
          <w:tcPr>
            <w:tcW w:w="65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DF554D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7C5413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5644F0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81.25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543863E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4.75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25CB29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65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093CFEE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040B19B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87.50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8E7483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4.88</w:t>
            </w:r>
          </w:p>
        </w:tc>
        <w:tc>
          <w:tcPr>
            <w:tcW w:w="64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BCB518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203B48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331B55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87.50</w:t>
            </w:r>
          </w:p>
        </w:tc>
      </w:tr>
    </w:tbl>
    <w:p w14:paraId="58811E15" w14:textId="77777777" w:rsidR="00181676" w:rsidRDefault="00181676" w:rsidP="00181676">
      <w:pPr>
        <w:spacing w:after="0" w:line="480" w:lineRule="auto"/>
        <w:rPr>
          <w:rFonts w:ascii="Times New Roman" w:eastAsia="SimSun" w:hAnsi="Times New Roman" w:cs="Times New Roman"/>
          <w:sz w:val="24"/>
          <w:szCs w:val="24"/>
        </w:rPr>
      </w:pPr>
      <w:r w:rsidRPr="001C5DE2">
        <w:rPr>
          <w:rFonts w:ascii="Times New Roman" w:eastAsia="SimSun" w:hAnsi="Times New Roman" w:cs="Times New Roman"/>
          <w:sz w:val="24"/>
          <w:szCs w:val="24"/>
        </w:rPr>
        <w:t xml:space="preserve">* does not meet the inclusion criteria. </w:t>
      </w:r>
    </w:p>
    <w:p w14:paraId="6C6BFBA5" w14:textId="77777777" w:rsidR="00181676" w:rsidRPr="001C5DE2" w:rsidRDefault="00181676" w:rsidP="00181676">
      <w:pPr>
        <w:spacing w:after="0" w:line="480" w:lineRule="auto"/>
        <w:rPr>
          <w:rFonts w:ascii="Times New Roman" w:eastAsia="SimSun" w:hAnsi="Times New Roman" w:cs="Times New Roman"/>
          <w:sz w:val="24"/>
          <w:szCs w:val="24"/>
        </w:rPr>
      </w:pPr>
      <w:r w:rsidRPr="001C5DE2">
        <w:rPr>
          <w:rFonts w:ascii="Times New Roman" w:eastAsia="SimSun" w:hAnsi="Times New Roman" w:cs="Times New Roman"/>
          <w:sz w:val="24"/>
          <w:szCs w:val="24"/>
        </w:rPr>
        <w:t>M is mean, SD is standard deviation, CV is coefficient of variation, and FR is full score rate. MAP: Mean Arterial Pressure, CVP: Central Venous Pressure, ScvO</w:t>
      </w:r>
      <w:r w:rsidRPr="001C5DE2">
        <w:rPr>
          <w:rFonts w:ascii="Times New Roman" w:eastAsia="SimSu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SimSun" w:hAnsi="Times New Roman" w:cs="Times New Roman"/>
          <w:sz w:val="24"/>
          <w:szCs w:val="24"/>
          <w:lang w:val="fr-CA"/>
        </w:rPr>
        <w:t>:</w:t>
      </w:r>
      <w:r w:rsidRPr="001C5DE2">
        <w:rPr>
          <w:rFonts w:ascii="Times New Roman" w:eastAsia="SimSun" w:hAnsi="Times New Roman" w:cs="Times New Roman"/>
          <w:sz w:val="24"/>
          <w:szCs w:val="24"/>
        </w:rPr>
        <w:t xml:space="preserve"> Central Venous Oxygen Saturation, SIRS</w:t>
      </w:r>
      <w:r>
        <w:rPr>
          <w:rFonts w:ascii="Times New Roman" w:eastAsia="SimSun" w:hAnsi="Times New Roman" w:cs="Times New Roman"/>
          <w:sz w:val="24"/>
          <w:szCs w:val="24"/>
        </w:rPr>
        <w:t xml:space="preserve">: </w:t>
      </w:r>
      <w:r w:rsidRPr="001C5DE2">
        <w:rPr>
          <w:rFonts w:ascii="Times New Roman" w:eastAsia="SimSun" w:hAnsi="Times New Roman" w:cs="Times New Roman"/>
          <w:sz w:val="24"/>
          <w:szCs w:val="24"/>
        </w:rPr>
        <w:t xml:space="preserve">Systemic Inflammatory Response Syndrome, SOFA: Sequential Organ </w:t>
      </w:r>
      <w:r w:rsidRPr="001C5DE2">
        <w:rPr>
          <w:rFonts w:ascii="Times New Roman" w:eastAsia="SimSun" w:hAnsi="Times New Roman" w:cs="Times New Roman"/>
          <w:sz w:val="24"/>
          <w:szCs w:val="24"/>
        </w:rPr>
        <w:lastRenderedPageBreak/>
        <w:t>Failure Assessment; qSOFA: Quick Sequential Organ Failure Assessment.</w:t>
      </w:r>
    </w:p>
    <w:p w14:paraId="05A1D7FD" w14:textId="77777777" w:rsidR="00181676" w:rsidRDefault="00181676" w:rsidP="00181676">
      <w:pPr>
        <w:widowControl/>
        <w:jc w:val="left"/>
      </w:pPr>
      <w:r>
        <w:br w:type="page"/>
      </w:r>
    </w:p>
    <w:p w14:paraId="2CE7BFE1" w14:textId="77777777" w:rsidR="00181676" w:rsidRPr="001C5DE2" w:rsidRDefault="00181676" w:rsidP="00181676">
      <w:pPr>
        <w:spacing w:after="0" w:line="480" w:lineRule="auto"/>
        <w:ind w:firstLineChars="200" w:firstLine="482"/>
        <w:rPr>
          <w:rFonts w:ascii="Times New Roman" w:eastAsia="SimHei" w:hAnsi="Times New Roman" w:cs="Times New Roman"/>
          <w:sz w:val="24"/>
          <w:szCs w:val="24"/>
        </w:rPr>
      </w:pPr>
      <w:r w:rsidRPr="00B86408">
        <w:rPr>
          <w:rFonts w:ascii="Times New Roman" w:eastAsia="SimHei" w:hAnsi="Times New Roman" w:cs="Times New Roman"/>
          <w:b/>
          <w:bCs/>
          <w:sz w:val="24"/>
          <w:szCs w:val="24"/>
        </w:rPr>
        <w:lastRenderedPageBreak/>
        <w:t>Table 8.</w:t>
      </w:r>
      <w:r w:rsidRPr="001C5DE2">
        <w:rPr>
          <w:rFonts w:ascii="Times New Roman" w:eastAsia="SimHei" w:hAnsi="Times New Roman" w:cs="Times New Roman"/>
          <w:sz w:val="24"/>
          <w:szCs w:val="24"/>
        </w:rPr>
        <w:t xml:space="preserve"> First-Round Expert Consultation Results for Secondary Indicators</w:t>
      </w:r>
    </w:p>
    <w:tbl>
      <w:tblPr>
        <w:tblW w:w="13199" w:type="dxa"/>
        <w:tblLayout w:type="fixed"/>
        <w:tblLook w:val="04A0" w:firstRow="1" w:lastRow="0" w:firstColumn="1" w:lastColumn="0" w:noHBand="0" w:noVBand="1"/>
      </w:tblPr>
      <w:tblGrid>
        <w:gridCol w:w="3402"/>
        <w:gridCol w:w="725"/>
        <w:gridCol w:w="850"/>
        <w:gridCol w:w="709"/>
        <w:gridCol w:w="992"/>
        <w:gridCol w:w="709"/>
        <w:gridCol w:w="709"/>
        <w:gridCol w:w="709"/>
        <w:gridCol w:w="992"/>
        <w:gridCol w:w="709"/>
        <w:gridCol w:w="850"/>
        <w:gridCol w:w="851"/>
        <w:gridCol w:w="992"/>
      </w:tblGrid>
      <w:tr w:rsidR="00181676" w:rsidRPr="001C5DE2" w14:paraId="59867F4D" w14:textId="77777777" w:rsidTr="00966037">
        <w:trPr>
          <w:trHeight w:val="270"/>
        </w:trPr>
        <w:tc>
          <w:tcPr>
            <w:tcW w:w="3402" w:type="dxa"/>
            <w:vMerge w:val="restart"/>
            <w:tcBorders>
              <w:top w:val="single" w:sz="12" w:space="0" w:color="auto"/>
              <w:left w:val="nil"/>
              <w:right w:val="nil"/>
            </w:tcBorders>
            <w:noWrap/>
          </w:tcPr>
          <w:p w14:paraId="51B8F2B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Hei" w:hAnsi="Times New Roman" w:cs="Times New Roman"/>
                <w:sz w:val="24"/>
                <w:szCs w:val="24"/>
              </w:rPr>
              <w:t>Secondary indicators</w:t>
            </w:r>
          </w:p>
        </w:tc>
        <w:tc>
          <w:tcPr>
            <w:tcW w:w="3276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F43C6A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Applicability</w:t>
            </w:r>
          </w:p>
        </w:tc>
        <w:tc>
          <w:tcPr>
            <w:tcW w:w="3119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</w:tcPr>
          <w:p w14:paraId="262981D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Importance</w:t>
            </w:r>
          </w:p>
        </w:tc>
        <w:tc>
          <w:tcPr>
            <w:tcW w:w="3402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165CD6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Operational feasibility</w:t>
            </w:r>
          </w:p>
        </w:tc>
      </w:tr>
      <w:tr w:rsidR="00181676" w:rsidRPr="001C5DE2" w14:paraId="24867A75" w14:textId="77777777" w:rsidTr="00966037">
        <w:trPr>
          <w:trHeight w:val="270"/>
        </w:trPr>
        <w:tc>
          <w:tcPr>
            <w:tcW w:w="3402" w:type="dxa"/>
            <w:vMerge/>
            <w:tcBorders>
              <w:left w:val="nil"/>
              <w:bottom w:val="single" w:sz="4" w:space="0" w:color="auto"/>
              <w:right w:val="nil"/>
            </w:tcBorders>
            <w:noWrap/>
          </w:tcPr>
          <w:p w14:paraId="17CE895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7866D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0E067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1B048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CV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8AA90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FR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2184667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5B97A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27D6CDB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CV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769FE2A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FR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C687A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4E854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5CDC6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CV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7F1CF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FR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(%)</w:t>
            </w:r>
          </w:p>
        </w:tc>
      </w:tr>
      <w:tr w:rsidR="00181676" w:rsidRPr="001C5DE2" w14:paraId="099AD39B" w14:textId="77777777" w:rsidTr="00966037">
        <w:trPr>
          <w:trHeight w:val="27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614AEB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1.1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Human resource allocation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14:paraId="727FCF5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3.94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C42182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EA6024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1B1999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37.50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55EC46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FA2396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D80F9E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800432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68.75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D1CEB0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971972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5BFA52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430A79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68.75</w:t>
            </w:r>
          </w:p>
        </w:tc>
      </w:tr>
      <w:tr w:rsidR="00181676" w:rsidRPr="001C5DE2" w14:paraId="031F6D8D" w14:textId="77777777" w:rsidTr="00966037">
        <w:trPr>
          <w:trHeight w:val="27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3B4A32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1.2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 xml:space="preserve">Knowledge &amp;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 xml:space="preserve">kill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raining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14:paraId="13E49BD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43C2EB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3D8527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CE02CA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68.75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1D7D2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955FD8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2EC1A2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6B3480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75.00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6DEAE1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7C9DD7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641AC5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07C7EF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62.50</w:t>
            </w:r>
          </w:p>
        </w:tc>
      </w:tr>
      <w:tr w:rsidR="00181676" w:rsidRPr="001C5DE2" w14:paraId="0C055CE1" w14:textId="77777777" w:rsidTr="00966037">
        <w:trPr>
          <w:trHeight w:val="27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BA66F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1.3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 xml:space="preserve">Multidisciplinary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eamwork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14:paraId="750C895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CFDB24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BAC7E4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375E7E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81.25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D4D540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A9DF16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42DA3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BACCC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68.75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44F6CE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61195A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BA65F2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89CA22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75.00</w:t>
            </w:r>
          </w:p>
        </w:tc>
      </w:tr>
      <w:tr w:rsidR="00181676" w:rsidRPr="001C5DE2" w14:paraId="1BA5C3DE" w14:textId="77777777" w:rsidTr="00966037">
        <w:trPr>
          <w:trHeight w:val="27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C8EBB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2.1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Early identification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14:paraId="6B08C73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ACF781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43F3F4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96C869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37.50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3739D2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561B72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BBBA3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E3BD9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62.50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7ED8CD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F40200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A1A11F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5305E7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56.25</w:t>
            </w:r>
          </w:p>
        </w:tc>
      </w:tr>
      <w:tr w:rsidR="00181676" w:rsidRPr="001C5DE2" w14:paraId="5EE7EE0B" w14:textId="77777777" w:rsidTr="00966037">
        <w:trPr>
          <w:trHeight w:val="27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57E90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2.2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Early intervention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14:paraId="6494638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BBBEB2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339AD6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6BD5D7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37.50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9B8A34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B5BF7D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23EC26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B59D9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62.50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E6BD3D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9ABCB0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E98D48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81D80E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50.00</w:t>
            </w:r>
          </w:p>
        </w:tc>
      </w:tr>
      <w:tr w:rsidR="00181676" w:rsidRPr="001C5DE2" w14:paraId="32C8EB8E" w14:textId="77777777" w:rsidTr="00966037">
        <w:trPr>
          <w:trHeight w:val="27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A4160F" w14:textId="77777777" w:rsidR="00181676" w:rsidRPr="001C5DE2" w:rsidRDefault="00181676" w:rsidP="00966037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2.3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Monitoring techniques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14:paraId="6BEEECC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7FF6CE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D0106F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B75556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68.75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F59125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720DAD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771D5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ACE91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87.50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A7725C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7F1C20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0AE366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668EFE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75.00</w:t>
            </w:r>
          </w:p>
        </w:tc>
      </w:tr>
      <w:tr w:rsidR="00181676" w:rsidRPr="001C5DE2" w14:paraId="41865730" w14:textId="77777777" w:rsidTr="00966037">
        <w:trPr>
          <w:trHeight w:val="27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10170B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2.4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Multidisciplinary Collaboration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14:paraId="0F4D026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862FE6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8C71B2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969573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81.25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43039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AEC827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557F7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08FF9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37.50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141C5C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34E3F0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BD515E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8B5623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56.25</w:t>
            </w:r>
          </w:p>
        </w:tc>
      </w:tr>
      <w:tr w:rsidR="00181676" w:rsidRPr="001C5DE2" w14:paraId="41B7D7CE" w14:textId="77777777" w:rsidTr="00966037">
        <w:trPr>
          <w:trHeight w:val="27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CB998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3.1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Clinical outcomes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</w:tcPr>
          <w:p w14:paraId="72CE197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7B3343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0E6B09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D117AC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43.75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2A1048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637AB2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ACBCA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CEE85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37.50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5B4A4A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E1E74D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175167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3EC0CE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37.50</w:t>
            </w:r>
          </w:p>
        </w:tc>
      </w:tr>
      <w:tr w:rsidR="00181676" w:rsidRPr="001C5DE2" w14:paraId="26BB97E1" w14:textId="77777777" w:rsidTr="00966037">
        <w:trPr>
          <w:trHeight w:val="270"/>
        </w:trPr>
        <w:tc>
          <w:tcPr>
            <w:tcW w:w="340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44DEC43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3.2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Quality of care</w:t>
            </w:r>
          </w:p>
        </w:tc>
        <w:tc>
          <w:tcPr>
            <w:tcW w:w="72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1B402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D79433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014FC3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01C6C1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75.00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4D6AE12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84D781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6F0567D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3D6DA09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68.75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B7641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38814B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68F46B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199721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75.00</w:t>
            </w:r>
          </w:p>
        </w:tc>
      </w:tr>
    </w:tbl>
    <w:p w14:paraId="05BE6863" w14:textId="77777777" w:rsidR="00181676" w:rsidRDefault="00181676" w:rsidP="00181676">
      <w:pPr>
        <w:widowControl/>
        <w:jc w:val="left"/>
      </w:pPr>
      <w:r>
        <w:br w:type="page"/>
      </w:r>
    </w:p>
    <w:p w14:paraId="74B742AD" w14:textId="77777777" w:rsidR="00181676" w:rsidRPr="001C5DE2" w:rsidRDefault="00181676" w:rsidP="00181676">
      <w:pPr>
        <w:spacing w:after="0" w:line="480" w:lineRule="auto"/>
        <w:rPr>
          <w:rFonts w:ascii="Times New Roman" w:eastAsia="SimHei" w:hAnsi="Times New Roman" w:cs="Times New Roman"/>
          <w:sz w:val="24"/>
          <w:szCs w:val="24"/>
        </w:rPr>
      </w:pPr>
      <w:r w:rsidRPr="00B86408">
        <w:rPr>
          <w:rFonts w:ascii="Times New Roman" w:eastAsia="SimHei" w:hAnsi="Times New Roman" w:cs="Times New Roman"/>
          <w:b/>
          <w:bCs/>
          <w:sz w:val="24"/>
          <w:szCs w:val="24"/>
        </w:rPr>
        <w:lastRenderedPageBreak/>
        <w:t>Table 9.</w:t>
      </w:r>
      <w:r w:rsidRPr="001C5DE2">
        <w:rPr>
          <w:rFonts w:ascii="Times New Roman" w:eastAsia="SimHei" w:hAnsi="Times New Roman" w:cs="Times New Roman"/>
          <w:sz w:val="24"/>
          <w:szCs w:val="24"/>
        </w:rPr>
        <w:t xml:space="preserve"> Second-round expert consultation results for tertiary indicators</w:t>
      </w:r>
    </w:p>
    <w:tbl>
      <w:tblPr>
        <w:tblW w:w="13325" w:type="dxa"/>
        <w:tblLayout w:type="fixed"/>
        <w:tblLook w:val="04A0" w:firstRow="1" w:lastRow="0" w:firstColumn="1" w:lastColumn="0" w:noHBand="0" w:noVBand="1"/>
      </w:tblPr>
      <w:tblGrid>
        <w:gridCol w:w="4395"/>
        <w:gridCol w:w="663"/>
        <w:gridCol w:w="652"/>
        <w:gridCol w:w="650"/>
        <w:gridCol w:w="1011"/>
        <w:gridCol w:w="648"/>
        <w:gridCol w:w="650"/>
        <w:gridCol w:w="650"/>
        <w:gridCol w:w="1029"/>
        <w:gridCol w:w="650"/>
        <w:gridCol w:w="648"/>
        <w:gridCol w:w="650"/>
        <w:gridCol w:w="1029"/>
      </w:tblGrid>
      <w:tr w:rsidR="00181676" w:rsidRPr="001C5DE2" w14:paraId="634A2A40" w14:textId="77777777" w:rsidTr="00966037">
        <w:trPr>
          <w:trHeight w:val="270"/>
        </w:trPr>
        <w:tc>
          <w:tcPr>
            <w:tcW w:w="4395" w:type="dxa"/>
            <w:vMerge w:val="restart"/>
            <w:tcBorders>
              <w:top w:val="single" w:sz="12" w:space="0" w:color="auto"/>
              <w:left w:val="nil"/>
              <w:right w:val="nil"/>
            </w:tcBorders>
            <w:noWrap/>
          </w:tcPr>
          <w:p w14:paraId="3585E733" w14:textId="77777777" w:rsidR="00181676" w:rsidRPr="001C5DE2" w:rsidRDefault="00181676" w:rsidP="00966037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Hei" w:hAnsi="Times New Roman" w:cs="Times New Roman"/>
                <w:sz w:val="24"/>
                <w:szCs w:val="24"/>
              </w:rPr>
              <w:t>Tertiary indicators</w:t>
            </w:r>
          </w:p>
        </w:tc>
        <w:tc>
          <w:tcPr>
            <w:tcW w:w="2976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D036F3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Applicability</w:t>
            </w:r>
          </w:p>
        </w:tc>
        <w:tc>
          <w:tcPr>
            <w:tcW w:w="2977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</w:tcPr>
          <w:p w14:paraId="37CE42B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Importance</w:t>
            </w:r>
          </w:p>
        </w:tc>
        <w:tc>
          <w:tcPr>
            <w:tcW w:w="2977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EE2F12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Operational Feasibility</w:t>
            </w:r>
          </w:p>
        </w:tc>
      </w:tr>
      <w:tr w:rsidR="00181676" w:rsidRPr="001C5DE2" w14:paraId="0C618960" w14:textId="77777777" w:rsidTr="00966037">
        <w:trPr>
          <w:trHeight w:val="270"/>
        </w:trPr>
        <w:tc>
          <w:tcPr>
            <w:tcW w:w="4395" w:type="dxa"/>
            <w:vMerge/>
            <w:tcBorders>
              <w:left w:val="nil"/>
              <w:bottom w:val="single" w:sz="4" w:space="0" w:color="auto"/>
              <w:right w:val="nil"/>
            </w:tcBorders>
            <w:noWrap/>
          </w:tcPr>
          <w:p w14:paraId="2F43C55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F7AB7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7A124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1B248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CV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550B8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FR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68A76A8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AF3B0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5279326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CV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0E9024D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FR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E20A2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AC169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EA8C7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CV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1ACE1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FR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(%)</w:t>
            </w:r>
          </w:p>
        </w:tc>
      </w:tr>
      <w:tr w:rsidR="00181676" w:rsidRPr="001C5DE2" w14:paraId="4920E3BA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DFD7C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1.1.1 Nurse-to-Bed Ratio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6A64E39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3B7B5DC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6C9CAA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066F377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62.50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3AF93D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4.44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31C68C9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90D858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6C9719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62.50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7917F2B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4.31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26C650A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21112DA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B11135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50.00</w:t>
            </w:r>
          </w:p>
        </w:tc>
      </w:tr>
      <w:tr w:rsidR="00181676" w:rsidRPr="001C5DE2" w14:paraId="520C79F9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CD239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1.1.2 Ratio of nurses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’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academic qualifications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11DB73E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2AFB590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792A2F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1F83375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56.25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7EE313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4.06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7E2B81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BD0B2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624F0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31.25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107EBAA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4.31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68CB5CD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CB6134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00E5CD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50.00</w:t>
            </w:r>
          </w:p>
        </w:tc>
      </w:tr>
      <w:tr w:rsidR="00181676" w:rsidRPr="001C5DE2" w14:paraId="1980B0FB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B0257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1.1.3 Nurse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w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ork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e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xperience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r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atio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57992DA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2A7A269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2B26E8B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0EBA6C0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62.50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0CE2CB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2095635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E10965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D642EA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68.75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75E3BC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4.19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4527C78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221DC95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BC2569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43.75</w:t>
            </w:r>
          </w:p>
        </w:tc>
      </w:tr>
      <w:tr w:rsidR="00181676" w:rsidRPr="001C5DE2" w14:paraId="6BBA8503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91243A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1.2.1 Achievement rate of training in relevant theoretical knowledge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4CBA5FE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24FDA25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3149CEC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778D923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62.50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2F022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4.44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F715DA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232D0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826EE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56.25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39E68C0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4.69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5C97EEF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4BB8746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E57072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75.00</w:t>
            </w:r>
          </w:p>
        </w:tc>
      </w:tr>
      <w:tr w:rsidR="00181676" w:rsidRPr="001C5DE2" w14:paraId="6F868102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D8DAB1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1.2.2 Achievement rate of skills training in relevant specialties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6EEA6E7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4.75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329BEF7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233DAEC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1066AAE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81.25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DB7835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4.06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14365A2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42D50D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82938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31.25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161A87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4.69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1A878BB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D0863D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5EC265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75.00</w:t>
            </w:r>
          </w:p>
        </w:tc>
      </w:tr>
      <w:tr w:rsidR="00181676" w:rsidRPr="001C5DE2" w14:paraId="4B916BD2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610218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1.3.1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Completeness of core unit configuration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03E36FB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4740BAD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194D506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461362E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68.75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C5203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4.13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570B21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6D28D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9C4D66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31.25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F62623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4.56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4C5EE3B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6F5300D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E53AFF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56.25</w:t>
            </w:r>
          </w:p>
        </w:tc>
      </w:tr>
      <w:tr w:rsidR="00181676" w:rsidRPr="001C5DE2" w14:paraId="3B92F3B7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4E224C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1.3.2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Adherence to sepsis knowledge training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12A9460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02EF3CD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2EFD47C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45B7E1C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68.75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A5CA3F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F0C434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47DEC3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DDC93C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68.75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221E65A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4.75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032DA2A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8C5163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BF11A8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81.25</w:t>
            </w:r>
          </w:p>
        </w:tc>
      </w:tr>
      <w:tr w:rsidR="00181676" w:rsidRPr="001C5DE2" w14:paraId="2D4C6457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9C7FC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lastRenderedPageBreak/>
              <w:t xml:space="preserve">2.1.1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Completion rate of early recognition assessment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01DF1FD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4.75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67D4F1B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6F4AC4D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226D58A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81.25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EEA02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4.75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7883262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A5B772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1F76DB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75.00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C39993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4.44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18B7BD9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BF1BFF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45F0B9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43.75</w:t>
            </w:r>
          </w:p>
        </w:tc>
      </w:tr>
      <w:tr w:rsidR="00181676" w:rsidRPr="001C5DE2" w14:paraId="11E2ED52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6B23831" w14:textId="77777777" w:rsidR="00181676" w:rsidRPr="001C5DE2" w:rsidRDefault="00181676" w:rsidP="00966037">
            <w:pPr>
              <w:spacing w:after="0"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2.1.2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Dynamic assessment of adherence rates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5E22A0C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4.31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717F624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3EEA82D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45AADA9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37.50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915E5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4.31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1DD67B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5E0496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86C7BD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37.50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74D799E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4.25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0E38391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1DF3F3A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2D78A5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50.00</w:t>
            </w:r>
          </w:p>
        </w:tc>
      </w:tr>
      <w:tr w:rsidR="00181676" w:rsidRPr="001C5DE2" w14:paraId="6E39F654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9B721B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2.2.1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Rate of timely opening of intravenous access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1195CC9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3AD6858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2CDB9F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39638FA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62.50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B8B7EA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71864C8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832563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227C5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68.75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1C08A87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1334949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633400E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D1448C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62.50</w:t>
            </w:r>
          </w:p>
        </w:tc>
      </w:tr>
      <w:tr w:rsidR="00181676" w:rsidRPr="001C5DE2" w14:paraId="62BD598F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ABD92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2.2.2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Implementation rate of the first lactate test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1BB6382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3896317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74F3E27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4B43D95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75.00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4F54D2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4.31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19D784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1C34F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228437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43.75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6DB1095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4.81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3BC12C8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7CD5CE5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159F29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81.25</w:t>
            </w:r>
          </w:p>
        </w:tc>
      </w:tr>
      <w:tr w:rsidR="00181676" w:rsidRPr="001C5DE2" w14:paraId="29FAACA1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521ABB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2.2.3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Antimicrobial Administration Before Pathogen Identification Rate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47C4C95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636C19B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452373E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7C22000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75.00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F68766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4.44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2592D6C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46AB8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B2FDB1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62.50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25F6161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4.88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6CBB5F6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6B48D35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3E02BB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87.50</w:t>
            </w:r>
          </w:p>
        </w:tc>
      </w:tr>
      <w:tr w:rsidR="00181676" w:rsidRPr="001C5DE2" w14:paraId="5D957D0B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0BD747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2.2.4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Antibiotic use implementation rate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4F29696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02BE219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31A562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3468AD0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62.50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EC3BF1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26878AE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8E7E7A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3AECC8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62.50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3EA4A1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4.69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5E291A6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69E727F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3F588F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75.00</w:t>
            </w:r>
          </w:p>
        </w:tc>
      </w:tr>
      <w:tr w:rsidR="00181676" w:rsidRPr="001C5DE2" w14:paraId="3521ECEE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AEB0A1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2.2.5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Restricted fluid resuscitation implementation rate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35EF71F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4.25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3DF5025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7B6811C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6280073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37.50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4A2B5A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11FC99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B85A4B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10CA17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43.75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3C9A8F9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4.25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10848E3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4851C54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040B009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37.50</w:t>
            </w:r>
          </w:p>
        </w:tc>
      </w:tr>
      <w:tr w:rsidR="00181676" w:rsidRPr="001C5DE2" w14:paraId="4F9BC422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18B450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2.2.6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Vasoactive drug implementation rate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06E3B38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6869F18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436341C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51DE32B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62.50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44BCF9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4.06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7B6800D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F607C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957A4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31.25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D80712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13818EC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6C4E54A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14139DD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62.50</w:t>
            </w:r>
          </w:p>
        </w:tc>
      </w:tr>
      <w:tr w:rsidR="00181676" w:rsidRPr="001C5DE2" w14:paraId="3218658C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5C0239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lastRenderedPageBreak/>
              <w:t xml:space="preserve">2.3.1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Non-invasive monitoring: implementation rate of vital signs monitoring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57215BF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35D33C2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3B84B7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5033C1C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56.25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9E26A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A3D4DA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D7CA4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D77760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68.75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AF8F1E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4.88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1B64ACD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0488FD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7AC3517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87.50</w:t>
            </w:r>
          </w:p>
        </w:tc>
      </w:tr>
      <w:tr w:rsidR="00181676" w:rsidRPr="001C5DE2" w14:paraId="3A57EBC1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FC79B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2.3.2 Non-invasive/invasive monitoring: implementation rate of urine output monitoring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2CD60A6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4.75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2A597F1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466C4F6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442EB39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75.00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ABFF1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37661CC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369D43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DFEC2A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56.25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617E72D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4.63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4B0934D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3B3E056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562620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68.75</w:t>
            </w:r>
          </w:p>
        </w:tc>
      </w:tr>
      <w:tr w:rsidR="00181676" w:rsidRPr="001C5DE2" w14:paraId="4AA31330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FC27F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2.3.3 Non-invasive monitoring: MAP monitoring implementation rate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3995712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3522401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7E011C7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0BAE4CA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75.00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8BFCF3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4.44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317DCA2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BFF03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7019F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62.50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16A20A3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4.88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616E3A2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CB95B5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DF1A71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87.50</w:t>
            </w:r>
          </w:p>
        </w:tc>
      </w:tr>
      <w:tr w:rsidR="00181676" w:rsidRPr="001C5DE2" w14:paraId="06AA2CF0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D23F45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2.3.4 Invasive monitoring: CVP monitoring normative implementation rate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1762DBD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4698C6B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6E0BF46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5BAC0DC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75.00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299569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7F9BF41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CF0CFC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D5FFE0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56.25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46A037B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4.31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0B87438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F363AC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E7AC37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43.75</w:t>
            </w:r>
          </w:p>
        </w:tc>
      </w:tr>
      <w:tr w:rsidR="00181676" w:rsidRPr="001C5DE2" w14:paraId="38236E8A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98AB23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2.3.5 Invasive monitoring: normative implementation rate of ScvO2 monitoring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68E3458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71EE9D8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6A1D8C2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0A96547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75.00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3317B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4.31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7721DA6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C4F5E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1AF0F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50.00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F9A2CB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28B20FD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215ACA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248C5EF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50.00</w:t>
            </w:r>
          </w:p>
        </w:tc>
      </w:tr>
      <w:tr w:rsidR="00181676" w:rsidRPr="001C5DE2" w14:paraId="7D329415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2546AF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2.3.6 Rate of implementation of rehydration test norms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3B976BF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4.13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3B163A2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EC1A5F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4608A64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31.25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4DF0E4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4.06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C33FE5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B0C75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5DD156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31.25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7D89CE8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4.25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2AC4016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3C76C4D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369CEE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37.50</w:t>
            </w:r>
          </w:p>
        </w:tc>
      </w:tr>
      <w:tr w:rsidR="00181676" w:rsidRPr="001C5DE2" w14:paraId="60566BE5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67DD9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2.4.1 Implementation rate of MDT consultations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63ADD72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1F22F9F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1BDB23B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40F5C77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75.00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F1417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4.13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56894D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823FC6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7973A5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31.25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4FA5C83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4.88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25FDB63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1143976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914DC5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87.50</w:t>
            </w:r>
          </w:p>
        </w:tc>
      </w:tr>
      <w:tr w:rsidR="00181676" w:rsidRPr="001C5DE2" w14:paraId="41445964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E760C0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lastRenderedPageBreak/>
              <w:t>2.4.2 Implementation rate of joint multidisciplinary rounds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41B9431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7B4F804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33F9031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72F8D81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75.00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F867D1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75799EB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5CAB7A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CF3A41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68.75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9EA987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4.13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07E8CB9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0.81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8D7A4C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53D8DA8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37.50</w:t>
            </w:r>
          </w:p>
        </w:tc>
      </w:tr>
      <w:tr w:rsidR="00181676" w:rsidRPr="001C5DE2" w14:paraId="1B7A8A82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261DD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2.4.3 Standardized communication tool usage rate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2F53395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26CA901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4406E75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57E61A1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43.75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184FA7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4.19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58993F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9FDC0A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6D36A7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37.50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67A7C40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4.94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2A18ED6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1957871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DE669E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93.75</w:t>
            </w:r>
          </w:p>
        </w:tc>
      </w:tr>
      <w:tr w:rsidR="00181676" w:rsidRPr="001C5DE2" w14:paraId="1E91D97D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72055C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3.1.1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Septic shock incidence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3E88524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0EC8EEC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4D7CBCE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4567D2B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62.50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B0CA14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6E94345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A846F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B66FE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62.50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31EEECE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4.31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3602E51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281B32F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67E190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37.50</w:t>
            </w:r>
          </w:p>
        </w:tc>
      </w:tr>
      <w:tr w:rsidR="00181676" w:rsidRPr="001C5DE2" w14:paraId="784B648C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C5144A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3.1.2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Risk-adjusted 28-day mortality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34C2EBD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34DE940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9E1090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292579B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62.50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DBB1F3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4.19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2EA99AF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BAA8D4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F9F82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37.50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48B23F4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7932160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1182F95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68A40B1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43.75</w:t>
            </w:r>
          </w:p>
        </w:tc>
      </w:tr>
      <w:tr w:rsidR="00181676" w:rsidRPr="001C5DE2" w14:paraId="790B6892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F5D493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3.1.3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30-day infection-related readmission rate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38CEB4A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4.31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6CF50CE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FFD20D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7CE2661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56.25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72ABB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4.31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E314F3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B7AC8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5623A1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56.25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45C558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4.13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654A2AE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695DD53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FC94FE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31.25</w:t>
            </w:r>
          </w:p>
        </w:tc>
      </w:tr>
      <w:tr w:rsidR="00181676" w:rsidRPr="001C5DE2" w14:paraId="7A576B75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5B79B7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3.2.1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The incidence of catheter-related bloodstream infections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2FD3991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63A3F88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2482BE6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46CEF09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68.75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BF1EBF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AF715C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40BA7C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31068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50.00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19D4B64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1061629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0310E9F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3AEB924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62.50</w:t>
            </w:r>
          </w:p>
        </w:tc>
      </w:tr>
      <w:tr w:rsidR="00181676" w:rsidRPr="001C5DE2" w14:paraId="45ABECC9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6C26B2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3.2.2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The incidence of pressure ulcers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6B95968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</w:tcPr>
          <w:p w14:paraId="64BD81D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52A7D5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14:paraId="5A17CFA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68.75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85C0A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4.19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4C3C02E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5495CD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A7CACE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43.75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7C0113B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4.63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505E6DD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</w:tcPr>
          <w:p w14:paraId="51A8651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</w:tcPr>
          <w:p w14:paraId="443BD01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68.75</w:t>
            </w:r>
          </w:p>
        </w:tc>
      </w:tr>
      <w:tr w:rsidR="00181676" w:rsidRPr="001C5DE2" w14:paraId="6B13C22B" w14:textId="77777777" w:rsidTr="00966037">
        <w:trPr>
          <w:trHeight w:val="270"/>
        </w:trPr>
        <w:tc>
          <w:tcPr>
            <w:tcW w:w="439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6FA7A559" w14:textId="77777777" w:rsidR="00181676" w:rsidRPr="001C5DE2" w:rsidRDefault="00181676" w:rsidP="00966037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3.2.3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Patient satisfaction with nursing care</w:t>
            </w:r>
          </w:p>
        </w:tc>
        <w:tc>
          <w:tcPr>
            <w:tcW w:w="66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D7F285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4.88</w:t>
            </w:r>
          </w:p>
        </w:tc>
        <w:tc>
          <w:tcPr>
            <w:tcW w:w="65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23C5A5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6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061A9C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DBBBED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87.50</w:t>
            </w:r>
          </w:p>
        </w:tc>
        <w:tc>
          <w:tcPr>
            <w:tcW w:w="64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26942B3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4.56</w:t>
            </w:r>
          </w:p>
        </w:tc>
        <w:tc>
          <w:tcPr>
            <w:tcW w:w="6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D4BE92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043B574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739012C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68.75</w:t>
            </w:r>
          </w:p>
        </w:tc>
        <w:tc>
          <w:tcPr>
            <w:tcW w:w="6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92D9A9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4.56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5913A9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6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F81D70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322DA0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62.50</w:t>
            </w:r>
          </w:p>
        </w:tc>
      </w:tr>
    </w:tbl>
    <w:p w14:paraId="700CD439" w14:textId="77777777" w:rsidR="00181676" w:rsidRDefault="00181676" w:rsidP="00181676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 w:rsidRPr="001C5DE2">
        <w:rPr>
          <w:rFonts w:ascii="Times New Roman" w:eastAsia="SimSun" w:hAnsi="Times New Roman" w:cs="Times New Roman"/>
          <w:sz w:val="24"/>
          <w:szCs w:val="24"/>
        </w:rPr>
        <w:t>MAP: Mean Arterial Pressure, CVP: Central Venous Pressure, ScvO</w:t>
      </w:r>
      <w:r w:rsidRPr="001C5DE2">
        <w:rPr>
          <w:rFonts w:ascii="Times New Roman" w:eastAsia="SimSu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SimSun" w:hAnsi="Times New Roman" w:cs="Times New Roman"/>
          <w:sz w:val="24"/>
          <w:szCs w:val="24"/>
        </w:rPr>
        <w:t xml:space="preserve">: </w:t>
      </w:r>
      <w:r w:rsidRPr="001C5DE2">
        <w:rPr>
          <w:rFonts w:ascii="Times New Roman" w:eastAsia="SimSun" w:hAnsi="Times New Roman" w:cs="Times New Roman"/>
          <w:sz w:val="24"/>
          <w:szCs w:val="24"/>
        </w:rPr>
        <w:t>Central Venous Oxygen Saturation, SIRS</w:t>
      </w:r>
      <w:r>
        <w:rPr>
          <w:rFonts w:ascii="Times New Roman" w:eastAsia="SimSun" w:hAnsi="Times New Roman" w:cs="Times New Roman"/>
          <w:sz w:val="24"/>
          <w:szCs w:val="24"/>
        </w:rPr>
        <w:t xml:space="preserve">: </w:t>
      </w:r>
      <w:r w:rsidRPr="001C5DE2">
        <w:rPr>
          <w:rFonts w:ascii="Times New Roman" w:eastAsia="SimSun" w:hAnsi="Times New Roman" w:cs="Times New Roman"/>
          <w:sz w:val="24"/>
          <w:szCs w:val="24"/>
        </w:rPr>
        <w:t>Systemic Inflammatory Response Syndrome, SOFA: Sequential Organ Failure Assessment; qSOFA: Quick Sequential Organ Failure Assessment; MDT: multidisciplinary team</w:t>
      </w:r>
    </w:p>
    <w:p w14:paraId="37366F24" w14:textId="77777777" w:rsidR="00181676" w:rsidRDefault="00181676" w:rsidP="00181676">
      <w:pPr>
        <w:widowControl/>
        <w:jc w:val="left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lastRenderedPageBreak/>
        <w:br w:type="page"/>
      </w:r>
    </w:p>
    <w:p w14:paraId="3E52893A" w14:textId="77777777" w:rsidR="00181676" w:rsidRPr="001C5DE2" w:rsidRDefault="00181676" w:rsidP="0018167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E3A14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10.</w:t>
      </w:r>
      <w:r w:rsidRPr="001C5DE2">
        <w:rPr>
          <w:rFonts w:ascii="Times New Roman" w:hAnsi="Times New Roman" w:cs="Times New Roman"/>
          <w:sz w:val="24"/>
          <w:szCs w:val="24"/>
        </w:rPr>
        <w:t xml:space="preserve"> Construction of Sensitive Indicators</w:t>
      </w:r>
    </w:p>
    <w:tbl>
      <w:tblPr>
        <w:tblStyle w:val="TableGrid"/>
        <w:tblW w:w="15001" w:type="dxa"/>
        <w:tblInd w:w="-2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133"/>
        <w:gridCol w:w="1134"/>
        <w:gridCol w:w="993"/>
        <w:gridCol w:w="993"/>
        <w:gridCol w:w="1806"/>
        <w:gridCol w:w="4451"/>
        <w:gridCol w:w="1822"/>
        <w:gridCol w:w="1676"/>
      </w:tblGrid>
      <w:tr w:rsidR="00181676" w:rsidRPr="001C5DE2" w14:paraId="6A3485A1" w14:textId="77777777" w:rsidTr="00966037">
        <w:trPr>
          <w:trHeight w:val="312"/>
        </w:trPr>
        <w:tc>
          <w:tcPr>
            <w:tcW w:w="993" w:type="dxa"/>
            <w:vMerge w:val="restart"/>
          </w:tcPr>
          <w:p w14:paraId="7F67450B" w14:textId="77777777" w:rsidR="00181676" w:rsidRPr="007E3A14" w:rsidRDefault="00181676" w:rsidP="00966037">
            <w:pPr>
              <w:spacing w:after="0" w:line="480" w:lineRule="auto"/>
              <w:jc w:val="left"/>
              <w:rPr>
                <w:b/>
                <w:bCs/>
                <w:sz w:val="16"/>
                <w:szCs w:val="16"/>
              </w:rPr>
            </w:pPr>
            <w:r w:rsidRPr="007E3A14">
              <w:rPr>
                <w:b/>
                <w:bCs/>
                <w:sz w:val="16"/>
                <w:szCs w:val="16"/>
              </w:rPr>
              <w:t>Primary indicators</w:t>
            </w:r>
          </w:p>
        </w:tc>
        <w:tc>
          <w:tcPr>
            <w:tcW w:w="1133" w:type="dxa"/>
            <w:vMerge w:val="restart"/>
          </w:tcPr>
          <w:p w14:paraId="37D0A212" w14:textId="77777777" w:rsidR="00181676" w:rsidRPr="007E3A14" w:rsidRDefault="00181676" w:rsidP="00966037">
            <w:pPr>
              <w:spacing w:after="0" w:line="480" w:lineRule="auto"/>
              <w:jc w:val="left"/>
              <w:rPr>
                <w:b/>
                <w:bCs/>
                <w:sz w:val="16"/>
                <w:szCs w:val="16"/>
              </w:rPr>
            </w:pPr>
            <w:r w:rsidRPr="007E3A14">
              <w:rPr>
                <w:b/>
                <w:bCs/>
                <w:sz w:val="16"/>
                <w:szCs w:val="16"/>
              </w:rPr>
              <w:t>Secondary indicators</w:t>
            </w:r>
          </w:p>
        </w:tc>
        <w:tc>
          <w:tcPr>
            <w:tcW w:w="1134" w:type="dxa"/>
            <w:vMerge w:val="restart"/>
          </w:tcPr>
          <w:p w14:paraId="59E655BE" w14:textId="77777777" w:rsidR="00181676" w:rsidRPr="007E3A14" w:rsidRDefault="00181676" w:rsidP="00966037">
            <w:pPr>
              <w:spacing w:after="0" w:line="480" w:lineRule="auto"/>
              <w:jc w:val="left"/>
              <w:rPr>
                <w:b/>
                <w:bCs/>
                <w:sz w:val="16"/>
                <w:szCs w:val="16"/>
              </w:rPr>
            </w:pPr>
            <w:r w:rsidRPr="007E3A14">
              <w:rPr>
                <w:b/>
                <w:bCs/>
                <w:sz w:val="16"/>
                <w:szCs w:val="16"/>
              </w:rPr>
              <w:t>Tertiary indicators</w:t>
            </w:r>
          </w:p>
        </w:tc>
        <w:tc>
          <w:tcPr>
            <w:tcW w:w="1986" w:type="dxa"/>
            <w:gridSpan w:val="2"/>
            <w:tcBorders>
              <w:bottom w:val="single" w:sz="4" w:space="0" w:color="auto"/>
            </w:tcBorders>
          </w:tcPr>
          <w:p w14:paraId="7474459E" w14:textId="77777777" w:rsidR="00181676" w:rsidRPr="007E3A14" w:rsidRDefault="00181676" w:rsidP="00966037">
            <w:pPr>
              <w:spacing w:after="0" w:line="480" w:lineRule="auto"/>
              <w:jc w:val="left"/>
              <w:rPr>
                <w:b/>
                <w:bCs/>
                <w:sz w:val="16"/>
                <w:szCs w:val="16"/>
              </w:rPr>
            </w:pPr>
            <w:r w:rsidRPr="007E3A14">
              <w:rPr>
                <w:b/>
                <w:bCs/>
                <w:sz w:val="16"/>
                <w:szCs w:val="16"/>
              </w:rPr>
              <w:t>Dimension</w:t>
            </w:r>
          </w:p>
        </w:tc>
        <w:tc>
          <w:tcPr>
            <w:tcW w:w="1806" w:type="dxa"/>
            <w:vMerge w:val="restart"/>
          </w:tcPr>
          <w:p w14:paraId="2B9FB84F" w14:textId="77777777" w:rsidR="00181676" w:rsidRPr="007E3A14" w:rsidRDefault="00181676" w:rsidP="00966037">
            <w:pPr>
              <w:spacing w:after="0" w:line="480" w:lineRule="auto"/>
              <w:jc w:val="left"/>
              <w:rPr>
                <w:b/>
                <w:bCs/>
                <w:sz w:val="16"/>
                <w:szCs w:val="16"/>
              </w:rPr>
            </w:pPr>
            <w:r w:rsidRPr="007E3A14">
              <w:rPr>
                <w:b/>
                <w:bCs/>
                <w:sz w:val="16"/>
                <w:szCs w:val="16"/>
              </w:rPr>
              <w:t>Significance</w:t>
            </w:r>
          </w:p>
        </w:tc>
        <w:tc>
          <w:tcPr>
            <w:tcW w:w="4451" w:type="dxa"/>
            <w:vMerge w:val="restart"/>
          </w:tcPr>
          <w:p w14:paraId="296E768F" w14:textId="77777777" w:rsidR="00181676" w:rsidRPr="007E3A14" w:rsidRDefault="00181676" w:rsidP="00966037">
            <w:pPr>
              <w:spacing w:after="0" w:line="480" w:lineRule="auto"/>
              <w:ind w:rightChars="-50" w:right="-105"/>
              <w:jc w:val="left"/>
              <w:rPr>
                <w:b/>
                <w:bCs/>
                <w:sz w:val="16"/>
                <w:szCs w:val="16"/>
              </w:rPr>
            </w:pPr>
            <w:r w:rsidRPr="007E3A14">
              <w:rPr>
                <w:b/>
                <w:bCs/>
                <w:sz w:val="16"/>
                <w:szCs w:val="16"/>
              </w:rPr>
              <w:t>Formula for calculation</w:t>
            </w:r>
          </w:p>
        </w:tc>
        <w:tc>
          <w:tcPr>
            <w:tcW w:w="1822" w:type="dxa"/>
            <w:vMerge w:val="restart"/>
          </w:tcPr>
          <w:p w14:paraId="0DC706D9" w14:textId="77777777" w:rsidR="00181676" w:rsidRPr="007E3A14" w:rsidRDefault="00181676" w:rsidP="00966037">
            <w:pPr>
              <w:spacing w:after="0" w:line="480" w:lineRule="auto"/>
              <w:jc w:val="left"/>
              <w:rPr>
                <w:b/>
                <w:bCs/>
                <w:sz w:val="16"/>
                <w:szCs w:val="16"/>
              </w:rPr>
            </w:pPr>
            <w:r w:rsidRPr="007E3A14">
              <w:rPr>
                <w:b/>
                <w:bCs/>
                <w:sz w:val="16"/>
                <w:szCs w:val="16"/>
              </w:rPr>
              <w:t>Interpretation</w:t>
            </w:r>
          </w:p>
        </w:tc>
        <w:tc>
          <w:tcPr>
            <w:tcW w:w="1676" w:type="dxa"/>
            <w:vMerge w:val="restart"/>
          </w:tcPr>
          <w:p w14:paraId="275E5D78" w14:textId="77777777" w:rsidR="00181676" w:rsidRPr="007E3A14" w:rsidRDefault="00181676" w:rsidP="00966037">
            <w:pPr>
              <w:spacing w:after="0" w:line="480" w:lineRule="auto"/>
              <w:jc w:val="left"/>
              <w:rPr>
                <w:b/>
                <w:bCs/>
                <w:sz w:val="16"/>
                <w:szCs w:val="16"/>
              </w:rPr>
            </w:pPr>
            <w:r w:rsidRPr="007E3A14">
              <w:rPr>
                <w:b/>
                <w:bCs/>
                <w:sz w:val="16"/>
                <w:szCs w:val="16"/>
              </w:rPr>
              <w:t>Data collection method</w:t>
            </w:r>
          </w:p>
        </w:tc>
      </w:tr>
      <w:tr w:rsidR="00181676" w:rsidRPr="001C5DE2" w14:paraId="1E855212" w14:textId="77777777" w:rsidTr="00966037">
        <w:trPr>
          <w:trHeight w:val="311"/>
        </w:trPr>
        <w:tc>
          <w:tcPr>
            <w:tcW w:w="993" w:type="dxa"/>
            <w:vMerge/>
            <w:tcBorders>
              <w:bottom w:val="single" w:sz="4" w:space="0" w:color="auto"/>
            </w:tcBorders>
          </w:tcPr>
          <w:p w14:paraId="7BF764CD" w14:textId="77777777" w:rsidR="00181676" w:rsidRPr="007E3A14" w:rsidRDefault="00181676" w:rsidP="00966037">
            <w:pPr>
              <w:spacing w:after="0" w:line="48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1133" w:type="dxa"/>
            <w:vMerge/>
            <w:tcBorders>
              <w:bottom w:val="single" w:sz="4" w:space="0" w:color="auto"/>
            </w:tcBorders>
          </w:tcPr>
          <w:p w14:paraId="5CE2FB37" w14:textId="77777777" w:rsidR="00181676" w:rsidRPr="007E3A14" w:rsidRDefault="00181676" w:rsidP="00966037">
            <w:pPr>
              <w:spacing w:after="0" w:line="48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0ACC58CE" w14:textId="77777777" w:rsidR="00181676" w:rsidRPr="007E3A14" w:rsidRDefault="00181676" w:rsidP="00966037">
            <w:pPr>
              <w:spacing w:after="0" w:line="48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C7798EC" w14:textId="77777777" w:rsidR="00181676" w:rsidRPr="007E3A14" w:rsidRDefault="00181676" w:rsidP="00966037">
            <w:pPr>
              <w:spacing w:after="0" w:line="480" w:lineRule="auto"/>
              <w:jc w:val="left"/>
              <w:rPr>
                <w:b/>
                <w:bCs/>
                <w:sz w:val="16"/>
                <w:szCs w:val="16"/>
              </w:rPr>
            </w:pPr>
            <w:r w:rsidRPr="007E3A14">
              <w:rPr>
                <w:b/>
                <w:bCs/>
                <w:sz w:val="16"/>
                <w:szCs w:val="16"/>
              </w:rPr>
              <w:t>Essential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3327783" w14:textId="77777777" w:rsidR="00181676" w:rsidRPr="007E3A14" w:rsidRDefault="00181676" w:rsidP="00966037">
            <w:pPr>
              <w:spacing w:after="0" w:line="480" w:lineRule="auto"/>
              <w:jc w:val="left"/>
              <w:rPr>
                <w:b/>
                <w:bCs/>
                <w:sz w:val="16"/>
                <w:szCs w:val="16"/>
              </w:rPr>
            </w:pPr>
            <w:r w:rsidRPr="007E3A14">
              <w:rPr>
                <w:b/>
                <w:bCs/>
                <w:sz w:val="16"/>
                <w:szCs w:val="16"/>
              </w:rPr>
              <w:t>Selectable</w:t>
            </w:r>
          </w:p>
        </w:tc>
        <w:tc>
          <w:tcPr>
            <w:tcW w:w="1806" w:type="dxa"/>
            <w:vMerge/>
            <w:tcBorders>
              <w:bottom w:val="single" w:sz="4" w:space="0" w:color="auto"/>
            </w:tcBorders>
          </w:tcPr>
          <w:p w14:paraId="721FDE5D" w14:textId="77777777" w:rsidR="00181676" w:rsidRPr="007E3A14" w:rsidRDefault="00181676" w:rsidP="00966037">
            <w:pPr>
              <w:spacing w:after="0" w:line="48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4451" w:type="dxa"/>
            <w:vMerge/>
            <w:tcBorders>
              <w:bottom w:val="single" w:sz="4" w:space="0" w:color="auto"/>
            </w:tcBorders>
          </w:tcPr>
          <w:p w14:paraId="4BA286B4" w14:textId="77777777" w:rsidR="00181676" w:rsidRPr="007E3A14" w:rsidRDefault="00181676" w:rsidP="00966037">
            <w:pPr>
              <w:spacing w:after="0" w:line="48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1822" w:type="dxa"/>
            <w:vMerge/>
            <w:tcBorders>
              <w:bottom w:val="single" w:sz="4" w:space="0" w:color="auto"/>
            </w:tcBorders>
          </w:tcPr>
          <w:p w14:paraId="3516770A" w14:textId="77777777" w:rsidR="00181676" w:rsidRPr="007E3A14" w:rsidRDefault="00181676" w:rsidP="00966037">
            <w:pPr>
              <w:spacing w:after="0" w:line="480" w:lineRule="auto"/>
              <w:jc w:val="left"/>
              <w:rPr>
                <w:sz w:val="16"/>
                <w:szCs w:val="16"/>
              </w:rPr>
            </w:pPr>
          </w:p>
        </w:tc>
        <w:tc>
          <w:tcPr>
            <w:tcW w:w="1676" w:type="dxa"/>
            <w:vMerge/>
            <w:tcBorders>
              <w:bottom w:val="single" w:sz="4" w:space="0" w:color="auto"/>
            </w:tcBorders>
          </w:tcPr>
          <w:p w14:paraId="39E197B2" w14:textId="77777777" w:rsidR="00181676" w:rsidRPr="007E3A14" w:rsidRDefault="00181676" w:rsidP="00966037">
            <w:pPr>
              <w:spacing w:after="0" w:line="480" w:lineRule="auto"/>
              <w:jc w:val="left"/>
              <w:rPr>
                <w:sz w:val="16"/>
                <w:szCs w:val="16"/>
              </w:rPr>
            </w:pPr>
          </w:p>
        </w:tc>
      </w:tr>
      <w:tr w:rsidR="00181676" w:rsidRPr="001C5DE2" w14:paraId="0BF6B4B8" w14:textId="77777777" w:rsidTr="00966037">
        <w:tc>
          <w:tcPr>
            <w:tcW w:w="993" w:type="dxa"/>
            <w:vMerge w:val="restart"/>
            <w:tcBorders>
              <w:top w:val="single" w:sz="4" w:space="0" w:color="auto"/>
            </w:tcBorders>
          </w:tcPr>
          <w:p w14:paraId="7BAA3E2C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1. Structural indicators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</w:tcBorders>
          </w:tcPr>
          <w:p w14:paraId="4D2022AF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1.1 Human resource allocation</w:t>
            </w:r>
          </w:p>
          <w:p w14:paraId="64DF616C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8A961DF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 xml:space="preserve">1.1.1 </w:t>
            </w:r>
            <w:r w:rsidRPr="007E3A14">
              <w:rPr>
                <w:sz w:val="16"/>
                <w:szCs w:val="16"/>
              </w:rPr>
              <w:t>nurse-to-bed ratio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451C8898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72B10E3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06" w:type="dxa"/>
            <w:tcBorders>
              <w:top w:val="single" w:sz="4" w:space="0" w:color="auto"/>
            </w:tcBorders>
          </w:tcPr>
          <w:p w14:paraId="0D7BAD33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Reflects the allocation of human resources.</w:t>
            </w:r>
          </w:p>
        </w:tc>
        <w:tc>
          <w:tcPr>
            <w:tcW w:w="4451" w:type="dxa"/>
            <w:tcBorders>
              <w:top w:val="single" w:sz="4" w:space="0" w:color="auto"/>
            </w:tcBorders>
          </w:tcPr>
          <w:p w14:paraId="5CB0472E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Total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number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of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nurses</m:t>
                    </m:r>
                  </m:num>
                  <m:den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Actual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number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of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beds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opened</m:t>
                    </m:r>
                  </m:den>
                </m:f>
              </m:oMath>
            </m:oMathPara>
          </w:p>
        </w:tc>
        <w:tc>
          <w:tcPr>
            <w:tcW w:w="1822" w:type="dxa"/>
            <w:tcBorders>
              <w:top w:val="single" w:sz="4" w:space="0" w:color="auto"/>
            </w:tcBorders>
          </w:tcPr>
          <w:p w14:paraId="71A79EC1" w14:textId="77777777" w:rsidR="00181676" w:rsidRPr="007E3A14" w:rsidRDefault="00181676" w:rsidP="00966037">
            <w:pPr>
              <w:spacing w:after="0" w:line="480" w:lineRule="auto"/>
              <w:jc w:val="left"/>
              <w:rPr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Nurses are defined as registered, full-time staff within the healthcare facility.</w:t>
            </w:r>
          </w:p>
        </w:tc>
        <w:tc>
          <w:tcPr>
            <w:tcW w:w="1676" w:type="dxa"/>
            <w:tcBorders>
              <w:top w:val="single" w:sz="4" w:space="0" w:color="auto"/>
            </w:tcBorders>
          </w:tcPr>
          <w:p w14:paraId="4682334C" w14:textId="77777777" w:rsidR="00181676" w:rsidRPr="007E3A14" w:rsidRDefault="00181676" w:rsidP="00966037">
            <w:pPr>
              <w:spacing w:after="0" w:line="480" w:lineRule="auto"/>
              <w:jc w:val="left"/>
              <w:rPr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Electronic Human Resources Management System</w:t>
            </w:r>
          </w:p>
        </w:tc>
      </w:tr>
      <w:tr w:rsidR="00181676" w:rsidRPr="001C5DE2" w14:paraId="7AE8065C" w14:textId="77777777" w:rsidTr="00966037">
        <w:tc>
          <w:tcPr>
            <w:tcW w:w="993" w:type="dxa"/>
            <w:vMerge/>
          </w:tcPr>
          <w:p w14:paraId="127F9C9C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/>
          </w:tcPr>
          <w:p w14:paraId="44A7D521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5A81F43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1.1.2 Ratio of nurses</w:t>
            </w:r>
            <w:r>
              <w:rPr>
                <w:rFonts w:eastAsia="SimSun"/>
                <w:sz w:val="16"/>
                <w:szCs w:val="16"/>
              </w:rPr>
              <w:t>’</w:t>
            </w:r>
            <w:r w:rsidRPr="007E3A14">
              <w:rPr>
                <w:rFonts w:eastAsia="SimSun"/>
                <w:sz w:val="16"/>
                <w:szCs w:val="16"/>
              </w:rPr>
              <w:t xml:space="preserve"> academic qualifications</w:t>
            </w:r>
          </w:p>
        </w:tc>
        <w:tc>
          <w:tcPr>
            <w:tcW w:w="993" w:type="dxa"/>
          </w:tcPr>
          <w:p w14:paraId="4DC44A18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993" w:type="dxa"/>
          </w:tcPr>
          <w:p w14:paraId="7E5B6530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06" w:type="dxa"/>
          </w:tcPr>
          <w:p w14:paraId="1345E6E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Reflects the educational structure of the nursing team.</w:t>
            </w:r>
          </w:p>
        </w:tc>
        <w:tc>
          <w:tcPr>
            <w:tcW w:w="4451" w:type="dxa"/>
          </w:tcPr>
          <w:p w14:paraId="7BB857E0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Number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of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nurses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with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a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certain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level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of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education</m:t>
                    </m:r>
                  </m:num>
                  <m:den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Total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number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of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nurses</m:t>
                    </m:r>
                  </m:den>
                </m:f>
              </m:oMath>
            </m:oMathPara>
          </w:p>
        </w:tc>
        <w:tc>
          <w:tcPr>
            <w:tcW w:w="1822" w:type="dxa"/>
          </w:tcPr>
          <w:p w14:paraId="6A102768" w14:textId="77777777" w:rsidR="00181676" w:rsidRPr="007E3A14" w:rsidRDefault="00181676" w:rsidP="00966037">
            <w:pPr>
              <w:spacing w:after="0" w:line="480" w:lineRule="auto"/>
              <w:jc w:val="left"/>
              <w:rPr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Education levels include secondary, college, bachelor’s, master’s, and doctoral degrees (based on official academic transcripts).</w:t>
            </w:r>
          </w:p>
        </w:tc>
        <w:tc>
          <w:tcPr>
            <w:tcW w:w="1676" w:type="dxa"/>
          </w:tcPr>
          <w:p w14:paraId="08C4A484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Electronic Human Resources Management System</w:t>
            </w:r>
          </w:p>
        </w:tc>
      </w:tr>
      <w:tr w:rsidR="00181676" w:rsidRPr="001C5DE2" w14:paraId="68DEDD02" w14:textId="77777777" w:rsidTr="00966037">
        <w:tc>
          <w:tcPr>
            <w:tcW w:w="993" w:type="dxa"/>
            <w:vMerge/>
          </w:tcPr>
          <w:p w14:paraId="3248F048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/>
          </w:tcPr>
          <w:p w14:paraId="3336D38C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95E7015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1.1.3 Ratio of nurses</w:t>
            </w:r>
            <w:r>
              <w:rPr>
                <w:rFonts w:eastAsia="SimSun"/>
                <w:sz w:val="16"/>
                <w:szCs w:val="16"/>
              </w:rPr>
              <w:t>’</w:t>
            </w:r>
            <w:r w:rsidRPr="007E3A14">
              <w:rPr>
                <w:rFonts w:eastAsia="SimSun"/>
                <w:sz w:val="16"/>
                <w:szCs w:val="16"/>
              </w:rPr>
              <w:t xml:space="preserve"> working years</w:t>
            </w:r>
          </w:p>
        </w:tc>
        <w:tc>
          <w:tcPr>
            <w:tcW w:w="993" w:type="dxa"/>
          </w:tcPr>
          <w:p w14:paraId="16FEC7BF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993" w:type="dxa"/>
          </w:tcPr>
          <w:p w14:paraId="4741B65D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06" w:type="dxa"/>
          </w:tcPr>
          <w:p w14:paraId="3EFDEEAB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Reflects the structure of the nursing team in terms of years of experience.</w:t>
            </w:r>
          </w:p>
        </w:tc>
        <w:tc>
          <w:tcPr>
            <w:tcW w:w="4451" w:type="dxa"/>
          </w:tcPr>
          <w:p w14:paraId="2EB9EAA4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Number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of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nurses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with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a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certain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number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of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years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of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service</m:t>
                    </m:r>
                  </m:num>
                  <m:den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Total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number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of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nurses</m:t>
                    </m:r>
                  </m:den>
                </m:f>
              </m:oMath>
            </m:oMathPara>
          </w:p>
        </w:tc>
        <w:tc>
          <w:tcPr>
            <w:tcW w:w="1822" w:type="dxa"/>
          </w:tcPr>
          <w:p w14:paraId="2D6B6B39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Experience is defined as cumulative years working as a registered nurse, categorized as ≤5 years, 5–10 years, and &gt;10 years.</w:t>
            </w:r>
          </w:p>
        </w:tc>
        <w:tc>
          <w:tcPr>
            <w:tcW w:w="1676" w:type="dxa"/>
          </w:tcPr>
          <w:p w14:paraId="0CFD34C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Electronic Human Resources Management System</w:t>
            </w:r>
          </w:p>
        </w:tc>
      </w:tr>
      <w:tr w:rsidR="00181676" w:rsidRPr="001C5DE2" w14:paraId="2274F30A" w14:textId="77777777" w:rsidTr="00966037">
        <w:tc>
          <w:tcPr>
            <w:tcW w:w="993" w:type="dxa"/>
            <w:vMerge/>
          </w:tcPr>
          <w:p w14:paraId="48D1755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 w:val="restart"/>
          </w:tcPr>
          <w:p w14:paraId="268F3564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 xml:space="preserve">1.2 </w:t>
            </w:r>
            <w:r w:rsidRPr="007E3A14">
              <w:rPr>
                <w:sz w:val="16"/>
                <w:szCs w:val="16"/>
              </w:rPr>
              <w:t>Knowledge and skill training</w:t>
            </w:r>
          </w:p>
        </w:tc>
        <w:tc>
          <w:tcPr>
            <w:tcW w:w="1134" w:type="dxa"/>
          </w:tcPr>
          <w:p w14:paraId="5F000C4D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 xml:space="preserve">1.2.1 Achievement rate of training in </w:t>
            </w:r>
            <w:r w:rsidRPr="007E3A14">
              <w:rPr>
                <w:rFonts w:eastAsia="SimSun"/>
                <w:sz w:val="16"/>
                <w:szCs w:val="16"/>
              </w:rPr>
              <w:lastRenderedPageBreak/>
              <w:t>relevant theoretical knowledge</w:t>
            </w:r>
          </w:p>
        </w:tc>
        <w:tc>
          <w:tcPr>
            <w:tcW w:w="993" w:type="dxa"/>
          </w:tcPr>
          <w:p w14:paraId="1FE4D10C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lastRenderedPageBreak/>
              <w:t>√</w:t>
            </w:r>
          </w:p>
        </w:tc>
        <w:tc>
          <w:tcPr>
            <w:tcW w:w="993" w:type="dxa"/>
          </w:tcPr>
          <w:p w14:paraId="2834827E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06" w:type="dxa"/>
          </w:tcPr>
          <w:p w14:paraId="017EDA0B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Reacting to the implementation of nursing theory training.</w:t>
            </w:r>
          </w:p>
        </w:tc>
        <w:tc>
          <w:tcPr>
            <w:tcW w:w="4451" w:type="dxa"/>
          </w:tcPr>
          <w:p w14:paraId="7A7F894C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Number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of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nurses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who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met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the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theoretical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knowledge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test</m:t>
                    </m:r>
                  </m:num>
                  <m:den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Total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number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of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nurses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</w:tc>
        <w:tc>
          <w:tcPr>
            <w:tcW w:w="1822" w:type="dxa"/>
          </w:tcPr>
          <w:p w14:paraId="09C31662" w14:textId="77777777" w:rsidR="00181676" w:rsidRPr="007E3A14" w:rsidRDefault="00181676" w:rsidP="00966037">
            <w:pPr>
              <w:spacing w:after="0" w:line="480" w:lineRule="auto"/>
              <w:jc w:val="left"/>
              <w:rPr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 xml:space="preserve">Training includes sepsis definition updates, clinical guidelines (e.g., 2021 Surviving Sepsis </w:t>
            </w:r>
            <w:r w:rsidRPr="007E3A14">
              <w:rPr>
                <w:sz w:val="16"/>
                <w:szCs w:val="16"/>
              </w:rPr>
              <w:lastRenderedPageBreak/>
              <w:t>Campaign), manifestations, and standardized nursing protocols. Passing criteria: ≥80% score on departmental written exam.</w:t>
            </w:r>
          </w:p>
        </w:tc>
        <w:tc>
          <w:tcPr>
            <w:tcW w:w="1676" w:type="dxa"/>
          </w:tcPr>
          <w:p w14:paraId="1C3E70AA" w14:textId="77777777" w:rsidR="00181676" w:rsidRPr="007E3A14" w:rsidRDefault="00181676" w:rsidP="00966037">
            <w:pPr>
              <w:spacing w:after="0" w:line="480" w:lineRule="auto"/>
              <w:jc w:val="left"/>
              <w:rPr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lastRenderedPageBreak/>
              <w:t>Unit Training &amp; Assessment Records</w:t>
            </w:r>
          </w:p>
        </w:tc>
      </w:tr>
      <w:tr w:rsidR="00181676" w:rsidRPr="001C5DE2" w14:paraId="3B90293C" w14:textId="77777777" w:rsidTr="00966037">
        <w:tc>
          <w:tcPr>
            <w:tcW w:w="993" w:type="dxa"/>
            <w:vMerge/>
          </w:tcPr>
          <w:p w14:paraId="7B9C92D5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/>
          </w:tcPr>
          <w:p w14:paraId="40B9EB2B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77F98C7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1.2.2 Achievement rate of skills training in relevant specialties</w:t>
            </w:r>
          </w:p>
        </w:tc>
        <w:tc>
          <w:tcPr>
            <w:tcW w:w="993" w:type="dxa"/>
          </w:tcPr>
          <w:p w14:paraId="3514E110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993" w:type="dxa"/>
          </w:tcPr>
          <w:p w14:paraId="7D0AE353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06" w:type="dxa"/>
          </w:tcPr>
          <w:p w14:paraId="25BFD00E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Reacting to the implementation of nursing skills training.</w:t>
            </w:r>
          </w:p>
        </w:tc>
        <w:tc>
          <w:tcPr>
            <w:tcW w:w="4451" w:type="dxa"/>
          </w:tcPr>
          <w:p w14:paraId="4A9D67F3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Number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of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nurses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trained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to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standard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in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specialized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skills</m:t>
                    </m:r>
                  </m:num>
                  <m:den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Total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number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of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nurses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</w:tc>
        <w:tc>
          <w:tcPr>
            <w:tcW w:w="1822" w:type="dxa"/>
          </w:tcPr>
          <w:p w14:paraId="13A9BE54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Target skills: blood culture collection, CVP/ScvO₂ monitoring, ventilator operation, CRRT, ultrasound-guided procedures, and arterial blood pressure management. Passing criteria: ≥90% score on hands-on competency assessment.</w:t>
            </w:r>
          </w:p>
        </w:tc>
        <w:tc>
          <w:tcPr>
            <w:tcW w:w="1676" w:type="dxa"/>
          </w:tcPr>
          <w:p w14:paraId="71F76950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Unit Training &amp; Assessment Records</w:t>
            </w:r>
          </w:p>
        </w:tc>
      </w:tr>
      <w:tr w:rsidR="00181676" w:rsidRPr="001C5DE2" w14:paraId="3948A2C2" w14:textId="77777777" w:rsidTr="00966037">
        <w:tc>
          <w:tcPr>
            <w:tcW w:w="993" w:type="dxa"/>
            <w:vMerge/>
          </w:tcPr>
          <w:p w14:paraId="248AB05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 w:val="restart"/>
          </w:tcPr>
          <w:p w14:paraId="779C2018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1.3</w:t>
            </w:r>
          </w:p>
          <w:p w14:paraId="3B8829C9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Multidisciplinary teamwork indicator</w:t>
            </w:r>
          </w:p>
        </w:tc>
        <w:tc>
          <w:tcPr>
            <w:tcW w:w="1134" w:type="dxa"/>
          </w:tcPr>
          <w:p w14:paraId="71B7E19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1.3.1</w:t>
            </w:r>
          </w:p>
          <w:p w14:paraId="3656CC21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Completeness of core unit configuration</w:t>
            </w:r>
          </w:p>
        </w:tc>
        <w:tc>
          <w:tcPr>
            <w:tcW w:w="993" w:type="dxa"/>
          </w:tcPr>
          <w:p w14:paraId="3AE1D924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993" w:type="dxa"/>
          </w:tcPr>
          <w:p w14:paraId="05541B0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06" w:type="dxa"/>
          </w:tcPr>
          <w:p w14:paraId="069E03C3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Reflects the structural support capacity of the multidisciplinary team.</w:t>
            </w:r>
          </w:p>
        </w:tc>
        <w:tc>
          <w:tcPr>
            <w:tcW w:w="4451" w:type="dxa"/>
          </w:tcPr>
          <w:p w14:paraId="7702FAFF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Actual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number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of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core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sections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configured</m:t>
                    </m:r>
                  </m:num>
                  <m:den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Number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of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core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sections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required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by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the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guidelines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  <w:p w14:paraId="4863FA74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22" w:type="dxa"/>
          </w:tcPr>
          <w:p w14:paraId="3E8C0AAF" w14:textId="77777777" w:rsidR="00181676" w:rsidRPr="007E3A14" w:rsidRDefault="00181676" w:rsidP="00966037">
            <w:pPr>
              <w:spacing w:after="0" w:line="480" w:lineRule="auto"/>
              <w:jc w:val="left"/>
              <w:rPr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 xml:space="preserve">Core departments per 2021 Surviving Sepsis Campaign: Emergency Department, ICU, Clinical Pharmacy, and Infectious diseases </w:t>
            </w:r>
            <w:r w:rsidRPr="007E3A14">
              <w:rPr>
                <w:sz w:val="16"/>
                <w:szCs w:val="16"/>
              </w:rPr>
              <w:lastRenderedPageBreak/>
              <w:t>specialty.</w:t>
            </w:r>
          </w:p>
        </w:tc>
        <w:tc>
          <w:tcPr>
            <w:tcW w:w="1676" w:type="dxa"/>
          </w:tcPr>
          <w:p w14:paraId="1D82AD8C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lastRenderedPageBreak/>
              <w:t>Hospital sepsis MDT configuration registry</w:t>
            </w:r>
          </w:p>
        </w:tc>
      </w:tr>
      <w:tr w:rsidR="00181676" w:rsidRPr="001C5DE2" w14:paraId="19583BD3" w14:textId="77777777" w:rsidTr="00966037">
        <w:tc>
          <w:tcPr>
            <w:tcW w:w="993" w:type="dxa"/>
            <w:vMerge/>
          </w:tcPr>
          <w:p w14:paraId="3298D095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/>
          </w:tcPr>
          <w:p w14:paraId="2B86B162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94FBA7D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 xml:space="preserve">1.3.2 </w:t>
            </w:r>
            <w:r w:rsidRPr="007E3A14">
              <w:rPr>
                <w:sz w:val="16"/>
                <w:szCs w:val="16"/>
              </w:rPr>
              <w:t>Adherence to sepsis knowledge training</w:t>
            </w:r>
          </w:p>
        </w:tc>
        <w:tc>
          <w:tcPr>
            <w:tcW w:w="993" w:type="dxa"/>
          </w:tcPr>
          <w:p w14:paraId="32B24EF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993" w:type="dxa"/>
          </w:tcPr>
          <w:p w14:paraId="7D8C0F60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06" w:type="dxa"/>
          </w:tcPr>
          <w:p w14:paraId="0136D82E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Reflects the level of capacity building of the team.</w:t>
            </w:r>
          </w:p>
        </w:tc>
        <w:tc>
          <w:tcPr>
            <w:tcW w:w="4451" w:type="dxa"/>
          </w:tcPr>
          <w:p w14:paraId="30100B64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people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who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have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reached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the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standard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in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the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assessment</m:t>
                        </m:r>
                      </m:e>
                    </m:eqArr>
                  </m:num>
                  <m:den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Number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of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multidisciplinary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team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members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</w:tc>
        <w:tc>
          <w:tcPr>
            <w:tcW w:w="1822" w:type="dxa"/>
          </w:tcPr>
          <w:p w14:paraId="7291DB62" w14:textId="77777777" w:rsidR="00181676" w:rsidRPr="007E3A14" w:rsidRDefault="00181676" w:rsidP="00966037">
            <w:pPr>
              <w:spacing w:after="0" w:line="480" w:lineRule="auto"/>
              <w:jc w:val="left"/>
              <w:rPr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Aligns with WHO Patient Safety Guidelines: ≥90% annual participation in sepsis-specific interprofessional training (including knowledge and simulation-based assessments).</w:t>
            </w:r>
          </w:p>
        </w:tc>
        <w:tc>
          <w:tcPr>
            <w:tcW w:w="1676" w:type="dxa"/>
          </w:tcPr>
          <w:p w14:paraId="609A450F" w14:textId="77777777" w:rsidR="00181676" w:rsidRPr="007E3A14" w:rsidRDefault="00181676" w:rsidP="00966037">
            <w:pPr>
              <w:spacing w:after="0" w:line="480" w:lineRule="auto"/>
              <w:jc w:val="left"/>
              <w:rPr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MDT Training Attendance &amp; Assessment Logs</w:t>
            </w:r>
          </w:p>
        </w:tc>
      </w:tr>
      <w:tr w:rsidR="00181676" w:rsidRPr="001C5DE2" w14:paraId="77B2A249" w14:textId="77777777" w:rsidTr="00966037">
        <w:tc>
          <w:tcPr>
            <w:tcW w:w="993" w:type="dxa"/>
            <w:vMerge w:val="restart"/>
          </w:tcPr>
          <w:p w14:paraId="68FBCC4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2 Process indicators</w:t>
            </w:r>
          </w:p>
        </w:tc>
        <w:tc>
          <w:tcPr>
            <w:tcW w:w="1133" w:type="dxa"/>
            <w:vMerge w:val="restart"/>
          </w:tcPr>
          <w:p w14:paraId="1ED92D65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 xml:space="preserve">2.1 </w:t>
            </w:r>
            <w:r w:rsidRPr="007E3A14">
              <w:rPr>
                <w:sz w:val="16"/>
                <w:szCs w:val="16"/>
              </w:rPr>
              <w:t>Early identification</w:t>
            </w:r>
          </w:p>
        </w:tc>
        <w:tc>
          <w:tcPr>
            <w:tcW w:w="1134" w:type="dxa"/>
          </w:tcPr>
          <w:p w14:paraId="0CAF2E7F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2.1.1</w:t>
            </w:r>
          </w:p>
          <w:p w14:paraId="37977775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Completion rate of early recognition assessment</w:t>
            </w:r>
          </w:p>
        </w:tc>
        <w:tc>
          <w:tcPr>
            <w:tcW w:w="993" w:type="dxa"/>
          </w:tcPr>
          <w:p w14:paraId="48CE9B9F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993" w:type="dxa"/>
          </w:tcPr>
          <w:p w14:paraId="3934ED9E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06" w:type="dxa"/>
          </w:tcPr>
          <w:p w14:paraId="3E8C8B7C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Reflects the ability of healthcare organizations to identify early and standardize care for patients at high risk for sepsis.</w:t>
            </w:r>
          </w:p>
        </w:tc>
        <w:tc>
          <w:tcPr>
            <w:tcW w:w="4451" w:type="dxa"/>
          </w:tcPr>
          <w:p w14:paraId="30CFD9A8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suspected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infection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early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assessment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completed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within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1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h</m:t>
                        </m:r>
                      </m:e>
                    </m:eqArr>
                  </m:num>
                  <m:den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Total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suspected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infection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in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the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same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period</m:t>
                        </m:r>
                      </m:e>
                    </m:eqAr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</w:tc>
        <w:tc>
          <w:tcPr>
            <w:tcW w:w="1822" w:type="dxa"/>
          </w:tcPr>
          <w:p w14:paraId="30DDD20E" w14:textId="77777777" w:rsidR="00181676" w:rsidRPr="007E3A14" w:rsidRDefault="00181676" w:rsidP="00966037">
            <w:pPr>
              <w:spacing w:after="0" w:line="480" w:lineRule="auto"/>
              <w:jc w:val="left"/>
              <w:rPr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Suspected infection is defined by clinical documentation (e.g., “rule out sepsis” or “infection suspected”). Compliance with 2021 Surviving Sepsis Campaign recommendation for rapid risk stratification.</w:t>
            </w:r>
          </w:p>
        </w:tc>
        <w:tc>
          <w:tcPr>
            <w:tcW w:w="1676" w:type="dxa"/>
          </w:tcPr>
          <w:p w14:paraId="48D03CA0" w14:textId="77777777" w:rsidR="00181676" w:rsidRPr="007E3A14" w:rsidRDefault="00181676" w:rsidP="00966037">
            <w:pPr>
              <w:spacing w:after="0" w:line="480" w:lineRule="auto"/>
              <w:jc w:val="left"/>
              <w:rPr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Electronic Health Records (EHR)</w:t>
            </w:r>
          </w:p>
        </w:tc>
      </w:tr>
      <w:tr w:rsidR="00181676" w:rsidRPr="001C5DE2" w14:paraId="3A0A7B8D" w14:textId="77777777" w:rsidTr="00966037">
        <w:tc>
          <w:tcPr>
            <w:tcW w:w="993" w:type="dxa"/>
            <w:vMerge/>
          </w:tcPr>
          <w:p w14:paraId="1B08B465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/>
          </w:tcPr>
          <w:p w14:paraId="37FD537E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C78E99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2.1.2</w:t>
            </w:r>
          </w:p>
          <w:p w14:paraId="15A5C6AF" w14:textId="77777777" w:rsidR="00181676" w:rsidRPr="007E3A14" w:rsidRDefault="00181676" w:rsidP="00966037">
            <w:pPr>
              <w:spacing w:after="0" w:line="480" w:lineRule="auto"/>
              <w:jc w:val="left"/>
              <w:rPr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 xml:space="preserve">Dynamic assessment of </w:t>
            </w:r>
            <w:r w:rsidRPr="007E3A14">
              <w:rPr>
                <w:sz w:val="16"/>
                <w:szCs w:val="16"/>
              </w:rPr>
              <w:lastRenderedPageBreak/>
              <w:t>adherence rates</w:t>
            </w:r>
          </w:p>
          <w:p w14:paraId="13C3DAF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993" w:type="dxa"/>
          </w:tcPr>
          <w:p w14:paraId="5BB4738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lastRenderedPageBreak/>
              <w:t>√</w:t>
            </w:r>
          </w:p>
        </w:tc>
        <w:tc>
          <w:tcPr>
            <w:tcW w:w="993" w:type="dxa"/>
          </w:tcPr>
          <w:p w14:paraId="34C0B931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06" w:type="dxa"/>
          </w:tcPr>
          <w:p w14:paraId="608D5AA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 xml:space="preserve">Reflects the standardization of continuity of care and </w:t>
            </w:r>
            <w:r w:rsidRPr="007E3A14">
              <w:rPr>
                <w:sz w:val="16"/>
                <w:szCs w:val="16"/>
              </w:rPr>
              <w:lastRenderedPageBreak/>
              <w:t>dynamic monitoring of patients with sepsis.</w:t>
            </w:r>
          </w:p>
        </w:tc>
        <w:tc>
          <w:tcPr>
            <w:tcW w:w="4451" w:type="dxa"/>
          </w:tcPr>
          <w:p w14:paraId="29DB87F2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actual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completions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eligible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for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repeat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assessments</m:t>
                        </m:r>
                      </m:e>
                    </m:eqArr>
                  </m:num>
                  <m:den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Total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number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of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repeat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assessments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to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be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completed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</w:tc>
        <w:tc>
          <w:tcPr>
            <w:tcW w:w="1822" w:type="dxa"/>
          </w:tcPr>
          <w:p w14:paraId="65FB0922" w14:textId="77777777" w:rsidR="00181676" w:rsidRPr="007E3A14" w:rsidRDefault="00181676" w:rsidP="00966037">
            <w:pPr>
              <w:spacing w:after="0" w:line="480" w:lineRule="auto"/>
              <w:jc w:val="left"/>
              <w:rPr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 xml:space="preserve">Target population: patients with SOFA ≥2 or qSOFA ≥2. </w:t>
            </w:r>
            <w:r w:rsidRPr="007E3A14">
              <w:rPr>
                <w:sz w:val="16"/>
                <w:szCs w:val="16"/>
              </w:rPr>
              <w:lastRenderedPageBreak/>
              <w:t>Assessments include repeat SOFA/qSOFA to monitor clinical deterioration.</w:t>
            </w:r>
          </w:p>
        </w:tc>
        <w:tc>
          <w:tcPr>
            <w:tcW w:w="1676" w:type="dxa"/>
          </w:tcPr>
          <w:p w14:paraId="6A9A3C5C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lastRenderedPageBreak/>
              <w:t>EHR automated assessment tracking</w:t>
            </w:r>
          </w:p>
        </w:tc>
      </w:tr>
      <w:tr w:rsidR="00181676" w:rsidRPr="001C5DE2" w14:paraId="211B69D1" w14:textId="77777777" w:rsidTr="00966037">
        <w:tc>
          <w:tcPr>
            <w:tcW w:w="993" w:type="dxa"/>
            <w:vMerge/>
          </w:tcPr>
          <w:p w14:paraId="3F3299CD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 w:val="restart"/>
          </w:tcPr>
          <w:p w14:paraId="1343358D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2.2</w:t>
            </w:r>
          </w:p>
          <w:p w14:paraId="146A212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Early intervention</w:t>
            </w:r>
          </w:p>
        </w:tc>
        <w:tc>
          <w:tcPr>
            <w:tcW w:w="1134" w:type="dxa"/>
          </w:tcPr>
          <w:p w14:paraId="468711E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2.2.1</w:t>
            </w:r>
          </w:p>
          <w:p w14:paraId="46C706B0" w14:textId="77777777" w:rsidR="00181676" w:rsidRPr="007E3A14" w:rsidRDefault="00181676" w:rsidP="00966037">
            <w:pPr>
              <w:spacing w:after="0" w:line="480" w:lineRule="auto"/>
              <w:jc w:val="left"/>
              <w:rPr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Rate of timely  intravenous access establishment</w:t>
            </w:r>
          </w:p>
        </w:tc>
        <w:tc>
          <w:tcPr>
            <w:tcW w:w="993" w:type="dxa"/>
          </w:tcPr>
          <w:p w14:paraId="5C586F1E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993" w:type="dxa"/>
          </w:tcPr>
          <w:p w14:paraId="47ABC24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06" w:type="dxa"/>
          </w:tcPr>
          <w:p w14:paraId="23497C68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Reflects the timeliness of opening veins in patients with suspected or confirmed sepsis.</w:t>
            </w:r>
          </w:p>
        </w:tc>
        <w:tc>
          <w:tcPr>
            <w:tcW w:w="4451" w:type="dxa"/>
          </w:tcPr>
          <w:p w14:paraId="55366E5B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at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high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risk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suspected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confirmed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sepsis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open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veins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within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15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min</m:t>
                        </m:r>
                      </m:e>
                    </m:eqArr>
                  </m:num>
                  <m:den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Total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suspected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confirmed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sepsis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during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the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same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period</m:t>
                        </m:r>
                      </m:e>
                    </m:eqAr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</w:tc>
        <w:tc>
          <w:tcPr>
            <w:tcW w:w="1822" w:type="dxa"/>
          </w:tcPr>
          <w:p w14:paraId="24348B54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V access defined as ≥20G peripheral or central venous catheter placement, per WHO and NICE guidelines (NG51).</w:t>
            </w:r>
          </w:p>
        </w:tc>
        <w:tc>
          <w:tcPr>
            <w:tcW w:w="1676" w:type="dxa"/>
          </w:tcPr>
          <w:p w14:paraId="0ED1C912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EHR medication administration logs</w:t>
            </w:r>
          </w:p>
        </w:tc>
      </w:tr>
      <w:tr w:rsidR="00181676" w:rsidRPr="001C5DE2" w14:paraId="3BE7ABBE" w14:textId="77777777" w:rsidTr="00966037">
        <w:tc>
          <w:tcPr>
            <w:tcW w:w="993" w:type="dxa"/>
            <w:vMerge/>
          </w:tcPr>
          <w:p w14:paraId="33B74C32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/>
          </w:tcPr>
          <w:p w14:paraId="19F2E8C4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6D86F70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2.2.2</w:t>
            </w:r>
          </w:p>
          <w:p w14:paraId="0837D310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Implementation rate of initial lactate measurement</w:t>
            </w:r>
          </w:p>
        </w:tc>
        <w:tc>
          <w:tcPr>
            <w:tcW w:w="993" w:type="dxa"/>
          </w:tcPr>
          <w:p w14:paraId="60A8C934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993" w:type="dxa"/>
          </w:tcPr>
          <w:p w14:paraId="463BB92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06" w:type="dxa"/>
          </w:tcPr>
          <w:p w14:paraId="7C3B61F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Timeliness and standardization of reactive lactate monitoring.</w:t>
            </w:r>
          </w:p>
        </w:tc>
        <w:tc>
          <w:tcPr>
            <w:tcW w:w="4451" w:type="dxa"/>
          </w:tcPr>
          <w:p w14:paraId="0D2A152E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suspected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confirmed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sepsis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lactate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testing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completed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within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1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h</m:t>
                        </m:r>
                      </m:e>
                    </m:eqArr>
                  </m:num>
                  <m:den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Total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suspected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confirmed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sepsis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during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the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same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period</m:t>
                        </m:r>
                      </m:e>
                    </m:eqAr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</w:tc>
        <w:tc>
          <w:tcPr>
            <w:tcW w:w="1822" w:type="dxa"/>
          </w:tcPr>
          <w:p w14:paraId="227B2E19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Includes order placement, blood collection, laboratory processing, and result availability. Positive sepsis diagnosis: SOFA ≥2 or qSOFA ≥2 with clinical suspicion.</w:t>
            </w:r>
          </w:p>
        </w:tc>
        <w:tc>
          <w:tcPr>
            <w:tcW w:w="1676" w:type="dxa"/>
          </w:tcPr>
          <w:p w14:paraId="6AA44B3F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EHR laboratory results interface</w:t>
            </w:r>
          </w:p>
        </w:tc>
      </w:tr>
      <w:tr w:rsidR="00181676" w:rsidRPr="001C5DE2" w14:paraId="46DD4930" w14:textId="77777777" w:rsidTr="00966037">
        <w:tc>
          <w:tcPr>
            <w:tcW w:w="993" w:type="dxa"/>
            <w:vMerge/>
          </w:tcPr>
          <w:p w14:paraId="41B47B87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/>
          </w:tcPr>
          <w:p w14:paraId="43F3CC4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AF07849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 xml:space="preserve">2.2.3 </w:t>
            </w:r>
            <w:r w:rsidRPr="007E3A14">
              <w:rPr>
                <w:sz w:val="16"/>
                <w:szCs w:val="16"/>
              </w:rPr>
              <w:t>The rate of delivering antimicrobial drugs before the treatment of pathogens</w:t>
            </w:r>
          </w:p>
        </w:tc>
        <w:tc>
          <w:tcPr>
            <w:tcW w:w="993" w:type="dxa"/>
          </w:tcPr>
          <w:p w14:paraId="76438712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993" w:type="dxa"/>
          </w:tcPr>
          <w:p w14:paraId="17A1B5CD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06" w:type="dxa"/>
          </w:tcPr>
          <w:p w14:paraId="31C8417B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Reacting to the standardization of pathogenetic delivery before antimicrobial drug use.</w:t>
            </w:r>
          </w:p>
        </w:tc>
        <w:tc>
          <w:tcPr>
            <w:tcW w:w="4451" w:type="dxa"/>
          </w:tcPr>
          <w:p w14:paraId="6A84D483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completing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pathogenetic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sentinel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testing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prior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to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antimicrobial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use</m:t>
                        </m:r>
                      </m:e>
                    </m:eqArr>
                  </m:num>
                  <m:den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Total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treated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antimicrobial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drugs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during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the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same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period</m:t>
                        </m:r>
                      </m:e>
                    </m:eqAr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</w:tc>
        <w:tc>
          <w:tcPr>
            <w:tcW w:w="1822" w:type="dxa"/>
          </w:tcPr>
          <w:p w14:paraId="04D994B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Specimens include blood, sputum, urine, and drainage cultures; molecular testing (e.g., next-generation sequencing).</w:t>
            </w:r>
          </w:p>
        </w:tc>
        <w:tc>
          <w:tcPr>
            <w:tcW w:w="1676" w:type="dxa"/>
          </w:tcPr>
          <w:p w14:paraId="2A2ACBE8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EHR microbiology order/collection records</w:t>
            </w:r>
          </w:p>
        </w:tc>
      </w:tr>
      <w:tr w:rsidR="00181676" w:rsidRPr="001C5DE2" w14:paraId="48873B60" w14:textId="77777777" w:rsidTr="00966037">
        <w:tc>
          <w:tcPr>
            <w:tcW w:w="993" w:type="dxa"/>
            <w:vMerge/>
          </w:tcPr>
          <w:p w14:paraId="324DA25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/>
          </w:tcPr>
          <w:p w14:paraId="6759864C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081EF44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2.2.4</w:t>
            </w:r>
          </w:p>
          <w:p w14:paraId="43C505DB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Antibiotic administration implementation rate</w:t>
            </w:r>
          </w:p>
        </w:tc>
        <w:tc>
          <w:tcPr>
            <w:tcW w:w="993" w:type="dxa"/>
          </w:tcPr>
          <w:p w14:paraId="787E69A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993" w:type="dxa"/>
          </w:tcPr>
          <w:p w14:paraId="24A8870F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06" w:type="dxa"/>
          </w:tcPr>
          <w:p w14:paraId="70521E4B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Reflecting the standardization of early broad-spectrum antimicrobial drug use in patients with sepsis.</w:t>
            </w:r>
          </w:p>
        </w:tc>
        <w:tc>
          <w:tcPr>
            <w:tcW w:w="4451" w:type="dxa"/>
          </w:tcPr>
          <w:p w14:paraId="196106E7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b/>
                <w:bCs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suspected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confirmed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sepsis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starting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antibiotics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within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1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h</m:t>
                        </m:r>
                      </m:e>
                    </m:eqArr>
                  </m:num>
                  <m:den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Total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suspected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sepsis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during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the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same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period</m:t>
                        </m:r>
                      </m:e>
                    </m:eqAr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</w:tc>
        <w:tc>
          <w:tcPr>
            <w:tcW w:w="1822" w:type="dxa"/>
          </w:tcPr>
          <w:p w14:paraId="3A5295DF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Includes physician order verification, medication preparation, and intravenous administration. Confirmed sepsis: documented SOFA ≥2 or qSOFA ≥2 with provider diagnosis.</w:t>
            </w:r>
          </w:p>
        </w:tc>
        <w:tc>
          <w:tcPr>
            <w:tcW w:w="1676" w:type="dxa"/>
          </w:tcPr>
          <w:p w14:paraId="0D4C7092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EHR medication administration timeline</w:t>
            </w:r>
          </w:p>
        </w:tc>
      </w:tr>
      <w:tr w:rsidR="00181676" w:rsidRPr="001C5DE2" w14:paraId="11A6DD18" w14:textId="77777777" w:rsidTr="00966037">
        <w:tc>
          <w:tcPr>
            <w:tcW w:w="993" w:type="dxa"/>
            <w:vMerge/>
          </w:tcPr>
          <w:p w14:paraId="06FD9D68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/>
          </w:tcPr>
          <w:p w14:paraId="4A8C55D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4C67972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2.2.5</w:t>
            </w:r>
          </w:p>
          <w:p w14:paraId="4D2DB772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Controlled fluid resuscitation implementation rate</w:t>
            </w:r>
          </w:p>
        </w:tc>
        <w:tc>
          <w:tcPr>
            <w:tcW w:w="993" w:type="dxa"/>
          </w:tcPr>
          <w:p w14:paraId="6DE3709F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993" w:type="dxa"/>
          </w:tcPr>
          <w:p w14:paraId="4964664B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1806" w:type="dxa"/>
          </w:tcPr>
          <w:p w14:paraId="2BB51FB1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Reflecting the standardization and timeliness of restrictive fluid resuscitation in patients with septic shock.</w:t>
            </w:r>
          </w:p>
        </w:tc>
        <w:tc>
          <w:tcPr>
            <w:tcW w:w="4451" w:type="dxa"/>
          </w:tcPr>
          <w:p w14:paraId="5E8D97F9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performing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restrictive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fluid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resuscitation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within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1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h</m:t>
                        </m:r>
                      </m:e>
                    </m:eqArr>
                  </m:num>
                  <m:den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Total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septic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shock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during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the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same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period</m:t>
                        </m:r>
                      </m:e>
                    </m:eqAr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</w:tc>
        <w:tc>
          <w:tcPr>
            <w:tcW w:w="1822" w:type="dxa"/>
          </w:tcPr>
          <w:p w14:paraId="790C2104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Restrictive protocol: cautious fluid administration guided by hemodynamic monitoring (e.g., CVP, ScvO₂), per 2021 Surviving Sepsis Campaign.</w:t>
            </w:r>
          </w:p>
        </w:tc>
        <w:tc>
          <w:tcPr>
            <w:tcW w:w="1676" w:type="dxa"/>
          </w:tcPr>
          <w:p w14:paraId="615B966E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EHR fluid balance and order records</w:t>
            </w:r>
          </w:p>
        </w:tc>
      </w:tr>
      <w:tr w:rsidR="00181676" w:rsidRPr="001C5DE2" w14:paraId="0654608B" w14:textId="77777777" w:rsidTr="00966037">
        <w:tc>
          <w:tcPr>
            <w:tcW w:w="993" w:type="dxa"/>
            <w:vMerge/>
          </w:tcPr>
          <w:p w14:paraId="497CA11C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/>
          </w:tcPr>
          <w:p w14:paraId="4D3D7C4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AD55FBF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2.2.6</w:t>
            </w:r>
          </w:p>
          <w:p w14:paraId="76C705D0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Vasoactive medication implementation rate</w:t>
            </w:r>
          </w:p>
        </w:tc>
        <w:tc>
          <w:tcPr>
            <w:tcW w:w="993" w:type="dxa"/>
          </w:tcPr>
          <w:p w14:paraId="4C36FE30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993" w:type="dxa"/>
          </w:tcPr>
          <w:p w14:paraId="74C25A91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1806" w:type="dxa"/>
          </w:tcPr>
          <w:p w14:paraId="5F19526D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Reflecting standardization and timeliness of vasoactive drug use in patients with septic shock.</w:t>
            </w:r>
          </w:p>
        </w:tc>
        <w:tc>
          <w:tcPr>
            <w:tcW w:w="4451" w:type="dxa"/>
          </w:tcPr>
          <w:p w14:paraId="697C133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eligible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and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initiating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vasoactive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drugs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within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1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h</m:t>
                        </m:r>
                      </m:e>
                    </m:eqArr>
                  </m:num>
                  <m:den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Total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eligible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septic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shock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during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the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same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period</m:t>
                        </m:r>
                      </m:e>
                    </m:eqAr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</w:tc>
        <w:tc>
          <w:tcPr>
            <w:tcW w:w="1822" w:type="dxa"/>
          </w:tcPr>
          <w:p w14:paraId="57F9E2DF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 xml:space="preserve">Eligibility: MAP &lt;65 mmHg despite fluid resuscitation or lactate ≥2 mmol/L. Includes norepinephrine/epinephrine initiation per guideline-recommended </w:t>
            </w:r>
            <w:r w:rsidRPr="007E3A14">
              <w:rPr>
                <w:sz w:val="16"/>
                <w:szCs w:val="16"/>
              </w:rPr>
              <w:lastRenderedPageBreak/>
              <w:t>protocols.</w:t>
            </w:r>
          </w:p>
        </w:tc>
        <w:tc>
          <w:tcPr>
            <w:tcW w:w="1676" w:type="dxa"/>
          </w:tcPr>
          <w:p w14:paraId="28816034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lastRenderedPageBreak/>
              <w:t>EHR hemodynamic monitoring records</w:t>
            </w:r>
          </w:p>
        </w:tc>
      </w:tr>
      <w:tr w:rsidR="00181676" w:rsidRPr="001C5DE2" w14:paraId="3C7AA25B" w14:textId="77777777" w:rsidTr="00966037">
        <w:tc>
          <w:tcPr>
            <w:tcW w:w="993" w:type="dxa"/>
            <w:vMerge/>
          </w:tcPr>
          <w:p w14:paraId="6E086A11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 w:val="restart"/>
          </w:tcPr>
          <w:p w14:paraId="53DA0982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2.3</w:t>
            </w:r>
          </w:p>
          <w:p w14:paraId="6EAB9977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Monitoring techniques</w:t>
            </w:r>
          </w:p>
          <w:p w14:paraId="482B50E2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0CAC23F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2.3.1</w:t>
            </w:r>
          </w:p>
          <w:p w14:paraId="3D8AC40D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Non-invasive monitoring: implementation rate of vital signs monitoring</w:t>
            </w:r>
          </w:p>
        </w:tc>
        <w:tc>
          <w:tcPr>
            <w:tcW w:w="993" w:type="dxa"/>
          </w:tcPr>
          <w:p w14:paraId="0F900669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993" w:type="dxa"/>
          </w:tcPr>
          <w:p w14:paraId="23529BE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06" w:type="dxa"/>
          </w:tcPr>
          <w:p w14:paraId="33339169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Reflects the continuity and standardization of vital sign monitoring in patients with sepsis.</w:t>
            </w:r>
          </w:p>
        </w:tc>
        <w:tc>
          <w:tcPr>
            <w:tcW w:w="4451" w:type="dxa"/>
          </w:tcPr>
          <w:p w14:paraId="5C5E2E3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sepsis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correctly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performed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vital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signs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monitoring</m:t>
                        </m:r>
                      </m:e>
                    </m:eqArr>
                  </m:num>
                  <m:den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Total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sepsis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during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the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same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period</m:t>
                        </m:r>
                      </m:e>
                    </m:eqAr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</w:tc>
        <w:tc>
          <w:tcPr>
            <w:tcW w:w="1822" w:type="dxa"/>
          </w:tcPr>
          <w:p w14:paraId="2420530B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Includes continuous monitoring of heart rate, blood pressure, respiratory rate, and oxygen saturation, with hourly EHR documentation.</w:t>
            </w:r>
          </w:p>
        </w:tc>
        <w:tc>
          <w:tcPr>
            <w:tcW w:w="1676" w:type="dxa"/>
          </w:tcPr>
          <w:p w14:paraId="071E9D0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EHR vital signs monitoring module</w:t>
            </w:r>
          </w:p>
        </w:tc>
      </w:tr>
      <w:tr w:rsidR="00181676" w:rsidRPr="001C5DE2" w14:paraId="259465FF" w14:textId="77777777" w:rsidTr="00966037">
        <w:tc>
          <w:tcPr>
            <w:tcW w:w="993" w:type="dxa"/>
            <w:vMerge/>
          </w:tcPr>
          <w:p w14:paraId="47B35938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/>
          </w:tcPr>
          <w:p w14:paraId="4672A338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6EC6812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2.3.2 Non-invasive/invasive monitoring: implementation rate of urine output monitoring</w:t>
            </w:r>
          </w:p>
        </w:tc>
        <w:tc>
          <w:tcPr>
            <w:tcW w:w="993" w:type="dxa"/>
          </w:tcPr>
          <w:p w14:paraId="26615461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993" w:type="dxa"/>
          </w:tcPr>
          <w:p w14:paraId="7EEEDEE8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06" w:type="dxa"/>
          </w:tcPr>
          <w:p w14:paraId="2CEA6A09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Reflecting continuity and standardization of urine output monitoring in patients with sepsis.</w:t>
            </w:r>
          </w:p>
        </w:tc>
        <w:tc>
          <w:tcPr>
            <w:tcW w:w="4451" w:type="dxa"/>
          </w:tcPr>
          <w:p w14:paraId="37F2A992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sepsis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who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correctly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perform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urine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output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monitoring</m:t>
                        </m:r>
                      </m:e>
                    </m:eqArr>
                  </m:num>
                  <m:den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Total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sepsis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during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the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same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period</m:t>
                        </m:r>
                      </m:e>
                    </m:eqAr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</w:tc>
        <w:tc>
          <w:tcPr>
            <w:tcW w:w="1822" w:type="dxa"/>
          </w:tcPr>
          <w:p w14:paraId="736018C2" w14:textId="77777777" w:rsidR="00181676" w:rsidRPr="007E3A14" w:rsidRDefault="00181676" w:rsidP="00966037">
            <w:pPr>
              <w:spacing w:after="0" w:line="480" w:lineRule="auto"/>
              <w:jc w:val="left"/>
              <w:rPr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Aligns with Sepsis-6 bundle: critical for early detection of renal hypoperfusion.</w:t>
            </w:r>
          </w:p>
        </w:tc>
        <w:tc>
          <w:tcPr>
            <w:tcW w:w="1676" w:type="dxa"/>
          </w:tcPr>
          <w:p w14:paraId="48A2B8B2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EHR intake/output documentation</w:t>
            </w:r>
          </w:p>
        </w:tc>
      </w:tr>
      <w:tr w:rsidR="00181676" w:rsidRPr="001C5DE2" w14:paraId="3FDC253B" w14:textId="77777777" w:rsidTr="00966037">
        <w:tc>
          <w:tcPr>
            <w:tcW w:w="993" w:type="dxa"/>
            <w:vMerge/>
          </w:tcPr>
          <w:p w14:paraId="4919BF9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/>
          </w:tcPr>
          <w:p w14:paraId="7BD85A39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60A306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2.3.3 Non-invasive monitoring: mean arterial pressure (MAP) monitoring implementati</w:t>
            </w:r>
            <w:r w:rsidRPr="007E3A14">
              <w:rPr>
                <w:rFonts w:eastAsia="SimSun"/>
                <w:sz w:val="16"/>
                <w:szCs w:val="16"/>
              </w:rPr>
              <w:lastRenderedPageBreak/>
              <w:t>on rate</w:t>
            </w:r>
          </w:p>
        </w:tc>
        <w:tc>
          <w:tcPr>
            <w:tcW w:w="993" w:type="dxa"/>
          </w:tcPr>
          <w:p w14:paraId="3FEF7DE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lastRenderedPageBreak/>
              <w:t>√</w:t>
            </w:r>
          </w:p>
        </w:tc>
        <w:tc>
          <w:tcPr>
            <w:tcW w:w="993" w:type="dxa"/>
          </w:tcPr>
          <w:p w14:paraId="61BE5113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06" w:type="dxa"/>
          </w:tcPr>
          <w:p w14:paraId="5D39224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Reflects the standardization of MAP monitoring in patients with sepsis.</w:t>
            </w:r>
          </w:p>
        </w:tc>
        <w:tc>
          <w:tcPr>
            <w:tcW w:w="4451" w:type="dxa"/>
          </w:tcPr>
          <w:p w14:paraId="73E5494C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sepsis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correctly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performed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MAP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monitoring</m:t>
                        </m:r>
                      </m:e>
                    </m:eqArr>
                  </m:num>
                  <m:den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Total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sepsis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during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the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same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period</m:t>
                        </m:r>
                      </m:e>
                    </m:eqAr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</w:tc>
        <w:tc>
          <w:tcPr>
            <w:tcW w:w="1822" w:type="dxa"/>
          </w:tcPr>
          <w:p w14:paraId="3E39CF5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MAP is a core hemodynamic target per 2021 Surviving Sepsis Campaign; reflects adequacy of organ perfusion.</w:t>
            </w:r>
          </w:p>
        </w:tc>
        <w:tc>
          <w:tcPr>
            <w:tcW w:w="1676" w:type="dxa"/>
          </w:tcPr>
          <w:p w14:paraId="4AD3F148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EHR hemodynamic parameter records</w:t>
            </w:r>
          </w:p>
        </w:tc>
      </w:tr>
      <w:tr w:rsidR="00181676" w:rsidRPr="001C5DE2" w14:paraId="1821476B" w14:textId="77777777" w:rsidTr="00966037">
        <w:tc>
          <w:tcPr>
            <w:tcW w:w="993" w:type="dxa"/>
            <w:vMerge/>
          </w:tcPr>
          <w:p w14:paraId="7B8D2C9C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/>
          </w:tcPr>
          <w:p w14:paraId="71F55740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C2138BE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2.3.4 Invasive monitoring: central venous pressure (CVP) monitoring normative implementation rate</w:t>
            </w:r>
          </w:p>
        </w:tc>
        <w:tc>
          <w:tcPr>
            <w:tcW w:w="993" w:type="dxa"/>
          </w:tcPr>
          <w:p w14:paraId="518AD30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993" w:type="dxa"/>
          </w:tcPr>
          <w:p w14:paraId="55CE6CB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1806" w:type="dxa"/>
          </w:tcPr>
          <w:p w14:paraId="6B2D72A8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Reflecting the standardization of early hemodynamic monitoring in patients with septic shock.</w:t>
            </w:r>
          </w:p>
        </w:tc>
        <w:tc>
          <w:tcPr>
            <w:tcW w:w="4451" w:type="dxa"/>
          </w:tcPr>
          <w:p w14:paraId="4994907D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sepsis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for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whom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CVP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monitoring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is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standardized</m:t>
                        </m:r>
                      </m:e>
                    </m:eqArr>
                  </m:num>
                  <m:den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Total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sepsis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who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met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the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indications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for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CVP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monitoring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during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the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same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period</m:t>
                        </m:r>
                      </m:e>
                    </m:eqAr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</w:tc>
        <w:tc>
          <w:tcPr>
            <w:tcW w:w="1822" w:type="dxa"/>
          </w:tcPr>
          <w:p w14:paraId="6377F62E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Indications: septic shock or lactate ≥4 mmol/L. Normative practice includes proper catheter insertion, zeroing, and interpretive documentation.</w:t>
            </w:r>
          </w:p>
        </w:tc>
        <w:tc>
          <w:tcPr>
            <w:tcW w:w="1676" w:type="dxa"/>
          </w:tcPr>
          <w:p w14:paraId="0C2C3CB3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EHR invasive monitoring procedure logs</w:t>
            </w:r>
          </w:p>
        </w:tc>
      </w:tr>
      <w:tr w:rsidR="00181676" w:rsidRPr="001C5DE2" w14:paraId="6EF4E010" w14:textId="77777777" w:rsidTr="00966037">
        <w:tc>
          <w:tcPr>
            <w:tcW w:w="993" w:type="dxa"/>
            <w:vMerge/>
          </w:tcPr>
          <w:p w14:paraId="4FBD83AD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/>
          </w:tcPr>
          <w:p w14:paraId="34715958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B7D421B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2.3.5 Invasive monitoring:</w:t>
            </w:r>
          </w:p>
          <w:p w14:paraId="0F5E0E68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central venous oxygen saturation (ScvO2) monitoring protocol implementation rate</w:t>
            </w:r>
          </w:p>
        </w:tc>
        <w:tc>
          <w:tcPr>
            <w:tcW w:w="993" w:type="dxa"/>
          </w:tcPr>
          <w:p w14:paraId="265B645B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993" w:type="dxa"/>
          </w:tcPr>
          <w:p w14:paraId="1B25AFDB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1806" w:type="dxa"/>
          </w:tcPr>
          <w:p w14:paraId="0FD83243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Reflecting the normality of dynamic assessment of tissue perfusion in patients with septic shock.</w:t>
            </w:r>
          </w:p>
        </w:tc>
        <w:tc>
          <w:tcPr>
            <w:tcW w:w="4451" w:type="dxa"/>
          </w:tcPr>
          <w:p w14:paraId="740CF5AD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sepsis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for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whom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ScvO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2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monitoring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is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standardized</m:t>
                        </m:r>
                      </m:e>
                    </m:eqArr>
                  </m:num>
                  <m:den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Total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sepsis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who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met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the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indications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for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ScvO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2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monitoring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during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the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same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period</m:t>
                        </m:r>
                      </m:e>
                    </m:eqAr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</w:tc>
        <w:tc>
          <w:tcPr>
            <w:tcW w:w="1822" w:type="dxa"/>
          </w:tcPr>
          <w:p w14:paraId="3039D6AC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Indications: fluid-refractory shock (MAP &lt;65 mmHg or vasopressor-dependent) or persistent lactate ≥4 mmol/L. Normative values: 70%–80%; includes proper catheter placement and interpretive analysis.</w:t>
            </w:r>
          </w:p>
        </w:tc>
        <w:tc>
          <w:tcPr>
            <w:tcW w:w="1676" w:type="dxa"/>
          </w:tcPr>
          <w:p w14:paraId="35ED62D2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EHR invasive monitoring procedure logs</w:t>
            </w:r>
          </w:p>
        </w:tc>
      </w:tr>
      <w:tr w:rsidR="00181676" w:rsidRPr="001C5DE2" w14:paraId="5F4BA616" w14:textId="77777777" w:rsidTr="00966037">
        <w:tc>
          <w:tcPr>
            <w:tcW w:w="993" w:type="dxa"/>
            <w:vMerge/>
          </w:tcPr>
          <w:p w14:paraId="4344B47B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/>
          </w:tcPr>
          <w:p w14:paraId="3DCCB77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1A70F78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2.3.6 Rate of implementation of rehydration test norms</w:t>
            </w:r>
          </w:p>
        </w:tc>
        <w:tc>
          <w:tcPr>
            <w:tcW w:w="993" w:type="dxa"/>
          </w:tcPr>
          <w:p w14:paraId="3109541F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993" w:type="dxa"/>
          </w:tcPr>
          <w:p w14:paraId="4DED07E5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1806" w:type="dxa"/>
          </w:tcPr>
          <w:p w14:paraId="1954C5D8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Reflecting the standardization of fluid management in patients with septic shock.</w:t>
            </w:r>
          </w:p>
        </w:tc>
        <w:tc>
          <w:tcPr>
            <w:tcW w:w="4451" w:type="dxa"/>
          </w:tcPr>
          <w:p w14:paraId="6436A74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sepsis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for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whom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rehydration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tests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are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performed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a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standardized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basis</m:t>
                        </m:r>
                      </m:e>
                    </m:eqArr>
                  </m:num>
                  <m:den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Total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sepsis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who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met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the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indications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for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rehydration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testing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during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the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same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period</m:t>
                        </m:r>
                      </m:e>
                    </m:eqAr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</w:tc>
        <w:tc>
          <w:tcPr>
            <w:tcW w:w="1822" w:type="dxa"/>
          </w:tcPr>
          <w:p w14:paraId="1FBCA81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Indications: tissue hypoperfusion without overt shock. Normative practice: 500 mL crystalloid over 30 minutes with pre/post hemodynamic assessment (e.g., stroke volume variation).</w:t>
            </w:r>
          </w:p>
        </w:tc>
        <w:tc>
          <w:tcPr>
            <w:tcW w:w="1676" w:type="dxa"/>
          </w:tcPr>
          <w:p w14:paraId="2389248B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EHR fluid challenge procedure records</w:t>
            </w:r>
          </w:p>
        </w:tc>
      </w:tr>
      <w:tr w:rsidR="00181676" w:rsidRPr="001C5DE2" w14:paraId="182460BF" w14:textId="77777777" w:rsidTr="00966037">
        <w:tc>
          <w:tcPr>
            <w:tcW w:w="993" w:type="dxa"/>
            <w:vMerge/>
          </w:tcPr>
          <w:p w14:paraId="742F7FAB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 w:val="restart"/>
          </w:tcPr>
          <w:p w14:paraId="5D41AF9E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 xml:space="preserve">2.4 </w:t>
            </w:r>
          </w:p>
          <w:p w14:paraId="3BFB1AD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Multidisciplinary collaborative processes</w:t>
            </w:r>
          </w:p>
        </w:tc>
        <w:tc>
          <w:tcPr>
            <w:tcW w:w="1134" w:type="dxa"/>
          </w:tcPr>
          <w:p w14:paraId="2B4166CD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2.4.1</w:t>
            </w:r>
          </w:p>
          <w:p w14:paraId="07117EE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Implementation rate of multidisciplinary team (MDT) consultations</w:t>
            </w:r>
          </w:p>
        </w:tc>
        <w:tc>
          <w:tcPr>
            <w:tcW w:w="993" w:type="dxa"/>
          </w:tcPr>
          <w:p w14:paraId="453DE86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993" w:type="dxa"/>
          </w:tcPr>
          <w:p w14:paraId="730A0073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06" w:type="dxa"/>
          </w:tcPr>
          <w:p w14:paraId="61C022B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Reflects early teamwork and responsiveness.</w:t>
            </w:r>
          </w:p>
        </w:tc>
        <w:tc>
          <w:tcPr>
            <w:tcW w:w="4451" w:type="dxa"/>
          </w:tcPr>
          <w:p w14:paraId="23012997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cases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in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which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MDT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was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initiated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within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1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diagnosis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sepsis</m:t>
                        </m:r>
                      </m:e>
                    </m:eqArr>
                  </m:num>
                  <m:den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Total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sepsis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during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the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same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period</m:t>
                        </m:r>
                      </m:e>
                    </m:eqAr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</w:tc>
        <w:tc>
          <w:tcPr>
            <w:tcW w:w="1822" w:type="dxa"/>
          </w:tcPr>
          <w:p w14:paraId="7EA54E88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Core MDT members: emergency, ICU, infectious diseases physicians, and clinical pharmacists, per 2021 Surviving Sepsis Campaign.</w:t>
            </w:r>
          </w:p>
        </w:tc>
        <w:tc>
          <w:tcPr>
            <w:tcW w:w="1676" w:type="dxa"/>
          </w:tcPr>
          <w:p w14:paraId="26C2BEF4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EHR consultation request timestamps</w:t>
            </w:r>
          </w:p>
        </w:tc>
      </w:tr>
      <w:tr w:rsidR="00181676" w:rsidRPr="001C5DE2" w14:paraId="68460ADD" w14:textId="77777777" w:rsidTr="00966037">
        <w:tc>
          <w:tcPr>
            <w:tcW w:w="993" w:type="dxa"/>
            <w:vMerge/>
          </w:tcPr>
          <w:p w14:paraId="46A04B84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/>
          </w:tcPr>
          <w:p w14:paraId="0E7DCF6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B8ABB6D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2.4.2 Implementation rate of joint multidisciplinary rounds</w:t>
            </w:r>
          </w:p>
        </w:tc>
        <w:tc>
          <w:tcPr>
            <w:tcW w:w="993" w:type="dxa"/>
          </w:tcPr>
          <w:p w14:paraId="6444F4A0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993" w:type="dxa"/>
          </w:tcPr>
          <w:p w14:paraId="4469888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06" w:type="dxa"/>
          </w:tcPr>
          <w:p w14:paraId="1FA753D3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Reflect the dynamic assessment of synergies.</w:t>
            </w:r>
          </w:p>
        </w:tc>
        <w:tc>
          <w:tcPr>
            <w:tcW w:w="4451" w:type="dxa"/>
          </w:tcPr>
          <w:p w14:paraId="714782A4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Actual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days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joint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room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inspections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performed</m:t>
                        </m:r>
                      </m:e>
                    </m:eqArr>
                  </m:num>
                  <m:den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Actual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days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of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hospitalization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days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</w:tc>
        <w:tc>
          <w:tcPr>
            <w:tcW w:w="1822" w:type="dxa"/>
          </w:tcPr>
          <w:p w14:paraId="5F6BC83C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 xml:space="preserve">Rounds include ≥2 disciplines (emergency/ICU/infectious diseases/clinical pharmacy/charge nurse). Frequency: daily in critical phase, 3×/week in stable phase (per 2023 </w:t>
            </w:r>
            <w:r w:rsidRPr="007E3A14">
              <w:rPr>
                <w:rFonts w:eastAsia="SimSun"/>
                <w:sz w:val="16"/>
                <w:szCs w:val="16"/>
              </w:rPr>
              <w:lastRenderedPageBreak/>
              <w:t>ICU MDT Consensus).</w:t>
            </w:r>
          </w:p>
        </w:tc>
        <w:tc>
          <w:tcPr>
            <w:tcW w:w="1676" w:type="dxa"/>
          </w:tcPr>
          <w:p w14:paraId="44ED8CF9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lastRenderedPageBreak/>
              <w:t>On-site observer documentation</w:t>
            </w:r>
          </w:p>
        </w:tc>
      </w:tr>
      <w:tr w:rsidR="00181676" w:rsidRPr="001C5DE2" w14:paraId="7ACE82D8" w14:textId="77777777" w:rsidTr="00966037">
        <w:tc>
          <w:tcPr>
            <w:tcW w:w="993" w:type="dxa"/>
            <w:vMerge/>
          </w:tcPr>
          <w:p w14:paraId="621BBB64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</w:tcPr>
          <w:p w14:paraId="5CF0D5E0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E49D775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2.4.3</w:t>
            </w:r>
          </w:p>
          <w:p w14:paraId="11DB5842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Standardized communication tool utilization rate</w:t>
            </w:r>
          </w:p>
        </w:tc>
        <w:tc>
          <w:tcPr>
            <w:tcW w:w="993" w:type="dxa"/>
          </w:tcPr>
          <w:p w14:paraId="26D58AA9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993" w:type="dxa"/>
          </w:tcPr>
          <w:p w14:paraId="69352F1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06" w:type="dxa"/>
          </w:tcPr>
          <w:p w14:paraId="385C59F3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Safeguard the integrity and continuity of key information in the communication process.</w:t>
            </w:r>
          </w:p>
        </w:tc>
        <w:tc>
          <w:tcPr>
            <w:tcW w:w="4451" w:type="dxa"/>
          </w:tcPr>
          <w:p w14:paraId="49F39BE3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Number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of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shifts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with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complete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handover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using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SBAR</m:t>
                    </m:r>
                  </m:num>
                  <m:den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Total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number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of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shift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handovers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  <w:p w14:paraId="21B040C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22" w:type="dxa"/>
          </w:tcPr>
          <w:p w14:paraId="01B23963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SBAR components: Situation, Background, Assessment, Recommendation, per WHO Patient Safety Guidelines.</w:t>
            </w:r>
          </w:p>
        </w:tc>
        <w:tc>
          <w:tcPr>
            <w:tcW w:w="1676" w:type="dxa"/>
          </w:tcPr>
          <w:p w14:paraId="2D5040B1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Direct observation of shift handover</w:t>
            </w:r>
          </w:p>
        </w:tc>
      </w:tr>
      <w:tr w:rsidR="00181676" w:rsidRPr="001C5DE2" w14:paraId="00A835C0" w14:textId="77777777" w:rsidTr="00966037">
        <w:tc>
          <w:tcPr>
            <w:tcW w:w="993" w:type="dxa"/>
            <w:vMerge w:val="restart"/>
          </w:tcPr>
          <w:p w14:paraId="5F7E8051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3 Outcome indicators</w:t>
            </w:r>
          </w:p>
        </w:tc>
        <w:tc>
          <w:tcPr>
            <w:tcW w:w="1133" w:type="dxa"/>
            <w:vMerge w:val="restart"/>
          </w:tcPr>
          <w:p w14:paraId="130D9A57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 xml:space="preserve">3.1 </w:t>
            </w:r>
            <w:r w:rsidRPr="007E3A14">
              <w:rPr>
                <w:sz w:val="16"/>
                <w:szCs w:val="16"/>
              </w:rPr>
              <w:t>Clinical outcomes</w:t>
            </w:r>
          </w:p>
        </w:tc>
        <w:tc>
          <w:tcPr>
            <w:tcW w:w="1134" w:type="dxa"/>
          </w:tcPr>
          <w:p w14:paraId="0BE6B933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 xml:space="preserve">3.1.1 </w:t>
            </w:r>
            <w:r w:rsidRPr="007E3A14">
              <w:rPr>
                <w:sz w:val="16"/>
                <w:szCs w:val="16"/>
              </w:rPr>
              <w:t>Septic shock incidence</w:t>
            </w:r>
          </w:p>
        </w:tc>
        <w:tc>
          <w:tcPr>
            <w:tcW w:w="993" w:type="dxa"/>
          </w:tcPr>
          <w:p w14:paraId="2D5B98D8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993" w:type="dxa"/>
          </w:tcPr>
          <w:p w14:paraId="2E035C9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06" w:type="dxa"/>
          </w:tcPr>
          <w:p w14:paraId="52045A62" w14:textId="77777777" w:rsidR="00181676" w:rsidRPr="007E3A14" w:rsidRDefault="00181676" w:rsidP="00966037">
            <w:pPr>
              <w:spacing w:after="0" w:line="480" w:lineRule="auto"/>
              <w:jc w:val="left"/>
              <w:rPr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Quantitative assessment of the efficacy of quality of care in blocking critical illness conversion.</w:t>
            </w:r>
          </w:p>
        </w:tc>
        <w:tc>
          <w:tcPr>
            <w:tcW w:w="4451" w:type="dxa"/>
          </w:tcPr>
          <w:p w14:paraId="0C0C44A9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Number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of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patients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experiencing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septic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shock</m:t>
                    </m:r>
                  </m:num>
                  <m:den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Total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sepsis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during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the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same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period</m:t>
                        </m:r>
                      </m:e>
                    </m:eqAr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</w:tc>
        <w:tc>
          <w:tcPr>
            <w:tcW w:w="1822" w:type="dxa"/>
          </w:tcPr>
          <w:p w14:paraId="4DB2BFD1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Septic shock defined as vasopressor-dependent hypotension (MAP &lt;65 mmHg) and/or persistent lactate ≥2 mmol/L despite fluid resuscitation (2021 Surviving Sepsis Campaign).</w:t>
            </w:r>
          </w:p>
        </w:tc>
        <w:tc>
          <w:tcPr>
            <w:tcW w:w="1676" w:type="dxa"/>
          </w:tcPr>
          <w:p w14:paraId="5D75862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EHR diagnostic coding and physician notes</w:t>
            </w:r>
          </w:p>
        </w:tc>
      </w:tr>
      <w:tr w:rsidR="00181676" w:rsidRPr="001C5DE2" w14:paraId="43F3F3AE" w14:textId="77777777" w:rsidTr="00966037">
        <w:tc>
          <w:tcPr>
            <w:tcW w:w="993" w:type="dxa"/>
            <w:vMerge/>
          </w:tcPr>
          <w:p w14:paraId="5022C75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/>
          </w:tcPr>
          <w:p w14:paraId="61461E1C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9FE04BE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3.1.2</w:t>
            </w:r>
          </w:p>
          <w:p w14:paraId="0108CE6F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Risk-adjusted 28-day mortality</w:t>
            </w:r>
          </w:p>
        </w:tc>
        <w:tc>
          <w:tcPr>
            <w:tcW w:w="993" w:type="dxa"/>
          </w:tcPr>
          <w:p w14:paraId="49E430E5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993" w:type="dxa"/>
          </w:tcPr>
          <w:p w14:paraId="5234A05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06" w:type="dxa"/>
          </w:tcPr>
          <w:p w14:paraId="47F875DC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Accurately expose shortcomings from the quality of care by stripping away non-nursing factors that interfere.</w:t>
            </w:r>
          </w:p>
        </w:tc>
        <w:tc>
          <w:tcPr>
            <w:tcW w:w="4451" w:type="dxa"/>
          </w:tcPr>
          <w:p w14:paraId="21CE589C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sepsis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-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related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deaths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within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28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days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hospital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admission</m:t>
                        </m:r>
                      </m:e>
                    </m:eqArr>
                  </m:num>
                  <m:den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Total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number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of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sepsis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patients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in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the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same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period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  <w:p w14:paraId="042A0A6E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SimSun" w:hAnsi="Cambria Math"/>
                    <w:sz w:val="16"/>
                    <w:szCs w:val="16"/>
                  </w:rPr>
                  <m:t>Standardized</m:t>
                </m:r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 xml:space="preserve"> </m:t>
                </m:r>
                <m:r>
                  <w:rPr>
                    <w:rFonts w:ascii="Cambria Math" w:eastAsia="SimSun" w:hAnsi="Cambria Math"/>
                    <w:sz w:val="16"/>
                    <w:szCs w:val="16"/>
                  </w:rPr>
                  <m:t>mortality</m:t>
                </m:r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 xml:space="preserve"> </m:t>
                </m:r>
                <m:r>
                  <w:rPr>
                    <w:rFonts w:ascii="Cambria Math" w:eastAsia="SimSun" w:hAnsi="Cambria Math"/>
                    <w:sz w:val="16"/>
                    <w:szCs w:val="16"/>
                  </w:rPr>
                  <m:t>ratio</m:t>
                </m:r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=</m:t>
                </m:r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Actual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mortality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rate</m:t>
                    </m:r>
                  </m:num>
                  <m:den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Projected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mortality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</w:tc>
        <w:tc>
          <w:tcPr>
            <w:tcW w:w="1822" w:type="dxa"/>
          </w:tcPr>
          <w:p w14:paraId="5BDEC273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Risk adjustment factors: baseline SOFA score, Charlson Comorbidity Index, and nurse-to-bed ratio. Predicted mortality derived from validated models (e.g., APACHE II).</w:t>
            </w:r>
          </w:p>
        </w:tc>
        <w:tc>
          <w:tcPr>
            <w:tcW w:w="1676" w:type="dxa"/>
          </w:tcPr>
          <w:p w14:paraId="0BD6A13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EHR mortality and comorbidity records</w:t>
            </w:r>
          </w:p>
        </w:tc>
      </w:tr>
      <w:tr w:rsidR="00181676" w:rsidRPr="001C5DE2" w14:paraId="39987586" w14:textId="77777777" w:rsidTr="00966037">
        <w:tc>
          <w:tcPr>
            <w:tcW w:w="993" w:type="dxa"/>
            <w:vMerge/>
          </w:tcPr>
          <w:p w14:paraId="00D82A3D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/>
          </w:tcPr>
          <w:p w14:paraId="7FD91955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6ADD468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3.1.3</w:t>
            </w:r>
          </w:p>
          <w:p w14:paraId="15BA68D5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30-day infection-related readmission rate</w:t>
            </w:r>
          </w:p>
        </w:tc>
        <w:tc>
          <w:tcPr>
            <w:tcW w:w="993" w:type="dxa"/>
          </w:tcPr>
          <w:p w14:paraId="2B547F0F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993" w:type="dxa"/>
          </w:tcPr>
          <w:p w14:paraId="639B2775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06" w:type="dxa"/>
          </w:tcPr>
          <w:p w14:paraId="52459882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Reflects continuity of care and effectiveness of infection control after hospitalization.</w:t>
            </w:r>
          </w:p>
        </w:tc>
        <w:tc>
          <w:tcPr>
            <w:tcW w:w="4451" w:type="dxa"/>
          </w:tcPr>
          <w:p w14:paraId="52F8875F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b/>
                <w:bCs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infection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-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related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unplanned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readmissions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for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sepsis</m:t>
                        </m:r>
                      </m:e>
                    </m:eqArr>
                  </m:num>
                  <m:den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Total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sepsis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discharged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during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the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same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period</m:t>
                        </m:r>
                      </m:e>
                    </m:eqAr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</w:tc>
        <w:tc>
          <w:tcPr>
            <w:tcW w:w="1822" w:type="dxa"/>
          </w:tcPr>
          <w:p w14:paraId="236E20AE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Indications: sepsis recurrence, catheter-related bloodstream infection, surgical site infection (IDSA 2023 guidelines).</w:t>
            </w:r>
          </w:p>
        </w:tc>
        <w:tc>
          <w:tcPr>
            <w:tcW w:w="1676" w:type="dxa"/>
          </w:tcPr>
          <w:p w14:paraId="52E86C88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EHR readmission diagnosis records</w:t>
            </w:r>
          </w:p>
        </w:tc>
      </w:tr>
      <w:tr w:rsidR="00181676" w:rsidRPr="001C5DE2" w14:paraId="0628018A" w14:textId="77777777" w:rsidTr="00966037">
        <w:tc>
          <w:tcPr>
            <w:tcW w:w="993" w:type="dxa"/>
            <w:vMerge/>
          </w:tcPr>
          <w:p w14:paraId="28E16089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 w:val="restart"/>
          </w:tcPr>
          <w:p w14:paraId="69412CDA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 xml:space="preserve">3.2 </w:t>
            </w:r>
            <w:r w:rsidRPr="007E3A14">
              <w:rPr>
                <w:sz w:val="16"/>
                <w:szCs w:val="16"/>
              </w:rPr>
              <w:t>Quality of care</w:t>
            </w:r>
          </w:p>
        </w:tc>
        <w:tc>
          <w:tcPr>
            <w:tcW w:w="1134" w:type="dxa"/>
          </w:tcPr>
          <w:p w14:paraId="0462932C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 xml:space="preserve">3.2.1 </w:t>
            </w:r>
            <w:r w:rsidRPr="007E3A14">
              <w:rPr>
                <w:sz w:val="16"/>
                <w:szCs w:val="16"/>
              </w:rPr>
              <w:t>The incidence of catheter-related bloodstream infections</w:t>
            </w:r>
          </w:p>
        </w:tc>
        <w:tc>
          <w:tcPr>
            <w:tcW w:w="993" w:type="dxa"/>
          </w:tcPr>
          <w:p w14:paraId="54B4A8A5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993" w:type="dxa"/>
          </w:tcPr>
          <w:p w14:paraId="31B69B7B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06" w:type="dxa"/>
          </w:tcPr>
          <w:p w14:paraId="457799D8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Reflects the standardization of nursing practice and the effectiveness of preventive measures.</w:t>
            </w:r>
          </w:p>
        </w:tc>
        <w:tc>
          <w:tcPr>
            <w:tcW w:w="4451" w:type="dxa"/>
          </w:tcPr>
          <w:p w14:paraId="1855DD58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b/>
                <w:bCs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eqArr>
                      <m:eqArrPr>
                        <m:ctrl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</m:ctrlPr>
                      </m:eqArrPr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Number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of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patients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with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sepsis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who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developed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</m:e>
                      <m:e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catheter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-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related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bloodstream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 xml:space="preserve"> </m:t>
                        </m:r>
                        <m:r>
                          <w:rPr>
                            <w:rFonts w:ascii="Cambria Math" w:eastAsia="SimSun" w:hAnsi="Cambria Math"/>
                            <w:sz w:val="16"/>
                            <w:szCs w:val="16"/>
                          </w:rPr>
                          <m:t>infections</m:t>
                        </m:r>
                      </m:e>
                    </m:eqArr>
                  </m:num>
                  <m:den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Total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number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of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sepsis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patients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in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the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same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period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</w:tc>
        <w:tc>
          <w:tcPr>
            <w:tcW w:w="1822" w:type="dxa"/>
          </w:tcPr>
          <w:p w14:paraId="311945B2" w14:textId="77777777" w:rsidR="00181676" w:rsidRPr="007E3A14" w:rsidRDefault="00181676" w:rsidP="00966037">
            <w:pPr>
              <w:spacing w:after="0" w:line="480" w:lineRule="auto"/>
              <w:jc w:val="left"/>
              <w:rPr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CRBSI defined as positive blood culture matching catheter tip culture, per CDC NHSN criteria.</w:t>
            </w:r>
          </w:p>
        </w:tc>
        <w:tc>
          <w:tcPr>
            <w:tcW w:w="1676" w:type="dxa"/>
          </w:tcPr>
          <w:p w14:paraId="31939781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EHR infection control surveillance logs</w:t>
            </w:r>
          </w:p>
        </w:tc>
      </w:tr>
      <w:tr w:rsidR="00181676" w:rsidRPr="001C5DE2" w14:paraId="224DFBBD" w14:textId="77777777" w:rsidTr="00966037">
        <w:tc>
          <w:tcPr>
            <w:tcW w:w="993" w:type="dxa"/>
            <w:vMerge/>
          </w:tcPr>
          <w:p w14:paraId="47CFBE29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/>
          </w:tcPr>
          <w:p w14:paraId="07BEF920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467E604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 xml:space="preserve">3.2.2 </w:t>
            </w:r>
            <w:r w:rsidRPr="007E3A14">
              <w:rPr>
                <w:sz w:val="16"/>
                <w:szCs w:val="16"/>
              </w:rPr>
              <w:t>The incidence of pressure ulcers</w:t>
            </w:r>
          </w:p>
        </w:tc>
        <w:tc>
          <w:tcPr>
            <w:tcW w:w="993" w:type="dxa"/>
          </w:tcPr>
          <w:p w14:paraId="60EFF36E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993" w:type="dxa"/>
          </w:tcPr>
          <w:p w14:paraId="705AA3D7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06" w:type="dxa"/>
          </w:tcPr>
          <w:p w14:paraId="604C69FC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Reflects the standardization of nursing practice and the effectiveness of preventive measures.</w:t>
            </w:r>
          </w:p>
        </w:tc>
        <w:tc>
          <w:tcPr>
            <w:tcW w:w="4451" w:type="dxa"/>
          </w:tcPr>
          <w:p w14:paraId="6E8AE48D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b/>
                <w:bCs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Number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of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septic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patients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with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pressure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ulcers</m:t>
                    </m:r>
                  </m:num>
                  <m:den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Total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number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of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sepsis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patients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in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the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same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period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</w:tc>
        <w:tc>
          <w:tcPr>
            <w:tcW w:w="1822" w:type="dxa"/>
          </w:tcPr>
          <w:p w14:paraId="616EE6AA" w14:textId="77777777" w:rsidR="00181676" w:rsidRPr="007E3A14" w:rsidRDefault="00181676" w:rsidP="00966037">
            <w:pPr>
              <w:spacing w:after="0" w:line="480" w:lineRule="auto"/>
              <w:jc w:val="left"/>
              <w:rPr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Staging per NPUAP 2016 guidelines; includes assessment frequency, repositioning, and nutritional support documentation.</w:t>
            </w:r>
          </w:p>
        </w:tc>
        <w:tc>
          <w:tcPr>
            <w:tcW w:w="1676" w:type="dxa"/>
          </w:tcPr>
          <w:p w14:paraId="7693E1E5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EHR wound care documentation</w:t>
            </w:r>
          </w:p>
        </w:tc>
      </w:tr>
      <w:tr w:rsidR="00181676" w:rsidRPr="001C5DE2" w14:paraId="12A86010" w14:textId="77777777" w:rsidTr="00966037">
        <w:tc>
          <w:tcPr>
            <w:tcW w:w="993" w:type="dxa"/>
            <w:vMerge/>
          </w:tcPr>
          <w:p w14:paraId="24BF4AB8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3" w:type="dxa"/>
            <w:vMerge/>
          </w:tcPr>
          <w:p w14:paraId="59A22C24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D843CDE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 xml:space="preserve">3.2.3 </w:t>
            </w:r>
            <w:r w:rsidRPr="007E3A14">
              <w:rPr>
                <w:sz w:val="16"/>
                <w:szCs w:val="16"/>
              </w:rPr>
              <w:t>Patient satisfaction with nursing care</w:t>
            </w:r>
          </w:p>
          <w:p w14:paraId="151FD7AF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993" w:type="dxa"/>
          </w:tcPr>
          <w:p w14:paraId="01A20F8C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rFonts w:eastAsia="SimSun"/>
                <w:sz w:val="16"/>
                <w:szCs w:val="16"/>
              </w:rPr>
              <w:t>√</w:t>
            </w:r>
          </w:p>
        </w:tc>
        <w:tc>
          <w:tcPr>
            <w:tcW w:w="993" w:type="dxa"/>
          </w:tcPr>
          <w:p w14:paraId="413B1F76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</w:p>
        </w:tc>
        <w:tc>
          <w:tcPr>
            <w:tcW w:w="1806" w:type="dxa"/>
          </w:tcPr>
          <w:p w14:paraId="1432D527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>Reflects the overall quality of nursing services in terms of humanistic care, communication efficacy and technical operation.</w:t>
            </w:r>
          </w:p>
        </w:tc>
        <w:tc>
          <w:tcPr>
            <w:tcW w:w="4451" w:type="dxa"/>
          </w:tcPr>
          <w:p w14:paraId="7D27EB97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SimSun" w:hAnsi="Cambria Math"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Actual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score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on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satisfaction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questionnaire</m:t>
                    </m:r>
                  </m:num>
                  <m:den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Total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satisfaction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questionnaire</m:t>
                    </m:r>
                    <m:r>
                      <m:rPr>
                        <m:sty m:val="p"/>
                      </m:rP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 xml:space="preserve"> </m:t>
                    </m:r>
                    <m:r>
                      <w:rPr>
                        <w:rFonts w:ascii="Cambria Math" w:eastAsia="SimSun" w:hAnsi="Cambria Math"/>
                        <w:sz w:val="16"/>
                        <w:szCs w:val="16"/>
                      </w:rPr>
                      <m:t>score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SimSun" w:hAnsi="Cambria Math"/>
                    <w:sz w:val="16"/>
                    <w:szCs w:val="16"/>
                  </w:rPr>
                  <m:t>×100%</m:t>
                </m:r>
              </m:oMath>
            </m:oMathPara>
          </w:p>
        </w:tc>
        <w:tc>
          <w:tcPr>
            <w:tcW w:w="1822" w:type="dxa"/>
          </w:tcPr>
          <w:p w14:paraId="7F86096C" w14:textId="77777777" w:rsidR="00181676" w:rsidRPr="007E3A14" w:rsidRDefault="00181676" w:rsidP="00966037">
            <w:pPr>
              <w:spacing w:after="0" w:line="480" w:lineRule="auto"/>
              <w:jc w:val="left"/>
              <w:rPr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t xml:space="preserve">Standardized inpatient satisfaction survey (e.g., Press Ganey), focusing on sepsis-specific care elements (e.g., explanation of treatment, </w:t>
            </w:r>
            <w:r w:rsidRPr="007E3A14">
              <w:rPr>
                <w:sz w:val="16"/>
                <w:szCs w:val="16"/>
              </w:rPr>
              <w:lastRenderedPageBreak/>
              <w:t>timely response to needs).</w:t>
            </w:r>
          </w:p>
        </w:tc>
        <w:tc>
          <w:tcPr>
            <w:tcW w:w="1676" w:type="dxa"/>
          </w:tcPr>
          <w:p w14:paraId="542460F4" w14:textId="77777777" w:rsidR="00181676" w:rsidRPr="007E3A14" w:rsidRDefault="00181676" w:rsidP="00966037">
            <w:pPr>
              <w:spacing w:after="0" w:line="480" w:lineRule="auto"/>
              <w:jc w:val="left"/>
              <w:rPr>
                <w:rFonts w:eastAsia="SimSun"/>
                <w:sz w:val="16"/>
                <w:szCs w:val="16"/>
              </w:rPr>
            </w:pPr>
            <w:r w:rsidRPr="007E3A14">
              <w:rPr>
                <w:sz w:val="16"/>
                <w:szCs w:val="16"/>
              </w:rPr>
              <w:lastRenderedPageBreak/>
              <w:t>Hospital Patient Satisfaction Survey System</w:t>
            </w:r>
          </w:p>
        </w:tc>
      </w:tr>
    </w:tbl>
    <w:p w14:paraId="6079FD1C" w14:textId="77777777" w:rsidR="00181676" w:rsidRPr="001C5DE2" w:rsidRDefault="00181676" w:rsidP="00181676">
      <w:pPr>
        <w:spacing w:after="0" w:line="480" w:lineRule="auto"/>
        <w:rPr>
          <w:rFonts w:ascii="Times New Roman" w:hAnsi="Times New Roman" w:cs="Times New Roman"/>
          <w:sz w:val="24"/>
          <w:szCs w:val="24"/>
        </w:rPr>
        <w:sectPr w:rsidR="00181676" w:rsidRPr="001C5DE2" w:rsidSect="00181676">
          <w:pgSz w:w="16838" w:h="11906" w:orient="landscape"/>
          <w:pgMar w:top="1440" w:right="1800" w:bottom="1440" w:left="1800" w:header="851" w:footer="992" w:gutter="0"/>
          <w:cols w:space="0"/>
          <w:docGrid w:type="lines" w:linePitch="319"/>
        </w:sectPr>
      </w:pPr>
    </w:p>
    <w:p w14:paraId="42EFF6F6" w14:textId="77777777" w:rsidR="00181676" w:rsidRDefault="00181676" w:rsidP="00181676">
      <w:pPr>
        <w:widowControl/>
        <w:jc w:val="left"/>
        <w:rPr>
          <w:rFonts w:ascii="Times New Roman" w:eastAsia="SimHei" w:hAnsi="Times New Roman" w:cs="Times New Roman"/>
          <w:b/>
          <w:bCs/>
          <w:sz w:val="24"/>
          <w:szCs w:val="24"/>
        </w:rPr>
      </w:pPr>
      <w:r>
        <w:rPr>
          <w:rFonts w:ascii="Times New Roman" w:eastAsia="SimHei" w:hAnsi="Times New Roman" w:cs="Times New Roman"/>
          <w:b/>
          <w:bCs/>
          <w:sz w:val="24"/>
          <w:szCs w:val="24"/>
        </w:rPr>
        <w:lastRenderedPageBreak/>
        <w:br w:type="page"/>
      </w:r>
    </w:p>
    <w:p w14:paraId="0AE20267" w14:textId="77777777" w:rsidR="00181676" w:rsidRPr="001C5DE2" w:rsidRDefault="00181676" w:rsidP="00181676">
      <w:pPr>
        <w:spacing w:after="0" w:line="480" w:lineRule="auto"/>
        <w:ind w:rightChars="-297" w:right="-624"/>
        <w:rPr>
          <w:rFonts w:ascii="Times New Roman" w:eastAsia="SimHei" w:hAnsi="Times New Roman" w:cs="Times New Roman"/>
          <w:sz w:val="24"/>
          <w:szCs w:val="24"/>
        </w:rPr>
      </w:pPr>
      <w:r w:rsidRPr="00403FD3">
        <w:rPr>
          <w:rFonts w:ascii="Times New Roman" w:eastAsia="SimHei" w:hAnsi="Times New Roman" w:cs="Times New Roman"/>
          <w:b/>
          <w:bCs/>
          <w:sz w:val="24"/>
          <w:szCs w:val="24"/>
        </w:rPr>
        <w:lastRenderedPageBreak/>
        <w:t>Table 11.</w:t>
      </w:r>
      <w:r w:rsidRPr="001C5DE2">
        <w:rPr>
          <w:rFonts w:ascii="Times New Roman" w:eastAsia="SimHei" w:hAnsi="Times New Roman" w:cs="Times New Roman"/>
          <w:sz w:val="24"/>
          <w:szCs w:val="24"/>
        </w:rPr>
        <w:t xml:space="preserve"> Weighting System for Sensitive Indicators of Sepsis Care</w:t>
      </w:r>
    </w:p>
    <w:tbl>
      <w:tblPr>
        <w:tblW w:w="13552" w:type="dxa"/>
        <w:tblLayout w:type="fixed"/>
        <w:tblLook w:val="04A0" w:firstRow="1" w:lastRow="0" w:firstColumn="1" w:lastColumn="0" w:noHBand="0" w:noVBand="1"/>
      </w:tblPr>
      <w:tblGrid>
        <w:gridCol w:w="1416"/>
        <w:gridCol w:w="1278"/>
        <w:gridCol w:w="3827"/>
        <w:gridCol w:w="1348"/>
        <w:gridCol w:w="1358"/>
        <w:gridCol w:w="1416"/>
        <w:gridCol w:w="1195"/>
        <w:gridCol w:w="1714"/>
      </w:tblGrid>
      <w:tr w:rsidR="00181676" w:rsidRPr="001C5DE2" w14:paraId="309FBA9A" w14:textId="77777777" w:rsidTr="00966037">
        <w:trPr>
          <w:trHeight w:val="285"/>
        </w:trPr>
        <w:tc>
          <w:tcPr>
            <w:tcW w:w="141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</w:tcPr>
          <w:p w14:paraId="1B82E46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Primary indicators</w:t>
            </w:r>
          </w:p>
        </w:tc>
        <w:tc>
          <w:tcPr>
            <w:tcW w:w="127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</w:tcPr>
          <w:p w14:paraId="078081E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Primary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w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eights</w:t>
            </w:r>
          </w:p>
        </w:tc>
        <w:tc>
          <w:tcPr>
            <w:tcW w:w="382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</w:tcPr>
          <w:p w14:paraId="68056AB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Secondary indicators</w:t>
            </w:r>
          </w:p>
        </w:tc>
        <w:tc>
          <w:tcPr>
            <w:tcW w:w="134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</w:tcPr>
          <w:p w14:paraId="32DCC85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Secondary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w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eights</w:t>
            </w:r>
          </w:p>
        </w:tc>
        <w:tc>
          <w:tcPr>
            <w:tcW w:w="135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</w:tcPr>
          <w:p w14:paraId="5AFEE98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Combined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w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eights</w:t>
            </w:r>
          </w:p>
        </w:tc>
        <w:tc>
          <w:tcPr>
            <w:tcW w:w="141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</w:tcPr>
          <w:p w14:paraId="0052C3A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Tertiary indicators</w:t>
            </w:r>
          </w:p>
        </w:tc>
        <w:tc>
          <w:tcPr>
            <w:tcW w:w="119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</w:tcPr>
          <w:p w14:paraId="0228BA0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Tertiary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w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eights</w:t>
            </w:r>
          </w:p>
        </w:tc>
        <w:tc>
          <w:tcPr>
            <w:tcW w:w="171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</w:tcPr>
          <w:p w14:paraId="6F76838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Combined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w</w:t>
            </w: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eights</w:t>
            </w:r>
          </w:p>
        </w:tc>
      </w:tr>
      <w:tr w:rsidR="00181676" w:rsidRPr="001C5DE2" w14:paraId="072EBF57" w14:textId="77777777" w:rsidTr="00966037">
        <w:trPr>
          <w:trHeight w:val="285"/>
        </w:trPr>
        <w:tc>
          <w:tcPr>
            <w:tcW w:w="1416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7AC67C5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Structural indicators</w:t>
            </w:r>
          </w:p>
        </w:tc>
        <w:tc>
          <w:tcPr>
            <w:tcW w:w="1278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2B9CD9A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0.3119 </w:t>
            </w:r>
          </w:p>
        </w:tc>
        <w:tc>
          <w:tcPr>
            <w:tcW w:w="3827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3B563FB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1.1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Human resource allocation</w:t>
            </w:r>
          </w:p>
        </w:tc>
        <w:tc>
          <w:tcPr>
            <w:tcW w:w="1348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76D7593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0.3119 </w:t>
            </w:r>
          </w:p>
        </w:tc>
        <w:tc>
          <w:tcPr>
            <w:tcW w:w="1358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3E85CDD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0.0973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E35D87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BE2BA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0.3202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9D075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0.0312</w:t>
            </w:r>
          </w:p>
        </w:tc>
      </w:tr>
      <w:tr w:rsidR="00181676" w:rsidRPr="001C5DE2" w14:paraId="2D6ADBFA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right w:val="nil"/>
            </w:tcBorders>
            <w:noWrap/>
          </w:tcPr>
          <w:p w14:paraId="276F2B5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right w:val="nil"/>
            </w:tcBorders>
            <w:noWrap/>
          </w:tcPr>
          <w:p w14:paraId="6EDDC3E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left w:val="nil"/>
              <w:right w:val="nil"/>
            </w:tcBorders>
            <w:noWrap/>
          </w:tcPr>
          <w:p w14:paraId="4CB149F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nil"/>
              <w:right w:val="nil"/>
            </w:tcBorders>
            <w:noWrap/>
          </w:tcPr>
          <w:p w14:paraId="486F428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  <w:vMerge/>
            <w:tcBorders>
              <w:left w:val="nil"/>
              <w:right w:val="nil"/>
            </w:tcBorders>
            <w:noWrap/>
          </w:tcPr>
          <w:p w14:paraId="6F57040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843B24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81C21B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0.1226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A4753E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0.0119</w:t>
            </w:r>
          </w:p>
        </w:tc>
      </w:tr>
      <w:tr w:rsidR="00181676" w:rsidRPr="001C5DE2" w14:paraId="3329C8DC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right w:val="nil"/>
            </w:tcBorders>
            <w:noWrap/>
          </w:tcPr>
          <w:p w14:paraId="7785C07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right w:val="nil"/>
            </w:tcBorders>
            <w:noWrap/>
          </w:tcPr>
          <w:p w14:paraId="61365DD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left w:val="nil"/>
              <w:bottom w:val="nil"/>
              <w:right w:val="nil"/>
            </w:tcBorders>
            <w:noWrap/>
          </w:tcPr>
          <w:p w14:paraId="7DBBDB3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nil"/>
              <w:bottom w:val="nil"/>
              <w:right w:val="nil"/>
            </w:tcBorders>
            <w:noWrap/>
          </w:tcPr>
          <w:p w14:paraId="2AD50D4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  <w:vMerge/>
            <w:tcBorders>
              <w:left w:val="nil"/>
              <w:bottom w:val="nil"/>
              <w:right w:val="nil"/>
            </w:tcBorders>
            <w:noWrap/>
          </w:tcPr>
          <w:p w14:paraId="4A6BC11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2DBC78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482720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0.5571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5CD37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0.0542</w:t>
            </w:r>
          </w:p>
        </w:tc>
      </w:tr>
      <w:tr w:rsidR="00181676" w:rsidRPr="001C5DE2" w14:paraId="02F36D60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right w:val="nil"/>
            </w:tcBorders>
            <w:noWrap/>
          </w:tcPr>
          <w:p w14:paraId="650B7C2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right w:val="nil"/>
            </w:tcBorders>
            <w:noWrap/>
          </w:tcPr>
          <w:p w14:paraId="04A6FB6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15065A7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1.2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Knowledge and skill training</w:t>
            </w:r>
          </w:p>
        </w:tc>
        <w:tc>
          <w:tcPr>
            <w:tcW w:w="1348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2FC9FAE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0.4905 </w:t>
            </w:r>
          </w:p>
        </w:tc>
        <w:tc>
          <w:tcPr>
            <w:tcW w:w="1358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72AB17B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0.1530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8B93F8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1.2.1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5C7616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0.7500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CEFB4A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0.1147</w:t>
            </w:r>
          </w:p>
        </w:tc>
      </w:tr>
      <w:tr w:rsidR="00181676" w:rsidRPr="001C5DE2" w14:paraId="4DC9FB25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right w:val="nil"/>
            </w:tcBorders>
            <w:noWrap/>
          </w:tcPr>
          <w:p w14:paraId="4FB7C08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right w:val="nil"/>
            </w:tcBorders>
            <w:noWrap/>
          </w:tcPr>
          <w:p w14:paraId="576123C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left w:val="nil"/>
              <w:bottom w:val="nil"/>
              <w:right w:val="nil"/>
            </w:tcBorders>
            <w:noWrap/>
          </w:tcPr>
          <w:p w14:paraId="44A57C8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nil"/>
              <w:bottom w:val="nil"/>
              <w:right w:val="nil"/>
            </w:tcBorders>
            <w:noWrap/>
          </w:tcPr>
          <w:p w14:paraId="1BA62F1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  <w:vMerge/>
            <w:tcBorders>
              <w:left w:val="nil"/>
              <w:bottom w:val="nil"/>
              <w:right w:val="nil"/>
            </w:tcBorders>
            <w:noWrap/>
          </w:tcPr>
          <w:p w14:paraId="5169511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596B2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1.2.2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7071B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0.2500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C6417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0.0382</w:t>
            </w:r>
          </w:p>
        </w:tc>
      </w:tr>
      <w:tr w:rsidR="00181676" w:rsidRPr="001C5DE2" w14:paraId="540F8805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right w:val="nil"/>
            </w:tcBorders>
            <w:noWrap/>
          </w:tcPr>
          <w:p w14:paraId="58B4ABE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right w:val="nil"/>
            </w:tcBorders>
            <w:noWrap/>
          </w:tcPr>
          <w:p w14:paraId="2632D71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07726CF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1.3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Multidisciplinary Teamwork</w:t>
            </w:r>
          </w:p>
        </w:tc>
        <w:tc>
          <w:tcPr>
            <w:tcW w:w="1348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4BCB10E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0.1976 </w:t>
            </w:r>
          </w:p>
        </w:tc>
        <w:tc>
          <w:tcPr>
            <w:tcW w:w="1358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485356B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0.0616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326F3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1.3.1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9E073E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0.2500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CC561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0.0154</w:t>
            </w:r>
          </w:p>
        </w:tc>
      </w:tr>
      <w:tr w:rsidR="00181676" w:rsidRPr="001C5DE2" w14:paraId="28C4040B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bottom w:val="nil"/>
              <w:right w:val="nil"/>
            </w:tcBorders>
            <w:noWrap/>
          </w:tcPr>
          <w:p w14:paraId="72E2159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bottom w:val="nil"/>
              <w:right w:val="nil"/>
            </w:tcBorders>
            <w:noWrap/>
          </w:tcPr>
          <w:p w14:paraId="6662F94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left w:val="nil"/>
              <w:bottom w:val="nil"/>
              <w:right w:val="nil"/>
            </w:tcBorders>
            <w:noWrap/>
          </w:tcPr>
          <w:p w14:paraId="7E02E8B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nil"/>
              <w:bottom w:val="nil"/>
              <w:right w:val="nil"/>
            </w:tcBorders>
            <w:noWrap/>
          </w:tcPr>
          <w:p w14:paraId="50A5D9D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  <w:vMerge/>
            <w:tcBorders>
              <w:left w:val="nil"/>
              <w:bottom w:val="nil"/>
              <w:right w:val="nil"/>
            </w:tcBorders>
            <w:noWrap/>
          </w:tcPr>
          <w:p w14:paraId="05A2092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46226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1.3.2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1A22E8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0.7500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5DF762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0.0462</w:t>
            </w:r>
          </w:p>
        </w:tc>
      </w:tr>
      <w:tr w:rsidR="00181676" w:rsidRPr="001C5DE2" w14:paraId="297F6102" w14:textId="77777777" w:rsidTr="00966037">
        <w:trPr>
          <w:trHeight w:val="285"/>
        </w:trPr>
        <w:tc>
          <w:tcPr>
            <w:tcW w:w="1416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02DBEB7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Process indicators</w:t>
            </w:r>
          </w:p>
        </w:tc>
        <w:tc>
          <w:tcPr>
            <w:tcW w:w="1278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49E438E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0.4905 </w:t>
            </w:r>
          </w:p>
        </w:tc>
        <w:tc>
          <w:tcPr>
            <w:tcW w:w="3827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5367AA2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2.1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Early identification</w:t>
            </w:r>
          </w:p>
        </w:tc>
        <w:tc>
          <w:tcPr>
            <w:tcW w:w="1348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4AF72F1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0.1625 </w:t>
            </w:r>
          </w:p>
        </w:tc>
        <w:tc>
          <w:tcPr>
            <w:tcW w:w="1358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07D5B96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0.0797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D35910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2.1.1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09D51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0.7500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40D6D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0.0598</w:t>
            </w:r>
          </w:p>
        </w:tc>
      </w:tr>
      <w:tr w:rsidR="00181676" w:rsidRPr="001C5DE2" w14:paraId="31A1E63C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right w:val="nil"/>
            </w:tcBorders>
            <w:noWrap/>
          </w:tcPr>
          <w:p w14:paraId="16B94E3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right w:val="nil"/>
            </w:tcBorders>
            <w:noWrap/>
          </w:tcPr>
          <w:p w14:paraId="5DFA483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left w:val="nil"/>
              <w:bottom w:val="nil"/>
              <w:right w:val="nil"/>
            </w:tcBorders>
            <w:noWrap/>
          </w:tcPr>
          <w:p w14:paraId="65B0E3E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nil"/>
              <w:bottom w:val="nil"/>
              <w:right w:val="nil"/>
            </w:tcBorders>
            <w:noWrap/>
          </w:tcPr>
          <w:p w14:paraId="4E232BA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  <w:vMerge/>
            <w:tcBorders>
              <w:left w:val="nil"/>
              <w:bottom w:val="nil"/>
              <w:right w:val="nil"/>
            </w:tcBorders>
            <w:noWrap/>
          </w:tcPr>
          <w:p w14:paraId="364E2AE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D121E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2.1.2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50EA56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0.2500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DEB943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0.0199</w:t>
            </w:r>
          </w:p>
        </w:tc>
      </w:tr>
      <w:tr w:rsidR="00181676" w:rsidRPr="001C5DE2" w14:paraId="11D5B081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right w:val="nil"/>
            </w:tcBorders>
            <w:noWrap/>
          </w:tcPr>
          <w:p w14:paraId="2B0A66F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right w:val="nil"/>
            </w:tcBorders>
            <w:noWrap/>
          </w:tcPr>
          <w:p w14:paraId="491DAD8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129822E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2.2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Early intervention</w:t>
            </w:r>
          </w:p>
        </w:tc>
        <w:tc>
          <w:tcPr>
            <w:tcW w:w="1348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717F336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0.2260 </w:t>
            </w:r>
          </w:p>
        </w:tc>
        <w:tc>
          <w:tcPr>
            <w:tcW w:w="1358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37E5026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0.1108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9A754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2.2.1 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B92C7D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0.3264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908634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0.0362</w:t>
            </w:r>
          </w:p>
        </w:tc>
      </w:tr>
      <w:tr w:rsidR="00181676" w:rsidRPr="001C5DE2" w14:paraId="290C9285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right w:val="nil"/>
            </w:tcBorders>
            <w:noWrap/>
          </w:tcPr>
          <w:p w14:paraId="4DE0F53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right w:val="nil"/>
            </w:tcBorders>
            <w:noWrap/>
          </w:tcPr>
          <w:p w14:paraId="4A2B38B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left w:val="nil"/>
              <w:right w:val="nil"/>
            </w:tcBorders>
            <w:noWrap/>
          </w:tcPr>
          <w:p w14:paraId="772B64C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nil"/>
              <w:right w:val="nil"/>
            </w:tcBorders>
            <w:noWrap/>
          </w:tcPr>
          <w:p w14:paraId="56C5E4C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  <w:vMerge/>
            <w:tcBorders>
              <w:left w:val="nil"/>
              <w:right w:val="nil"/>
            </w:tcBorders>
            <w:noWrap/>
          </w:tcPr>
          <w:p w14:paraId="00E6B96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E62873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2.2.2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EA460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0.1219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A8DB2A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0.0135</w:t>
            </w:r>
          </w:p>
        </w:tc>
      </w:tr>
      <w:tr w:rsidR="00181676" w:rsidRPr="001C5DE2" w14:paraId="4DCECC54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right w:val="nil"/>
            </w:tcBorders>
            <w:noWrap/>
          </w:tcPr>
          <w:p w14:paraId="625DB75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right w:val="nil"/>
            </w:tcBorders>
            <w:noWrap/>
          </w:tcPr>
          <w:p w14:paraId="404F088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left w:val="nil"/>
              <w:right w:val="nil"/>
            </w:tcBorders>
            <w:noWrap/>
          </w:tcPr>
          <w:p w14:paraId="3306016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nil"/>
              <w:right w:val="nil"/>
            </w:tcBorders>
            <w:noWrap/>
          </w:tcPr>
          <w:p w14:paraId="08716DC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  <w:vMerge/>
            <w:tcBorders>
              <w:left w:val="nil"/>
              <w:right w:val="nil"/>
            </w:tcBorders>
            <w:noWrap/>
          </w:tcPr>
          <w:p w14:paraId="028DCB4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BB538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2.2.3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18056D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0.1742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391073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0.0193</w:t>
            </w:r>
          </w:p>
        </w:tc>
      </w:tr>
      <w:tr w:rsidR="00181676" w:rsidRPr="001C5DE2" w14:paraId="5B82BBD5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right w:val="nil"/>
            </w:tcBorders>
            <w:noWrap/>
          </w:tcPr>
          <w:p w14:paraId="11819C5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right w:val="nil"/>
            </w:tcBorders>
            <w:noWrap/>
          </w:tcPr>
          <w:p w14:paraId="3456952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left w:val="nil"/>
              <w:right w:val="nil"/>
            </w:tcBorders>
            <w:noWrap/>
          </w:tcPr>
          <w:p w14:paraId="78A60A0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nil"/>
              <w:right w:val="nil"/>
            </w:tcBorders>
            <w:noWrap/>
          </w:tcPr>
          <w:p w14:paraId="14DBCC9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  <w:vMerge/>
            <w:tcBorders>
              <w:left w:val="nil"/>
              <w:right w:val="nil"/>
            </w:tcBorders>
            <w:noWrap/>
          </w:tcPr>
          <w:p w14:paraId="4F43B3A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350443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2.2.4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954F7E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0.2178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B7F6C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0.0241</w:t>
            </w:r>
          </w:p>
        </w:tc>
      </w:tr>
      <w:tr w:rsidR="00181676" w:rsidRPr="001C5DE2" w14:paraId="0976DC5B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right w:val="nil"/>
            </w:tcBorders>
            <w:noWrap/>
          </w:tcPr>
          <w:p w14:paraId="416CB35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right w:val="nil"/>
            </w:tcBorders>
            <w:noWrap/>
          </w:tcPr>
          <w:p w14:paraId="02281B9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left w:val="nil"/>
              <w:right w:val="nil"/>
            </w:tcBorders>
            <w:noWrap/>
          </w:tcPr>
          <w:p w14:paraId="57B66E2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nil"/>
              <w:right w:val="nil"/>
            </w:tcBorders>
            <w:noWrap/>
          </w:tcPr>
          <w:p w14:paraId="0CACBE4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  <w:vMerge/>
            <w:tcBorders>
              <w:left w:val="nil"/>
              <w:right w:val="nil"/>
            </w:tcBorders>
            <w:noWrap/>
          </w:tcPr>
          <w:p w14:paraId="5A0BF6F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0F424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2.2.5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C6E1C4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0.0968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740512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0.0107</w:t>
            </w:r>
          </w:p>
        </w:tc>
      </w:tr>
      <w:tr w:rsidR="00181676" w:rsidRPr="001C5DE2" w14:paraId="62F63C43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right w:val="nil"/>
            </w:tcBorders>
            <w:noWrap/>
          </w:tcPr>
          <w:p w14:paraId="2FF03A9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right w:val="nil"/>
            </w:tcBorders>
            <w:noWrap/>
          </w:tcPr>
          <w:p w14:paraId="2E04A12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left w:val="nil"/>
              <w:bottom w:val="nil"/>
              <w:right w:val="nil"/>
            </w:tcBorders>
            <w:noWrap/>
          </w:tcPr>
          <w:p w14:paraId="02A7170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nil"/>
              <w:bottom w:val="nil"/>
              <w:right w:val="nil"/>
            </w:tcBorders>
            <w:noWrap/>
          </w:tcPr>
          <w:p w14:paraId="5F2B5AC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  <w:vMerge/>
            <w:tcBorders>
              <w:left w:val="nil"/>
              <w:bottom w:val="nil"/>
              <w:right w:val="nil"/>
            </w:tcBorders>
            <w:noWrap/>
          </w:tcPr>
          <w:p w14:paraId="1D46927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6C8CC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2.2.6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A60BF8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0.0629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CA14C3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0.0070</w:t>
            </w:r>
          </w:p>
        </w:tc>
      </w:tr>
      <w:tr w:rsidR="00181676" w:rsidRPr="001C5DE2" w14:paraId="71F7A9B9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right w:val="nil"/>
            </w:tcBorders>
            <w:noWrap/>
          </w:tcPr>
          <w:p w14:paraId="1B72C57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right w:val="nil"/>
            </w:tcBorders>
            <w:noWrap/>
          </w:tcPr>
          <w:p w14:paraId="1D0E01A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3D624FF1" w14:textId="77777777" w:rsidR="00181676" w:rsidRPr="001C5DE2" w:rsidRDefault="00181676" w:rsidP="00966037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2.3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Monitoring techniques</w:t>
            </w:r>
          </w:p>
          <w:p w14:paraId="7FA1961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7507930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0.5069 </w:t>
            </w:r>
          </w:p>
        </w:tc>
        <w:tc>
          <w:tcPr>
            <w:tcW w:w="1358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3EA1111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0.2486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19A88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2.3.1 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763F31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0.3246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720A0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0.0807</w:t>
            </w:r>
          </w:p>
        </w:tc>
      </w:tr>
      <w:tr w:rsidR="00181676" w:rsidRPr="001C5DE2" w14:paraId="759ABED1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right w:val="nil"/>
            </w:tcBorders>
            <w:noWrap/>
          </w:tcPr>
          <w:p w14:paraId="45370FB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right w:val="nil"/>
            </w:tcBorders>
            <w:noWrap/>
          </w:tcPr>
          <w:p w14:paraId="6C630D3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left w:val="nil"/>
              <w:right w:val="nil"/>
            </w:tcBorders>
            <w:noWrap/>
          </w:tcPr>
          <w:p w14:paraId="2EFFBF9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nil"/>
              <w:right w:val="nil"/>
            </w:tcBorders>
            <w:noWrap/>
          </w:tcPr>
          <w:p w14:paraId="2466DDF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  <w:vMerge/>
            <w:tcBorders>
              <w:left w:val="nil"/>
              <w:right w:val="nil"/>
            </w:tcBorders>
            <w:noWrap/>
          </w:tcPr>
          <w:p w14:paraId="195D8D0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F8A9B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2.3.2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293158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0.2164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AE1CF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0.0538</w:t>
            </w:r>
          </w:p>
        </w:tc>
      </w:tr>
      <w:tr w:rsidR="00181676" w:rsidRPr="001C5DE2" w14:paraId="49C67FE8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right w:val="nil"/>
            </w:tcBorders>
            <w:noWrap/>
          </w:tcPr>
          <w:p w14:paraId="4C975ED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right w:val="nil"/>
            </w:tcBorders>
            <w:noWrap/>
          </w:tcPr>
          <w:p w14:paraId="661F701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left w:val="nil"/>
              <w:right w:val="nil"/>
            </w:tcBorders>
            <w:noWrap/>
          </w:tcPr>
          <w:p w14:paraId="5F1C35D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nil"/>
              <w:right w:val="nil"/>
            </w:tcBorders>
            <w:noWrap/>
          </w:tcPr>
          <w:p w14:paraId="5849586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  <w:vMerge/>
            <w:tcBorders>
              <w:left w:val="nil"/>
              <w:right w:val="nil"/>
            </w:tcBorders>
            <w:noWrap/>
          </w:tcPr>
          <w:p w14:paraId="10D0900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C33248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2.3.3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0C444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0.1729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A4225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0.0430</w:t>
            </w:r>
          </w:p>
        </w:tc>
      </w:tr>
      <w:tr w:rsidR="00181676" w:rsidRPr="001C5DE2" w14:paraId="425D7F07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right w:val="nil"/>
            </w:tcBorders>
            <w:noWrap/>
          </w:tcPr>
          <w:p w14:paraId="5F25BD5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right w:val="nil"/>
            </w:tcBorders>
            <w:noWrap/>
          </w:tcPr>
          <w:p w14:paraId="45DEDA6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left w:val="nil"/>
              <w:right w:val="nil"/>
            </w:tcBorders>
            <w:noWrap/>
          </w:tcPr>
          <w:p w14:paraId="116D62A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nil"/>
              <w:right w:val="nil"/>
            </w:tcBorders>
            <w:noWrap/>
          </w:tcPr>
          <w:p w14:paraId="2C6F8F1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  <w:vMerge/>
            <w:tcBorders>
              <w:left w:val="nil"/>
              <w:right w:val="nil"/>
            </w:tcBorders>
            <w:noWrap/>
          </w:tcPr>
          <w:p w14:paraId="4ED0618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B3B716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2.3.4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2798C8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0.1313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C11CFC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0.0326</w:t>
            </w:r>
          </w:p>
        </w:tc>
      </w:tr>
      <w:tr w:rsidR="00181676" w:rsidRPr="001C5DE2" w14:paraId="2623F6CE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right w:val="nil"/>
            </w:tcBorders>
            <w:noWrap/>
          </w:tcPr>
          <w:p w14:paraId="17DF190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right w:val="nil"/>
            </w:tcBorders>
            <w:noWrap/>
          </w:tcPr>
          <w:p w14:paraId="64D08B3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left w:val="nil"/>
              <w:right w:val="nil"/>
            </w:tcBorders>
            <w:noWrap/>
          </w:tcPr>
          <w:p w14:paraId="2F7AB7F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nil"/>
              <w:right w:val="nil"/>
            </w:tcBorders>
            <w:noWrap/>
          </w:tcPr>
          <w:p w14:paraId="11F074E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  <w:vMerge/>
            <w:tcBorders>
              <w:left w:val="nil"/>
              <w:right w:val="nil"/>
            </w:tcBorders>
            <w:noWrap/>
          </w:tcPr>
          <w:p w14:paraId="50C139D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D43C2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2.3.5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C15731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0.0956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DED5D5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0.0238</w:t>
            </w:r>
          </w:p>
        </w:tc>
      </w:tr>
      <w:tr w:rsidR="00181676" w:rsidRPr="001C5DE2" w14:paraId="6761EEB3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right w:val="nil"/>
            </w:tcBorders>
            <w:noWrap/>
          </w:tcPr>
          <w:p w14:paraId="4CC008E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right w:val="nil"/>
            </w:tcBorders>
            <w:noWrap/>
          </w:tcPr>
          <w:p w14:paraId="7E21D45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left w:val="nil"/>
              <w:bottom w:val="nil"/>
              <w:right w:val="nil"/>
            </w:tcBorders>
            <w:noWrap/>
          </w:tcPr>
          <w:p w14:paraId="72DAF7D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nil"/>
              <w:bottom w:val="nil"/>
              <w:right w:val="nil"/>
            </w:tcBorders>
            <w:noWrap/>
          </w:tcPr>
          <w:p w14:paraId="55622FB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  <w:vMerge/>
            <w:tcBorders>
              <w:left w:val="nil"/>
              <w:bottom w:val="nil"/>
              <w:right w:val="nil"/>
            </w:tcBorders>
            <w:noWrap/>
          </w:tcPr>
          <w:p w14:paraId="32CE80F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37322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2.3.6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8B6CD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0.0592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DA4A5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0.0147</w:t>
            </w:r>
          </w:p>
        </w:tc>
      </w:tr>
      <w:tr w:rsidR="00181676" w:rsidRPr="001C5DE2" w14:paraId="4F4359D1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right w:val="nil"/>
            </w:tcBorders>
            <w:noWrap/>
          </w:tcPr>
          <w:p w14:paraId="330F2AB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right w:val="nil"/>
            </w:tcBorders>
            <w:noWrap/>
          </w:tcPr>
          <w:p w14:paraId="67E742B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2DF841B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2.4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Multidisciplinary collaborative processes</w:t>
            </w:r>
          </w:p>
        </w:tc>
        <w:tc>
          <w:tcPr>
            <w:tcW w:w="1348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27FD3F3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0.1046 </w:t>
            </w:r>
          </w:p>
        </w:tc>
        <w:tc>
          <w:tcPr>
            <w:tcW w:w="1358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396F6DA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0.0513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CFB5B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2.4.1 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57AA02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0.1593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5E788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0.0082</w:t>
            </w:r>
          </w:p>
        </w:tc>
      </w:tr>
      <w:tr w:rsidR="00181676" w:rsidRPr="001C5DE2" w14:paraId="43882DF1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right w:val="nil"/>
            </w:tcBorders>
            <w:noWrap/>
          </w:tcPr>
          <w:p w14:paraId="65D9815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right w:val="nil"/>
            </w:tcBorders>
            <w:noWrap/>
          </w:tcPr>
          <w:p w14:paraId="6444AFD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left w:val="nil"/>
              <w:right w:val="nil"/>
            </w:tcBorders>
            <w:noWrap/>
          </w:tcPr>
          <w:p w14:paraId="3A1AA9E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nil"/>
              <w:right w:val="nil"/>
            </w:tcBorders>
            <w:noWrap/>
          </w:tcPr>
          <w:p w14:paraId="2BF4610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  <w:vMerge/>
            <w:tcBorders>
              <w:left w:val="nil"/>
              <w:right w:val="nil"/>
            </w:tcBorders>
            <w:noWrap/>
          </w:tcPr>
          <w:p w14:paraId="593C05A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EB231B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2.4.2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529DC9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0.5889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201A0F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0.0302</w:t>
            </w:r>
          </w:p>
        </w:tc>
      </w:tr>
      <w:tr w:rsidR="00181676" w:rsidRPr="001C5DE2" w14:paraId="6F308B9A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bottom w:val="nil"/>
              <w:right w:val="nil"/>
            </w:tcBorders>
            <w:noWrap/>
          </w:tcPr>
          <w:p w14:paraId="5A57621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bottom w:val="nil"/>
              <w:right w:val="nil"/>
            </w:tcBorders>
            <w:noWrap/>
          </w:tcPr>
          <w:p w14:paraId="655A3F7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left w:val="nil"/>
              <w:bottom w:val="nil"/>
              <w:right w:val="nil"/>
            </w:tcBorders>
            <w:noWrap/>
          </w:tcPr>
          <w:p w14:paraId="52421D9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nil"/>
              <w:bottom w:val="nil"/>
              <w:right w:val="nil"/>
            </w:tcBorders>
            <w:noWrap/>
          </w:tcPr>
          <w:p w14:paraId="4D75DD6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  <w:vMerge/>
            <w:tcBorders>
              <w:left w:val="nil"/>
              <w:bottom w:val="nil"/>
              <w:right w:val="nil"/>
            </w:tcBorders>
            <w:noWrap/>
          </w:tcPr>
          <w:p w14:paraId="3DBBB76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5787F8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2.4.3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AC0467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0.2519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D5C0B7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0.0129</w:t>
            </w:r>
          </w:p>
        </w:tc>
      </w:tr>
      <w:tr w:rsidR="00181676" w:rsidRPr="001C5DE2" w14:paraId="0523B006" w14:textId="77777777" w:rsidTr="00966037">
        <w:trPr>
          <w:trHeight w:val="285"/>
        </w:trPr>
        <w:tc>
          <w:tcPr>
            <w:tcW w:w="1416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346875B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Outcome indicators</w:t>
            </w:r>
          </w:p>
          <w:p w14:paraId="26783D74" w14:textId="77777777" w:rsidR="00181676" w:rsidRPr="001C5DE2" w:rsidRDefault="00181676" w:rsidP="00966037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278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6DDA546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0.1976 </w:t>
            </w:r>
          </w:p>
          <w:p w14:paraId="6BE57F6F" w14:textId="77777777" w:rsidR="00181676" w:rsidRPr="001C5DE2" w:rsidRDefault="00181676" w:rsidP="00966037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3827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5E56BB2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3.1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Clinical outcomes</w:t>
            </w:r>
          </w:p>
        </w:tc>
        <w:tc>
          <w:tcPr>
            <w:tcW w:w="1348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4057EFA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0.2500 </w:t>
            </w:r>
          </w:p>
        </w:tc>
        <w:tc>
          <w:tcPr>
            <w:tcW w:w="1358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089119D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0.0494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98BD2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3.1.1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9D1A3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0.5390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502BD4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0.0266</w:t>
            </w:r>
          </w:p>
        </w:tc>
      </w:tr>
      <w:tr w:rsidR="00181676" w:rsidRPr="001C5DE2" w14:paraId="2005FD34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right w:val="nil"/>
            </w:tcBorders>
            <w:noWrap/>
          </w:tcPr>
          <w:p w14:paraId="4524933F" w14:textId="77777777" w:rsidR="00181676" w:rsidRPr="001C5DE2" w:rsidRDefault="00181676" w:rsidP="00966037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right w:val="nil"/>
            </w:tcBorders>
            <w:noWrap/>
          </w:tcPr>
          <w:p w14:paraId="2731B327" w14:textId="77777777" w:rsidR="00181676" w:rsidRPr="001C5DE2" w:rsidRDefault="00181676" w:rsidP="00966037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left w:val="nil"/>
              <w:right w:val="nil"/>
            </w:tcBorders>
            <w:noWrap/>
          </w:tcPr>
          <w:p w14:paraId="38B29BC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nil"/>
              <w:right w:val="nil"/>
            </w:tcBorders>
            <w:noWrap/>
          </w:tcPr>
          <w:p w14:paraId="370F45D6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  <w:vMerge/>
            <w:tcBorders>
              <w:left w:val="nil"/>
              <w:right w:val="nil"/>
            </w:tcBorders>
            <w:noWrap/>
          </w:tcPr>
          <w:p w14:paraId="5FF6F81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098399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3.1.2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AE50D6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0.1638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040C659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0.0081</w:t>
            </w:r>
          </w:p>
        </w:tc>
      </w:tr>
      <w:tr w:rsidR="00181676" w:rsidRPr="001C5DE2" w14:paraId="02C08DF4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right w:val="nil"/>
            </w:tcBorders>
            <w:noWrap/>
          </w:tcPr>
          <w:p w14:paraId="20CF8890" w14:textId="77777777" w:rsidR="00181676" w:rsidRPr="001C5DE2" w:rsidRDefault="00181676" w:rsidP="00966037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right w:val="nil"/>
            </w:tcBorders>
            <w:noWrap/>
          </w:tcPr>
          <w:p w14:paraId="54B6B987" w14:textId="77777777" w:rsidR="00181676" w:rsidRPr="001C5DE2" w:rsidRDefault="00181676" w:rsidP="00966037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left w:val="nil"/>
              <w:bottom w:val="nil"/>
              <w:right w:val="nil"/>
            </w:tcBorders>
            <w:noWrap/>
          </w:tcPr>
          <w:p w14:paraId="00F8593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nil"/>
              <w:bottom w:val="nil"/>
              <w:right w:val="nil"/>
            </w:tcBorders>
            <w:noWrap/>
          </w:tcPr>
          <w:p w14:paraId="52847A43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  <w:vMerge/>
            <w:tcBorders>
              <w:left w:val="nil"/>
              <w:bottom w:val="nil"/>
              <w:right w:val="nil"/>
            </w:tcBorders>
            <w:noWrap/>
          </w:tcPr>
          <w:p w14:paraId="3F5334E8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21820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3.1.3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E86D10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0.2973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50F3067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0.0147</w:t>
            </w:r>
          </w:p>
        </w:tc>
      </w:tr>
      <w:tr w:rsidR="00181676" w:rsidRPr="001C5DE2" w14:paraId="48416FDA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right w:val="nil"/>
            </w:tcBorders>
            <w:noWrap/>
          </w:tcPr>
          <w:p w14:paraId="30127566" w14:textId="77777777" w:rsidR="00181676" w:rsidRPr="001C5DE2" w:rsidRDefault="00181676" w:rsidP="00966037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right w:val="nil"/>
            </w:tcBorders>
            <w:noWrap/>
          </w:tcPr>
          <w:p w14:paraId="4F2EA6E5" w14:textId="77777777" w:rsidR="00181676" w:rsidRPr="001C5DE2" w:rsidRDefault="00181676" w:rsidP="00966037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4BC56BB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3.2 </w:t>
            </w:r>
            <w:r w:rsidRPr="001C5DE2">
              <w:rPr>
                <w:rFonts w:ascii="Times New Roman" w:hAnsi="Times New Roman" w:cs="Times New Roman"/>
                <w:sz w:val="24"/>
                <w:szCs w:val="24"/>
              </w:rPr>
              <w:t>Quality of care</w:t>
            </w:r>
          </w:p>
          <w:p w14:paraId="6FC15098" w14:textId="77777777" w:rsidR="00181676" w:rsidRPr="001C5DE2" w:rsidRDefault="00181676" w:rsidP="00966037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348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663DDB9D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0.7500 </w:t>
            </w:r>
          </w:p>
          <w:p w14:paraId="6E1F14BD" w14:textId="77777777" w:rsidR="00181676" w:rsidRPr="001C5DE2" w:rsidRDefault="00181676" w:rsidP="00966037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358" w:type="dxa"/>
            <w:vMerge w:val="restart"/>
            <w:tcBorders>
              <w:top w:val="nil"/>
              <w:left w:val="nil"/>
              <w:right w:val="nil"/>
            </w:tcBorders>
            <w:noWrap/>
          </w:tcPr>
          <w:p w14:paraId="396B766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0.1482 </w:t>
            </w:r>
          </w:p>
          <w:p w14:paraId="6AAAC61A" w14:textId="77777777" w:rsidR="00181676" w:rsidRPr="001C5DE2" w:rsidRDefault="00181676" w:rsidP="00966037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7ECE7B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3.2.1 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FC401E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0.2973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D89BDC2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0.0441</w:t>
            </w:r>
          </w:p>
        </w:tc>
      </w:tr>
      <w:tr w:rsidR="00181676" w:rsidRPr="001C5DE2" w14:paraId="545497ED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right w:val="nil"/>
            </w:tcBorders>
            <w:noWrap/>
          </w:tcPr>
          <w:p w14:paraId="116CD6C4" w14:textId="77777777" w:rsidR="00181676" w:rsidRPr="001C5DE2" w:rsidRDefault="00181676" w:rsidP="00966037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right w:val="nil"/>
            </w:tcBorders>
            <w:noWrap/>
          </w:tcPr>
          <w:p w14:paraId="1777C525" w14:textId="77777777" w:rsidR="00181676" w:rsidRPr="001C5DE2" w:rsidRDefault="00181676" w:rsidP="00966037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left w:val="nil"/>
              <w:right w:val="nil"/>
            </w:tcBorders>
            <w:noWrap/>
          </w:tcPr>
          <w:p w14:paraId="68D2C8CC" w14:textId="77777777" w:rsidR="00181676" w:rsidRPr="001C5DE2" w:rsidRDefault="00181676" w:rsidP="00966037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nil"/>
              <w:right w:val="nil"/>
            </w:tcBorders>
            <w:noWrap/>
          </w:tcPr>
          <w:p w14:paraId="796E2853" w14:textId="77777777" w:rsidR="00181676" w:rsidRPr="001C5DE2" w:rsidRDefault="00181676" w:rsidP="00966037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  <w:vMerge/>
            <w:tcBorders>
              <w:left w:val="nil"/>
              <w:right w:val="nil"/>
            </w:tcBorders>
            <w:noWrap/>
          </w:tcPr>
          <w:p w14:paraId="120DFFC7" w14:textId="77777777" w:rsidR="00181676" w:rsidRPr="001C5DE2" w:rsidRDefault="00181676" w:rsidP="00966037">
            <w:pPr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E1A201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3.2.2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B4D6E3E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0.1638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8B053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0.0243</w:t>
            </w:r>
          </w:p>
        </w:tc>
      </w:tr>
      <w:tr w:rsidR="00181676" w:rsidRPr="001C5DE2" w14:paraId="2FC5993B" w14:textId="77777777" w:rsidTr="00966037">
        <w:trPr>
          <w:trHeight w:val="285"/>
        </w:trPr>
        <w:tc>
          <w:tcPr>
            <w:tcW w:w="1416" w:type="dxa"/>
            <w:vMerge/>
            <w:tcBorders>
              <w:left w:val="nil"/>
              <w:bottom w:val="single" w:sz="12" w:space="0" w:color="auto"/>
              <w:right w:val="nil"/>
            </w:tcBorders>
            <w:noWrap/>
          </w:tcPr>
          <w:p w14:paraId="4C5543BA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vMerge/>
            <w:tcBorders>
              <w:left w:val="nil"/>
              <w:bottom w:val="single" w:sz="12" w:space="0" w:color="auto"/>
              <w:right w:val="nil"/>
            </w:tcBorders>
            <w:noWrap/>
          </w:tcPr>
          <w:p w14:paraId="7E140E3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left w:val="nil"/>
              <w:bottom w:val="single" w:sz="12" w:space="0" w:color="auto"/>
              <w:right w:val="nil"/>
            </w:tcBorders>
            <w:noWrap/>
          </w:tcPr>
          <w:p w14:paraId="62730191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nil"/>
              <w:bottom w:val="single" w:sz="12" w:space="0" w:color="auto"/>
              <w:right w:val="nil"/>
            </w:tcBorders>
            <w:noWrap/>
          </w:tcPr>
          <w:p w14:paraId="710FF58F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358" w:type="dxa"/>
            <w:vMerge/>
            <w:tcBorders>
              <w:left w:val="nil"/>
              <w:bottom w:val="single" w:sz="12" w:space="0" w:color="auto"/>
              <w:right w:val="nil"/>
            </w:tcBorders>
            <w:noWrap/>
          </w:tcPr>
          <w:p w14:paraId="0C4C5FA5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68FDF79C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3.2.3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7210FE20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0.5390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10F20564" w14:textId="77777777" w:rsidR="00181676" w:rsidRPr="001C5DE2" w:rsidRDefault="00181676" w:rsidP="00966037">
            <w:pPr>
              <w:widowControl/>
              <w:spacing w:after="0" w:line="480" w:lineRule="auto"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1C5DE2">
              <w:rPr>
                <w:rFonts w:ascii="Times New Roman" w:eastAsia="SimSun" w:hAnsi="Times New Roman" w:cs="Times New Roman"/>
                <w:sz w:val="24"/>
                <w:szCs w:val="24"/>
              </w:rPr>
              <w:t>0.0799</w:t>
            </w:r>
          </w:p>
        </w:tc>
      </w:tr>
    </w:tbl>
    <w:p w14:paraId="4A944659" w14:textId="77777777" w:rsidR="00181676" w:rsidRPr="001C5DE2" w:rsidRDefault="00181676" w:rsidP="0018167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9C2FA53" w14:textId="77777777" w:rsidR="00DE6AE2" w:rsidRDefault="00DE6AE2"/>
    <w:p w14:paraId="226C3BA6" w14:textId="77777777" w:rsidR="002D20C1" w:rsidRDefault="002D20C1"/>
    <w:sectPr w:rsidR="002D20C1" w:rsidSect="0018167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676"/>
    <w:rsid w:val="00181676"/>
    <w:rsid w:val="00195413"/>
    <w:rsid w:val="002D20C1"/>
    <w:rsid w:val="003D0186"/>
    <w:rsid w:val="007278E4"/>
    <w:rsid w:val="00A3738C"/>
    <w:rsid w:val="00BC6C35"/>
    <w:rsid w:val="00CB270D"/>
    <w:rsid w:val="00CF7583"/>
    <w:rsid w:val="00DE6AE2"/>
    <w:rsid w:val="00F30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9BAEA"/>
  <w15:chartTrackingRefBased/>
  <w15:docId w15:val="{998D2821-5FA9-445C-B90B-170281243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676"/>
    <w:pPr>
      <w:widowControl w:val="0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1676"/>
    <w:pPr>
      <w:keepNext/>
      <w:keepLines/>
      <w:widowControl/>
      <w:spacing w:before="36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1676"/>
    <w:pPr>
      <w:keepNext/>
      <w:keepLines/>
      <w:widowControl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1676"/>
    <w:pPr>
      <w:keepNext/>
      <w:keepLines/>
      <w:widowControl/>
      <w:spacing w:before="160" w:after="80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1676"/>
    <w:pPr>
      <w:keepNext/>
      <w:keepLines/>
      <w:widowControl/>
      <w:spacing w:before="80" w:after="40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1676"/>
    <w:pPr>
      <w:keepNext/>
      <w:keepLines/>
      <w:widowControl/>
      <w:spacing w:before="80" w:after="40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1676"/>
    <w:pPr>
      <w:keepNext/>
      <w:keepLines/>
      <w:widowControl/>
      <w:spacing w:before="40" w:after="0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1676"/>
    <w:pPr>
      <w:keepNext/>
      <w:keepLines/>
      <w:widowControl/>
      <w:spacing w:before="40" w:after="0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1676"/>
    <w:pPr>
      <w:keepNext/>
      <w:keepLines/>
      <w:widowControl/>
      <w:spacing w:after="0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1676"/>
    <w:pPr>
      <w:keepNext/>
      <w:keepLines/>
      <w:widowControl/>
      <w:spacing w:after="0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1816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1816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1816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1816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1816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1816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1816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1816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1816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1676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qFormat/>
    <w:rsid w:val="001816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1676"/>
    <w:pPr>
      <w:widowControl/>
      <w:numPr>
        <w:ilvl w:val="1"/>
      </w:numPr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1816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1676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qFormat/>
    <w:rsid w:val="001816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1676"/>
    <w:pPr>
      <w:widowControl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816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167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sid w:val="001816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1676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rsid w:val="00181676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181676"/>
    <w:rPr>
      <w:rFonts w:eastAsiaTheme="minorEastAsia"/>
      <w:sz w:val="21"/>
      <w:szCs w:val="22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qFormat/>
    <w:rsid w:val="001816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81676"/>
    <w:rPr>
      <w:rFonts w:eastAsiaTheme="minorEastAsia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uiPriority w:val="99"/>
    <w:unhideWhenUsed/>
    <w:qFormat/>
    <w:rsid w:val="001816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81676"/>
    <w:rPr>
      <w:rFonts w:eastAsiaTheme="minorEastAsia"/>
      <w:sz w:val="18"/>
      <w:szCs w:val="18"/>
      <w:lang w:eastAsia="zh-CN"/>
      <w14:ligatures w14:val="none"/>
    </w:rPr>
  </w:style>
  <w:style w:type="table" w:styleId="TableGrid">
    <w:name w:val="Table Grid"/>
    <w:basedOn w:val="TableNormal"/>
    <w:uiPriority w:val="39"/>
    <w:qFormat/>
    <w:rsid w:val="00181676"/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明显强调1"/>
    <w:basedOn w:val="DefaultParagraphFont"/>
    <w:uiPriority w:val="21"/>
    <w:qFormat/>
    <w:rsid w:val="00181676"/>
    <w:rPr>
      <w:i/>
      <w:iCs/>
      <w:color w:val="0F4761" w:themeColor="accent1" w:themeShade="BF"/>
    </w:rPr>
  </w:style>
  <w:style w:type="character" w:customStyle="1" w:styleId="10">
    <w:name w:val="明显参考1"/>
    <w:basedOn w:val="DefaultParagraphFont"/>
    <w:uiPriority w:val="32"/>
    <w:qFormat/>
    <w:rsid w:val="00181676"/>
    <w:rPr>
      <w:b/>
      <w:bCs/>
      <w:smallCaps/>
      <w:color w:val="0F4761" w:themeColor="accent1" w:themeShade="BF"/>
      <w:spacing w:val="5"/>
    </w:rPr>
  </w:style>
  <w:style w:type="paragraph" w:customStyle="1" w:styleId="11">
    <w:name w:val="书目1"/>
    <w:basedOn w:val="Normal"/>
    <w:next w:val="Normal"/>
    <w:uiPriority w:val="37"/>
    <w:unhideWhenUsed/>
    <w:qFormat/>
    <w:rsid w:val="00181676"/>
    <w:pPr>
      <w:spacing w:after="240"/>
    </w:pPr>
  </w:style>
  <w:style w:type="paragraph" w:customStyle="1" w:styleId="SourceCode">
    <w:name w:val="Source Code"/>
    <w:rsid w:val="00181676"/>
    <w:pPr>
      <w:wordWrap w:val="0"/>
    </w:pPr>
    <w:rPr>
      <w:rFonts w:eastAsiaTheme="minorEastAsia"/>
      <w:kern w:val="0"/>
      <w:sz w:val="20"/>
      <w:szCs w:val="20"/>
      <w:lang w:eastAsia="zh-CN"/>
      <w14:ligatures w14:val="none"/>
    </w:rPr>
  </w:style>
  <w:style w:type="character" w:customStyle="1" w:styleId="KeywordTok">
    <w:name w:val="KeywordTok"/>
    <w:rsid w:val="00181676"/>
    <w:rPr>
      <w:b/>
      <w:color w:val="007020"/>
    </w:rPr>
  </w:style>
  <w:style w:type="character" w:customStyle="1" w:styleId="DataTypeTok">
    <w:name w:val="DataTypeTok"/>
    <w:rsid w:val="00181676"/>
    <w:rPr>
      <w:color w:val="902000"/>
    </w:rPr>
  </w:style>
  <w:style w:type="character" w:customStyle="1" w:styleId="DecValTok">
    <w:name w:val="DecValTok"/>
    <w:rsid w:val="00181676"/>
    <w:rPr>
      <w:color w:val="40A070"/>
    </w:rPr>
  </w:style>
  <w:style w:type="character" w:customStyle="1" w:styleId="BaseNTok">
    <w:name w:val="BaseNTok"/>
    <w:rsid w:val="00181676"/>
    <w:rPr>
      <w:color w:val="40A070"/>
    </w:rPr>
  </w:style>
  <w:style w:type="character" w:customStyle="1" w:styleId="FloatTok">
    <w:name w:val="FloatTok"/>
    <w:rsid w:val="00181676"/>
    <w:rPr>
      <w:color w:val="40A070"/>
    </w:rPr>
  </w:style>
  <w:style w:type="character" w:customStyle="1" w:styleId="ConstantTok">
    <w:name w:val="ConstantTok"/>
    <w:rsid w:val="00181676"/>
    <w:rPr>
      <w:color w:val="880000"/>
    </w:rPr>
  </w:style>
  <w:style w:type="character" w:customStyle="1" w:styleId="CharTok">
    <w:name w:val="CharTok"/>
    <w:rsid w:val="00181676"/>
    <w:rPr>
      <w:color w:val="4070A0"/>
    </w:rPr>
  </w:style>
  <w:style w:type="character" w:customStyle="1" w:styleId="SpecialCharTok">
    <w:name w:val="SpecialCharTok"/>
    <w:rsid w:val="00181676"/>
    <w:rPr>
      <w:color w:val="4070A0"/>
    </w:rPr>
  </w:style>
  <w:style w:type="character" w:customStyle="1" w:styleId="StringTok">
    <w:name w:val="StringTok"/>
    <w:rsid w:val="00181676"/>
    <w:rPr>
      <w:color w:val="4070A0"/>
    </w:rPr>
  </w:style>
  <w:style w:type="character" w:customStyle="1" w:styleId="VerbatimStringTok">
    <w:name w:val="VerbatimStringTok"/>
    <w:rsid w:val="00181676"/>
    <w:rPr>
      <w:color w:val="4070A0"/>
    </w:rPr>
  </w:style>
  <w:style w:type="character" w:customStyle="1" w:styleId="SpecialStringTok">
    <w:name w:val="SpecialStringTok"/>
    <w:rsid w:val="00181676"/>
    <w:rPr>
      <w:color w:val="BB6688"/>
    </w:rPr>
  </w:style>
  <w:style w:type="character" w:customStyle="1" w:styleId="ImportTok">
    <w:name w:val="ImportTok"/>
    <w:rsid w:val="00181676"/>
    <w:rPr>
      <w:b/>
      <w:color w:val="008000"/>
    </w:rPr>
  </w:style>
  <w:style w:type="character" w:customStyle="1" w:styleId="CommentTok">
    <w:name w:val="CommentTok"/>
    <w:rsid w:val="00181676"/>
    <w:rPr>
      <w:i/>
      <w:color w:val="60A0B0"/>
    </w:rPr>
  </w:style>
  <w:style w:type="character" w:customStyle="1" w:styleId="DocumentationTok">
    <w:name w:val="DocumentationTok"/>
    <w:rsid w:val="00181676"/>
    <w:rPr>
      <w:i/>
      <w:color w:val="BA2121"/>
    </w:rPr>
  </w:style>
  <w:style w:type="character" w:customStyle="1" w:styleId="AnnotationTok">
    <w:name w:val="AnnotationTok"/>
    <w:rsid w:val="00181676"/>
    <w:rPr>
      <w:b/>
      <w:i/>
      <w:color w:val="60A0B0"/>
    </w:rPr>
  </w:style>
  <w:style w:type="character" w:customStyle="1" w:styleId="CommentVarTok">
    <w:name w:val="CommentVarTok"/>
    <w:rsid w:val="00181676"/>
    <w:rPr>
      <w:b/>
      <w:i/>
      <w:color w:val="60A0B0"/>
    </w:rPr>
  </w:style>
  <w:style w:type="character" w:customStyle="1" w:styleId="OtherTok">
    <w:name w:val="OtherTok"/>
    <w:rsid w:val="00181676"/>
    <w:rPr>
      <w:color w:val="007020"/>
    </w:rPr>
  </w:style>
  <w:style w:type="character" w:customStyle="1" w:styleId="FunctionTok">
    <w:name w:val="FunctionTok"/>
    <w:rsid w:val="00181676"/>
    <w:rPr>
      <w:color w:val="06287E"/>
    </w:rPr>
  </w:style>
  <w:style w:type="character" w:customStyle="1" w:styleId="VariableTok">
    <w:name w:val="VariableTok"/>
    <w:rsid w:val="00181676"/>
    <w:rPr>
      <w:color w:val="19177C"/>
    </w:rPr>
  </w:style>
  <w:style w:type="character" w:customStyle="1" w:styleId="ControlFlowTok">
    <w:name w:val="ControlFlowTok"/>
    <w:rsid w:val="00181676"/>
    <w:rPr>
      <w:b/>
      <w:color w:val="007020"/>
    </w:rPr>
  </w:style>
  <w:style w:type="character" w:customStyle="1" w:styleId="OperatorTok">
    <w:name w:val="OperatorTok"/>
    <w:rsid w:val="00181676"/>
    <w:rPr>
      <w:color w:val="666666"/>
    </w:rPr>
  </w:style>
  <w:style w:type="character" w:customStyle="1" w:styleId="BuiltInTok">
    <w:name w:val="BuiltInTok"/>
    <w:rsid w:val="00181676"/>
    <w:rPr>
      <w:color w:val="008000"/>
    </w:rPr>
  </w:style>
  <w:style w:type="character" w:customStyle="1" w:styleId="ExtensionTok">
    <w:name w:val="ExtensionTok"/>
    <w:rsid w:val="00181676"/>
  </w:style>
  <w:style w:type="character" w:customStyle="1" w:styleId="PreprocessorTok">
    <w:name w:val="PreprocessorTok"/>
    <w:rsid w:val="00181676"/>
    <w:rPr>
      <w:color w:val="BC7A00"/>
    </w:rPr>
  </w:style>
  <w:style w:type="character" w:customStyle="1" w:styleId="AttributeTok">
    <w:name w:val="AttributeTok"/>
    <w:rsid w:val="00181676"/>
    <w:rPr>
      <w:color w:val="7D9029"/>
    </w:rPr>
  </w:style>
  <w:style w:type="character" w:customStyle="1" w:styleId="RegionMarkerTok">
    <w:name w:val="RegionMarkerTok"/>
    <w:rsid w:val="00181676"/>
  </w:style>
  <w:style w:type="character" w:customStyle="1" w:styleId="InformationTok">
    <w:name w:val="InformationTok"/>
    <w:rsid w:val="00181676"/>
    <w:rPr>
      <w:b/>
      <w:i/>
      <w:color w:val="60A0B0"/>
    </w:rPr>
  </w:style>
  <w:style w:type="character" w:customStyle="1" w:styleId="WarningTok">
    <w:name w:val="WarningTok"/>
    <w:rsid w:val="00181676"/>
    <w:rPr>
      <w:b/>
      <w:i/>
      <w:color w:val="60A0B0"/>
    </w:rPr>
  </w:style>
  <w:style w:type="character" w:customStyle="1" w:styleId="AlertTok">
    <w:name w:val="AlertTok"/>
    <w:rsid w:val="00181676"/>
    <w:rPr>
      <w:b/>
      <w:color w:val="FF0000"/>
    </w:rPr>
  </w:style>
  <w:style w:type="character" w:customStyle="1" w:styleId="ErrorTok">
    <w:name w:val="ErrorTok"/>
    <w:rsid w:val="00181676"/>
    <w:rPr>
      <w:b/>
      <w:color w:val="FF0000"/>
    </w:rPr>
  </w:style>
  <w:style w:type="character" w:customStyle="1" w:styleId="NormalTok">
    <w:name w:val="NormalTok"/>
    <w:rsid w:val="00181676"/>
  </w:style>
  <w:style w:type="character" w:styleId="CommentReference">
    <w:name w:val="annotation reference"/>
    <w:basedOn w:val="DefaultParagraphFont"/>
    <w:uiPriority w:val="99"/>
    <w:semiHidden/>
    <w:unhideWhenUsed/>
    <w:rsid w:val="00181676"/>
    <w:rPr>
      <w:sz w:val="21"/>
      <w:szCs w:val="21"/>
    </w:rPr>
  </w:style>
  <w:style w:type="paragraph" w:styleId="Revision">
    <w:name w:val="Revision"/>
    <w:hidden/>
    <w:uiPriority w:val="99"/>
    <w:unhideWhenUsed/>
    <w:rsid w:val="00181676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16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1676"/>
    <w:rPr>
      <w:rFonts w:eastAsiaTheme="minorEastAsia"/>
      <w:b/>
      <w:bCs/>
      <w:sz w:val="21"/>
      <w:szCs w:val="22"/>
      <w:lang w:eastAsia="zh-CN"/>
      <w14:ligatures w14:val="none"/>
    </w:rPr>
  </w:style>
  <w:style w:type="paragraph" w:customStyle="1" w:styleId="EndNoteBibliographyTitle">
    <w:name w:val="EndNote Bibliography Title"/>
    <w:basedOn w:val="Normal"/>
    <w:link w:val="EndNoteBibliographyTitleCar"/>
    <w:rsid w:val="00181676"/>
    <w:pPr>
      <w:spacing w:after="0"/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Car">
    <w:name w:val="EndNote Bibliography Title Car"/>
    <w:basedOn w:val="DefaultParagraphFont"/>
    <w:link w:val="EndNoteBibliographyTitle"/>
    <w:rsid w:val="00181676"/>
    <w:rPr>
      <w:rFonts w:ascii="DengXian" w:eastAsia="DengXian" w:hAnsi="DengXian"/>
      <w:noProof/>
      <w:sz w:val="20"/>
      <w:szCs w:val="22"/>
      <w:lang w:eastAsia="zh-CN"/>
      <w14:ligatures w14:val="none"/>
    </w:rPr>
  </w:style>
  <w:style w:type="paragraph" w:customStyle="1" w:styleId="EndNoteBibliography">
    <w:name w:val="EndNote Bibliography"/>
    <w:basedOn w:val="Normal"/>
    <w:link w:val="EndNoteBibliographyCar"/>
    <w:rsid w:val="00181676"/>
    <w:pPr>
      <w:spacing w:line="240" w:lineRule="auto"/>
    </w:pPr>
    <w:rPr>
      <w:rFonts w:ascii="DengXian" w:eastAsia="DengXian" w:hAnsi="DengXian"/>
      <w:noProof/>
      <w:sz w:val="20"/>
    </w:rPr>
  </w:style>
  <w:style w:type="character" w:customStyle="1" w:styleId="EndNoteBibliographyCar">
    <w:name w:val="EndNote Bibliography Car"/>
    <w:basedOn w:val="DefaultParagraphFont"/>
    <w:link w:val="EndNoteBibliography"/>
    <w:rsid w:val="00181676"/>
    <w:rPr>
      <w:rFonts w:ascii="DengXian" w:eastAsia="DengXian" w:hAnsi="DengXian"/>
      <w:noProof/>
      <w:sz w:val="20"/>
      <w:szCs w:val="22"/>
      <w:lang w:eastAsia="zh-CN"/>
      <w14:ligatures w14:val="none"/>
    </w:rPr>
  </w:style>
  <w:style w:type="character" w:styleId="Hyperlink">
    <w:name w:val="Hyperlink"/>
    <w:basedOn w:val="DefaultParagraphFont"/>
    <w:uiPriority w:val="99"/>
    <w:unhideWhenUsed/>
    <w:rsid w:val="00181676"/>
    <w:rPr>
      <w:color w:val="467886" w:themeColor="hyperlink"/>
      <w:u w:val="single"/>
    </w:rPr>
  </w:style>
  <w:style w:type="character" w:customStyle="1" w:styleId="12">
    <w:name w:val="未处理的提及1"/>
    <w:basedOn w:val="DefaultParagraphFont"/>
    <w:uiPriority w:val="99"/>
    <w:semiHidden/>
    <w:unhideWhenUsed/>
    <w:rsid w:val="0018167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16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1676"/>
    <w:rPr>
      <w:rFonts w:ascii="Segoe UI" w:eastAsiaTheme="minorEastAsia" w:hAnsi="Segoe UI" w:cs="Segoe UI"/>
      <w:sz w:val="18"/>
      <w:szCs w:val="18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33</Pages>
  <Words>4136</Words>
  <Characters>26059</Characters>
  <Application>Microsoft Office Word</Application>
  <DocSecurity>0</DocSecurity>
  <Lines>1302</Lines>
  <Paragraphs>816</Paragraphs>
  <ScaleCrop>false</ScaleCrop>
  <Company>Springer Nature</Company>
  <LinksUpToDate>false</LinksUpToDate>
  <CharactersWithSpaces>29379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2026-01-22T11:02:00Z</dcterms:created>
  <dcterms:modified xsi:type="dcterms:W3CDTF">2026-01-22T11:02:00Z</dcterms:modified>
</cp:coreProperties>
</file>