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cs="Times New Roman"/>
          <w:b/>
          <w:bCs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bookmarkStart w:id="2" w:name="_GoBack"/>
      <w:bookmarkEnd w:id="2"/>
      <w:r>
        <w:rPr>
          <w:rFonts w:ascii="Times New Roman" w:hAnsi="Times New Roman" w:cs="Times New Roman"/>
          <w:b/>
          <w:bCs/>
          <w:color w:val="000000" w:themeColor="text1"/>
          <w:sz w:val="22"/>
          <w14:textFill>
            <w14:solidFill>
              <w14:schemeClr w14:val="tx1"/>
            </w14:solidFill>
          </w14:textFill>
        </w:rPr>
        <w:t>Supplementary Table 1. Symptom assessment</w:t>
      </w:r>
    </w:p>
    <w:tbl>
      <w:tblPr>
        <w:tblStyle w:val="7"/>
        <w:tblW w:w="907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2268"/>
        <w:gridCol w:w="2268"/>
        <w:gridCol w:w="226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68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MPRI≤1.47</w:t>
            </w:r>
          </w:p>
        </w:tc>
        <w:tc>
          <w:tcPr>
            <w:tcW w:w="2268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MPRI &gt;1.47</w:t>
            </w:r>
          </w:p>
        </w:tc>
        <w:tc>
          <w:tcPr>
            <w:tcW w:w="2268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P value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tcBorders>
              <w:top w:val="single" w:color="auto" w:sz="12" w:space="0"/>
            </w:tcBorders>
            <w:vAlign w:val="center"/>
          </w:tcPr>
          <w:p>
            <w:pPr>
              <w:ind w:firstLine="220" w:firstLineChars="100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Typical symptoms</w:t>
            </w:r>
          </w:p>
        </w:tc>
        <w:tc>
          <w:tcPr>
            <w:tcW w:w="2268" w:type="dxa"/>
            <w:tcBorders>
              <w:top w:val="single" w:color="auto" w:sz="12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14(42.4%)</w:t>
            </w:r>
          </w:p>
        </w:tc>
        <w:tc>
          <w:tcPr>
            <w:tcW w:w="2268" w:type="dxa"/>
            <w:tcBorders>
              <w:top w:val="single" w:color="auto" w:sz="12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18(36.0%)</w:t>
            </w:r>
          </w:p>
        </w:tc>
        <w:tc>
          <w:tcPr>
            <w:tcW w:w="2268" w:type="dxa"/>
            <w:tcBorders>
              <w:top w:val="single" w:color="auto" w:sz="12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0.647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vAlign w:val="center"/>
          </w:tcPr>
          <w:p>
            <w:pPr>
              <w:ind w:firstLine="220" w:firstLineChars="100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Exercise angina</w:t>
            </w:r>
          </w:p>
        </w:tc>
        <w:tc>
          <w:tcPr>
            <w:tcW w:w="2268" w:type="dxa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13(39.4%)</w:t>
            </w:r>
          </w:p>
        </w:tc>
        <w:tc>
          <w:tcPr>
            <w:tcW w:w="2268" w:type="dxa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20(40.0%)</w:t>
            </w:r>
          </w:p>
        </w:tc>
        <w:tc>
          <w:tcPr>
            <w:tcW w:w="2268" w:type="dxa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vAlign w:val="center"/>
          </w:tcPr>
          <w:p>
            <w:pPr>
              <w:ind w:firstLine="220" w:firstLineChars="100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Rest angina</w:t>
            </w:r>
          </w:p>
        </w:tc>
        <w:tc>
          <w:tcPr>
            <w:tcW w:w="2268" w:type="dxa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18(54.5%)</w:t>
            </w:r>
          </w:p>
        </w:tc>
        <w:tc>
          <w:tcPr>
            <w:tcW w:w="2268" w:type="dxa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26(52.0%)</w:t>
            </w:r>
          </w:p>
        </w:tc>
        <w:tc>
          <w:tcPr>
            <w:tcW w:w="2268" w:type="dxa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0.827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vAlign w:val="center"/>
          </w:tcPr>
          <w:p>
            <w:pPr>
              <w:ind w:firstLine="220" w:firstLineChars="100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Evening angina</w:t>
            </w:r>
          </w:p>
        </w:tc>
        <w:tc>
          <w:tcPr>
            <w:tcW w:w="2268" w:type="dxa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3(9.1%)</w:t>
            </w:r>
          </w:p>
        </w:tc>
        <w:tc>
          <w:tcPr>
            <w:tcW w:w="2268" w:type="dxa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7(14.0%)</w:t>
            </w:r>
          </w:p>
        </w:tc>
        <w:tc>
          <w:tcPr>
            <w:tcW w:w="2268" w:type="dxa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0.733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vAlign w:val="center"/>
          </w:tcPr>
          <w:p>
            <w:pPr>
              <w:ind w:firstLine="220" w:firstLineChars="100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Breathless</w:t>
            </w:r>
          </w:p>
        </w:tc>
        <w:tc>
          <w:tcPr>
            <w:tcW w:w="2268" w:type="dxa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25(53.2%)</w:t>
            </w:r>
          </w:p>
        </w:tc>
        <w:tc>
          <w:tcPr>
            <w:tcW w:w="2268" w:type="dxa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14(42.4%)</w:t>
            </w:r>
          </w:p>
        </w:tc>
        <w:tc>
          <w:tcPr>
            <w:tcW w:w="2268" w:type="dxa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0.372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D0CECE" w:themeFill="background2" w:themeFillShade="E6"/>
            <w:vAlign w:val="center"/>
          </w:tcPr>
          <w:p>
            <w:pPr>
              <w:ind w:firstLine="220" w:firstLineChars="100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CCS classification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68" w:type="dxa"/>
            <w:shd w:val="clear" w:color="auto" w:fill="D0CECE" w:themeFill="background2" w:themeFillShade="E6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68" w:type="dxa"/>
            <w:shd w:val="clear" w:color="auto" w:fill="D0CECE" w:themeFill="background2" w:themeFillShade="E6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vAlign w:val="center"/>
          </w:tcPr>
          <w:p>
            <w:pPr>
              <w:ind w:firstLine="220" w:firstLineChars="100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I</w:t>
            </w:r>
          </w:p>
        </w:tc>
        <w:tc>
          <w:tcPr>
            <w:tcW w:w="2268" w:type="dxa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16(48.5%)</w:t>
            </w:r>
          </w:p>
        </w:tc>
        <w:tc>
          <w:tcPr>
            <w:tcW w:w="2268" w:type="dxa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28(56.0%)</w:t>
            </w:r>
          </w:p>
        </w:tc>
        <w:tc>
          <w:tcPr>
            <w:tcW w:w="2268" w:type="dxa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0.898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vAlign w:val="center"/>
          </w:tcPr>
          <w:p>
            <w:pPr>
              <w:ind w:firstLine="220" w:firstLineChars="100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II</w:t>
            </w:r>
          </w:p>
        </w:tc>
        <w:tc>
          <w:tcPr>
            <w:tcW w:w="2268" w:type="dxa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7(21.2%)</w:t>
            </w:r>
          </w:p>
        </w:tc>
        <w:tc>
          <w:tcPr>
            <w:tcW w:w="2268" w:type="dxa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9(18.0%)</w:t>
            </w:r>
          </w:p>
        </w:tc>
        <w:tc>
          <w:tcPr>
            <w:tcW w:w="2268" w:type="dxa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vAlign w:val="center"/>
          </w:tcPr>
          <w:p>
            <w:pPr>
              <w:ind w:firstLine="220" w:firstLineChars="100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III</w:t>
            </w:r>
          </w:p>
        </w:tc>
        <w:tc>
          <w:tcPr>
            <w:tcW w:w="2268" w:type="dxa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7(21.2%)</w:t>
            </w:r>
          </w:p>
        </w:tc>
        <w:tc>
          <w:tcPr>
            <w:tcW w:w="2268" w:type="dxa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10(20.0%)</w:t>
            </w:r>
          </w:p>
        </w:tc>
        <w:tc>
          <w:tcPr>
            <w:tcW w:w="2268" w:type="dxa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vAlign w:val="center"/>
          </w:tcPr>
          <w:p>
            <w:pPr>
              <w:ind w:firstLine="220" w:firstLineChars="100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IV</w:t>
            </w:r>
          </w:p>
        </w:tc>
        <w:tc>
          <w:tcPr>
            <w:tcW w:w="2268" w:type="dxa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3(9.1%)</w:t>
            </w:r>
          </w:p>
        </w:tc>
        <w:tc>
          <w:tcPr>
            <w:tcW w:w="2268" w:type="dxa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3(6.0%)</w:t>
            </w:r>
          </w:p>
        </w:tc>
        <w:tc>
          <w:tcPr>
            <w:tcW w:w="2268" w:type="dxa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D0CECE" w:themeFill="background2" w:themeFillShade="E6"/>
            <w:vAlign w:val="center"/>
          </w:tcPr>
          <w:p>
            <w:pPr>
              <w:ind w:firstLine="220" w:firstLineChars="100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SAQ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68" w:type="dxa"/>
            <w:shd w:val="clear" w:color="auto" w:fill="D0CECE" w:themeFill="background2" w:themeFillShade="E6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68" w:type="dxa"/>
            <w:shd w:val="clear" w:color="auto" w:fill="D0CECE" w:themeFill="background2" w:themeFillShade="E6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vAlign w:val="center"/>
          </w:tcPr>
          <w:p>
            <w:pPr>
              <w:ind w:firstLine="220" w:firstLineChars="100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Physical limitation</w:t>
            </w:r>
          </w:p>
        </w:tc>
        <w:tc>
          <w:tcPr>
            <w:tcW w:w="2268" w:type="dxa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69.70±16.96</w:t>
            </w:r>
          </w:p>
        </w:tc>
        <w:tc>
          <w:tcPr>
            <w:tcW w:w="2268" w:type="dxa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73.60±14.22</w:t>
            </w:r>
          </w:p>
        </w:tc>
        <w:tc>
          <w:tcPr>
            <w:tcW w:w="2268" w:type="dxa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0.279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vAlign w:val="center"/>
          </w:tcPr>
          <w:p>
            <w:pPr>
              <w:ind w:firstLine="220" w:firstLineChars="100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Angnia stability</w:t>
            </w:r>
          </w:p>
        </w:tc>
        <w:tc>
          <w:tcPr>
            <w:tcW w:w="2268" w:type="dxa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31.06±24.23</w:t>
            </w:r>
          </w:p>
        </w:tc>
        <w:tc>
          <w:tcPr>
            <w:tcW w:w="2268" w:type="dxa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38.00±29.12</w:t>
            </w:r>
          </w:p>
        </w:tc>
        <w:tc>
          <w:tcPr>
            <w:tcW w:w="2268" w:type="dxa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0.243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vAlign w:val="center"/>
          </w:tcPr>
          <w:p>
            <w:pPr>
              <w:ind w:firstLine="220" w:firstLineChars="100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Angnia frequency</w:t>
            </w:r>
          </w:p>
        </w:tc>
        <w:tc>
          <w:tcPr>
            <w:tcW w:w="2268" w:type="dxa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63.03±27.44</w:t>
            </w:r>
          </w:p>
        </w:tc>
        <w:tc>
          <w:tcPr>
            <w:tcW w:w="2268" w:type="dxa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66.60±27.45</w:t>
            </w:r>
          </w:p>
        </w:tc>
        <w:tc>
          <w:tcPr>
            <w:tcW w:w="2268" w:type="dxa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0.564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tcBorders>
              <w:bottom w:val="single" w:color="auto" w:sz="12" w:space="0"/>
            </w:tcBorders>
            <w:vAlign w:val="center"/>
          </w:tcPr>
          <w:p>
            <w:pPr>
              <w:ind w:firstLine="220" w:firstLineChars="100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Treatment satisfaction</w:t>
            </w:r>
          </w:p>
        </w:tc>
        <w:tc>
          <w:tcPr>
            <w:tcW w:w="2268" w:type="dxa"/>
            <w:tcBorders>
              <w:bottom w:val="single" w:color="auto" w:sz="12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76.47±20.11</w:t>
            </w:r>
          </w:p>
        </w:tc>
        <w:tc>
          <w:tcPr>
            <w:tcW w:w="2268" w:type="dxa"/>
            <w:tcBorders>
              <w:bottom w:val="single" w:color="auto" w:sz="12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82.24±20.46</w:t>
            </w:r>
          </w:p>
        </w:tc>
        <w:tc>
          <w:tcPr>
            <w:tcW w:w="2268" w:type="dxa"/>
            <w:tcBorders>
              <w:bottom w:val="single" w:color="auto" w:sz="12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0.209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tcBorders>
              <w:top w:val="single" w:color="auto" w:sz="12" w:space="0"/>
            </w:tcBorders>
            <w:vAlign w:val="center"/>
          </w:tcPr>
          <w:p>
            <w:pPr>
              <w:ind w:firstLine="220" w:firstLineChars="100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Disease perception</w:t>
            </w:r>
          </w:p>
        </w:tc>
        <w:tc>
          <w:tcPr>
            <w:tcW w:w="2268" w:type="dxa"/>
            <w:tcBorders>
              <w:top w:val="single" w:color="auto" w:sz="12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48.99±19.30</w:t>
            </w:r>
          </w:p>
        </w:tc>
        <w:tc>
          <w:tcPr>
            <w:tcW w:w="2268" w:type="dxa"/>
            <w:tcBorders>
              <w:top w:val="single" w:color="auto" w:sz="12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51.99±21.07</w:t>
            </w:r>
          </w:p>
        </w:tc>
        <w:tc>
          <w:tcPr>
            <w:tcW w:w="2268" w:type="dxa"/>
            <w:tcBorders>
              <w:top w:val="single" w:color="auto" w:sz="12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0.660</w:t>
            </w:r>
          </w:p>
        </w:tc>
      </w:tr>
    </w:tbl>
    <w:p>
      <w:pPr>
        <w:rPr>
          <w:rFonts w:ascii="Times New Roman" w:hAnsi="Times New Roman" w:cs="Times New Roman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宋体" w:cs="Times New Roman"/>
          <w:color w:val="000000" w:themeColor="text1"/>
          <w:sz w:val="22"/>
          <w:shd w:val="clear" w:color="auto" w:fill="FFFFFF"/>
          <w14:textFill>
            <w14:solidFill>
              <w14:schemeClr w14:val="tx1"/>
            </w14:solidFill>
          </w14:textFill>
        </w:rPr>
        <w:t>CCS classification, angina classification of the</w:t>
      </w:r>
      <w:r>
        <w:rPr>
          <w:rFonts w:ascii="Times New Roman" w:hAnsi="Times New Roman" w:eastAsia="宋体" w:cs="Times New Roman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eastAsia="宋体" w:cs="Times New Roman"/>
          <w:color w:val="000000" w:themeColor="text1"/>
          <w:sz w:val="22"/>
          <w:shd w:val="clear" w:color="auto" w:fill="FFFFFF"/>
          <w14:textFill>
            <w14:solidFill>
              <w14:schemeClr w14:val="tx1"/>
            </w14:solidFill>
          </w14:textFill>
        </w:rPr>
        <w:t xml:space="preserve">Canadian Cardiovascular Society; </w:t>
      </w:r>
      <w:r>
        <w:rPr>
          <w:rFonts w:ascii="Times New Roman" w:hAnsi="Times New Roman" w:cs="Times New Roman"/>
          <w:color w:val="000000" w:themeColor="text1"/>
          <w:sz w:val="22"/>
          <w14:textFill>
            <w14:solidFill>
              <w14:schemeClr w14:val="tx1"/>
            </w14:solidFill>
          </w14:textFill>
        </w:rPr>
        <w:t>SAQ, Seattle Angina Quality of Life Score.</w:t>
      </w:r>
    </w:p>
    <w:p>
      <w:pPr>
        <w:rPr>
          <w:rFonts w:ascii="Times New Roman" w:hAnsi="Times New Roman" w:cs="Times New Roman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p>
      <w:pPr>
        <w:rPr>
          <w:rFonts w:ascii="Times New Roman" w:hAnsi="Times New Roman" w:cs="Times New Roman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p>
      <w:pPr>
        <w:rPr>
          <w:rFonts w:ascii="Times New Roman" w:hAnsi="Times New Roman" w:cs="Times New Roman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p>
      <w:pPr>
        <w:rPr>
          <w:rFonts w:ascii="Times New Roman" w:hAnsi="Times New Roman" w:cs="Times New Roman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p>
      <w:pPr>
        <w:rPr>
          <w:rFonts w:ascii="Times New Roman" w:hAnsi="Times New Roman" w:cs="Times New Roman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p>
      <w:pPr>
        <w:rPr>
          <w:rFonts w:ascii="Times New Roman" w:hAnsi="Times New Roman" w:cs="Times New Roman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p>
      <w:pPr>
        <w:rPr>
          <w:rFonts w:ascii="Times New Roman" w:hAnsi="Times New Roman" w:cs="Times New Roman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p>
      <w:pPr>
        <w:rPr>
          <w:rFonts w:ascii="Times New Roman" w:hAnsi="Times New Roman" w:cs="Times New Roman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p>
      <w:pPr>
        <w:rPr>
          <w:rFonts w:ascii="Times New Roman" w:hAnsi="Times New Roman" w:cs="Times New Roman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p>
      <w:pPr>
        <w:rPr>
          <w:rFonts w:ascii="Times New Roman" w:hAnsi="Times New Roman" w:cs="Times New Roman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p>
      <w:pPr>
        <w:rPr>
          <w:rFonts w:ascii="Times New Roman" w:hAnsi="Times New Roman" w:cs="Times New Roman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p>
      <w:pPr>
        <w:rPr>
          <w:rFonts w:ascii="Times New Roman" w:hAnsi="Times New Roman" w:cs="Times New Roman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p>
      <w:pPr>
        <w:rPr>
          <w:rFonts w:ascii="Times New Roman" w:hAnsi="Times New Roman" w:cs="Times New Roman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p>
      <w:pPr>
        <w:rPr>
          <w:rFonts w:ascii="Times New Roman" w:hAnsi="Times New Roman" w:cs="Times New Roman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p>
      <w:pPr>
        <w:rPr>
          <w:rFonts w:ascii="Times New Roman" w:hAnsi="Times New Roman" w:cs="Times New Roman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p>
      <w:pPr>
        <w:rPr>
          <w:rFonts w:ascii="Times New Roman" w:hAnsi="Times New Roman" w:cs="Times New Roman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p>
      <w:pPr>
        <w:rPr>
          <w:rFonts w:ascii="Times New Roman" w:hAnsi="Times New Roman" w:cs="Times New Roman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p>
      <w:pPr>
        <w:rPr>
          <w:rFonts w:ascii="Times New Roman" w:hAnsi="Times New Roman" w:cs="Times New Roman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p>
      <w:pPr>
        <w:rPr>
          <w:rFonts w:ascii="Times New Roman" w:hAnsi="Times New Roman" w:cs="Times New Roman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p>
      <w:pPr>
        <w:rPr>
          <w:rFonts w:ascii="Times New Roman" w:hAnsi="Times New Roman" w:cs="Times New Roman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p>
      <w:pPr>
        <w:rPr>
          <w:rFonts w:ascii="Times New Roman" w:hAnsi="Times New Roman" w:cs="Times New Roman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p>
      <w:pPr>
        <w:rPr>
          <w:rFonts w:ascii="Times New Roman" w:hAnsi="Times New Roman" w:cs="Times New Roman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p>
      <w:pPr>
        <w:rPr>
          <w:rFonts w:ascii="Times New Roman" w:hAnsi="Times New Roman" w:cs="Times New Roman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p>
      <w:pPr>
        <w:rPr>
          <w:rFonts w:ascii="Times New Roman" w:hAnsi="Times New Roman" w:cs="Times New Roman"/>
          <w:b/>
          <w:bCs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b/>
          <w:bCs/>
          <w:color w:val="000000" w:themeColor="text1"/>
          <w:sz w:val="22"/>
          <w14:textFill>
            <w14:solidFill>
              <w14:schemeClr w14:val="tx1"/>
            </w14:solidFill>
          </w14:textFill>
        </w:rPr>
        <w:t>Supplementary Table 2. PHQ-9 and GAD-7</w:t>
      </w:r>
    </w:p>
    <w:tbl>
      <w:tblPr>
        <w:tblStyle w:val="7"/>
        <w:tblW w:w="907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2268"/>
        <w:gridCol w:w="2268"/>
        <w:gridCol w:w="226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68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MPRI≤1.47</w:t>
            </w:r>
          </w:p>
        </w:tc>
        <w:tc>
          <w:tcPr>
            <w:tcW w:w="2268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MPRI &gt;1.47</w:t>
            </w:r>
          </w:p>
        </w:tc>
        <w:tc>
          <w:tcPr>
            <w:tcW w:w="2268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P value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268" w:type="dxa"/>
            <w:tcBorders>
              <w:top w:val="single" w:color="auto" w:sz="12" w:space="0"/>
            </w:tcBorders>
            <w:shd w:val="clear" w:color="auto" w:fill="D8D8D8" w:themeFill="background1" w:themeFillShade="D9"/>
            <w:vAlign w:val="center"/>
          </w:tcPr>
          <w:p>
            <w:pPr>
              <w:ind w:firstLine="220" w:firstLineChars="100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PHQ-9</w:t>
            </w:r>
          </w:p>
        </w:tc>
        <w:tc>
          <w:tcPr>
            <w:tcW w:w="2268" w:type="dxa"/>
            <w:tcBorders>
              <w:top w:val="single" w:color="auto" w:sz="12" w:space="0"/>
            </w:tcBorders>
            <w:shd w:val="clear" w:color="auto" w:fill="D8D8D8" w:themeFill="background1" w:themeFillShade="D9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68" w:type="dxa"/>
            <w:tcBorders>
              <w:top w:val="single" w:color="auto" w:sz="12" w:space="0"/>
            </w:tcBorders>
            <w:shd w:val="clear" w:color="auto" w:fill="D8D8D8" w:themeFill="background1" w:themeFillShade="D9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68" w:type="dxa"/>
            <w:tcBorders>
              <w:top w:val="single" w:color="auto" w:sz="12" w:space="0"/>
            </w:tcBorders>
            <w:shd w:val="clear" w:color="auto" w:fill="D8D8D8" w:themeFill="background1" w:themeFillShade="D9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268" w:type="dxa"/>
            <w:vAlign w:val="center"/>
          </w:tcPr>
          <w:p>
            <w:pPr>
              <w:ind w:firstLine="220" w:firstLineChars="100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0~4</w:t>
            </w:r>
          </w:p>
        </w:tc>
        <w:tc>
          <w:tcPr>
            <w:tcW w:w="2268" w:type="dxa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22(66.7%)</w:t>
            </w:r>
          </w:p>
        </w:tc>
        <w:tc>
          <w:tcPr>
            <w:tcW w:w="2268" w:type="dxa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34(68.0%)</w:t>
            </w:r>
          </w:p>
        </w:tc>
        <w:tc>
          <w:tcPr>
            <w:tcW w:w="2268" w:type="dxa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0.948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268" w:type="dxa"/>
            <w:vAlign w:val="center"/>
          </w:tcPr>
          <w:p>
            <w:pPr>
              <w:ind w:firstLine="220" w:firstLineChars="100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5~9</w:t>
            </w:r>
          </w:p>
        </w:tc>
        <w:tc>
          <w:tcPr>
            <w:tcW w:w="2268" w:type="dxa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7(21.2%)</w:t>
            </w:r>
          </w:p>
        </w:tc>
        <w:tc>
          <w:tcPr>
            <w:tcW w:w="2268" w:type="dxa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9(18.0%)</w:t>
            </w:r>
          </w:p>
        </w:tc>
        <w:tc>
          <w:tcPr>
            <w:tcW w:w="2268" w:type="dxa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268" w:type="dxa"/>
            <w:vAlign w:val="center"/>
          </w:tcPr>
          <w:p>
            <w:pPr>
              <w:ind w:firstLine="220" w:firstLineChars="100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≥10</w:t>
            </w:r>
          </w:p>
        </w:tc>
        <w:tc>
          <w:tcPr>
            <w:tcW w:w="2268" w:type="dxa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4(12.1%)</w:t>
            </w:r>
          </w:p>
        </w:tc>
        <w:tc>
          <w:tcPr>
            <w:tcW w:w="2268" w:type="dxa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7(14.0%)</w:t>
            </w:r>
          </w:p>
        </w:tc>
        <w:tc>
          <w:tcPr>
            <w:tcW w:w="2268" w:type="dxa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268" w:type="dxa"/>
            <w:shd w:val="clear" w:color="auto" w:fill="D8D8D8" w:themeFill="background1" w:themeFillShade="D9"/>
            <w:vAlign w:val="center"/>
          </w:tcPr>
          <w:p>
            <w:pPr>
              <w:ind w:firstLine="220" w:firstLineChars="100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GAD-7</w:t>
            </w:r>
          </w:p>
        </w:tc>
        <w:tc>
          <w:tcPr>
            <w:tcW w:w="2268" w:type="dxa"/>
            <w:shd w:val="clear" w:color="auto" w:fill="D8D8D8" w:themeFill="background1" w:themeFillShade="D9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68" w:type="dxa"/>
            <w:shd w:val="clear" w:color="auto" w:fill="D8D8D8" w:themeFill="background1" w:themeFillShade="D9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68" w:type="dxa"/>
            <w:shd w:val="clear" w:color="auto" w:fill="D8D8D8" w:themeFill="background1" w:themeFillShade="D9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268" w:type="dxa"/>
            <w:vAlign w:val="center"/>
          </w:tcPr>
          <w:p>
            <w:pPr>
              <w:ind w:firstLine="220" w:firstLineChars="100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0~4</w:t>
            </w:r>
          </w:p>
        </w:tc>
        <w:tc>
          <w:tcPr>
            <w:tcW w:w="2268" w:type="dxa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23(69.7%)</w:t>
            </w:r>
          </w:p>
        </w:tc>
        <w:tc>
          <w:tcPr>
            <w:tcW w:w="2268" w:type="dxa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29(58.0%)</w:t>
            </w:r>
          </w:p>
        </w:tc>
        <w:tc>
          <w:tcPr>
            <w:tcW w:w="2268" w:type="dxa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0.478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268" w:type="dxa"/>
            <w:vAlign w:val="center"/>
          </w:tcPr>
          <w:p>
            <w:pPr>
              <w:ind w:firstLine="220" w:firstLineChars="100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5~9</w:t>
            </w:r>
          </w:p>
        </w:tc>
        <w:tc>
          <w:tcPr>
            <w:tcW w:w="2268" w:type="dxa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5(15.2%)</w:t>
            </w:r>
          </w:p>
        </w:tc>
        <w:tc>
          <w:tcPr>
            <w:tcW w:w="2268" w:type="dxa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13(26.0%)</w:t>
            </w:r>
          </w:p>
        </w:tc>
        <w:tc>
          <w:tcPr>
            <w:tcW w:w="2268" w:type="dxa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268" w:type="dxa"/>
            <w:tcBorders>
              <w:bottom w:val="single" w:color="auto" w:sz="12" w:space="0"/>
            </w:tcBorders>
            <w:vAlign w:val="center"/>
          </w:tcPr>
          <w:p>
            <w:pPr>
              <w:ind w:firstLine="220" w:firstLineChars="100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≥10</w:t>
            </w:r>
          </w:p>
        </w:tc>
        <w:tc>
          <w:tcPr>
            <w:tcW w:w="2268" w:type="dxa"/>
            <w:tcBorders>
              <w:bottom w:val="single" w:color="auto" w:sz="12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5(15.2%)</w:t>
            </w:r>
          </w:p>
        </w:tc>
        <w:tc>
          <w:tcPr>
            <w:tcW w:w="2268" w:type="dxa"/>
            <w:tcBorders>
              <w:bottom w:val="single" w:color="auto" w:sz="12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8(16.0%)</w:t>
            </w:r>
          </w:p>
        </w:tc>
        <w:tc>
          <w:tcPr>
            <w:tcW w:w="2268" w:type="dxa"/>
            <w:tcBorders>
              <w:bottom w:val="single" w:color="auto" w:sz="12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rPr>
          <w:rFonts w:ascii="Times New Roman" w:hAnsi="Times New Roman" w:cs="Times New Roman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2"/>
          <w14:textFill>
            <w14:solidFill>
              <w14:schemeClr w14:val="tx1"/>
            </w14:solidFill>
          </w14:textFill>
        </w:rPr>
        <w:t>PHQ-9, Patient Health Questionnaire-9; GAD-7, Generalized Anxiety Disorder Questionnaire-7.</w:t>
      </w:r>
    </w:p>
    <w:p>
      <w:pPr>
        <w:rPr>
          <w:rFonts w:ascii="Times New Roman" w:hAnsi="Times New Roman" w:cs="Times New Roman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p>
      <w:pPr>
        <w:rPr>
          <w:rFonts w:ascii="Times New Roman" w:hAnsi="Times New Roman" w:cs="Times New Roman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p>
      <w:pPr>
        <w:rPr>
          <w:rFonts w:ascii="Times New Roman" w:hAnsi="Times New Roman" w:cs="Times New Roman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p>
      <w:pPr>
        <w:rPr>
          <w:rFonts w:ascii="Times New Roman" w:hAnsi="Times New Roman" w:cs="Times New Roman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p>
      <w:pPr>
        <w:rPr>
          <w:rFonts w:ascii="Times New Roman" w:hAnsi="Times New Roman" w:cs="Times New Roman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p>
      <w:pPr>
        <w:rPr>
          <w:rFonts w:ascii="Times New Roman" w:hAnsi="Times New Roman" w:cs="Times New Roman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p>
      <w:pPr>
        <w:rPr>
          <w:rFonts w:ascii="Times New Roman" w:hAnsi="Times New Roman" w:cs="Times New Roman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p>
      <w:pPr>
        <w:rPr>
          <w:rFonts w:ascii="Times New Roman" w:hAnsi="Times New Roman" w:cs="Times New Roman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p>
      <w:pPr>
        <w:rPr>
          <w:rFonts w:ascii="Times New Roman" w:hAnsi="Times New Roman" w:cs="Times New Roman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p>
      <w:pPr>
        <w:rPr>
          <w:rFonts w:ascii="Times New Roman" w:hAnsi="Times New Roman" w:cs="Times New Roman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p>
      <w:pPr>
        <w:rPr>
          <w:rFonts w:ascii="Times New Roman" w:hAnsi="Times New Roman" w:cs="Times New Roman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p>
      <w:pPr>
        <w:rPr>
          <w:rFonts w:ascii="Times New Roman" w:hAnsi="Times New Roman" w:cs="Times New Roman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p>
      <w:pPr>
        <w:rPr>
          <w:rFonts w:ascii="Times New Roman" w:hAnsi="Times New Roman" w:cs="Times New Roman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p>
      <w:pPr>
        <w:rPr>
          <w:rFonts w:ascii="Times New Roman" w:hAnsi="Times New Roman" w:cs="Times New Roman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p>
      <w:pPr>
        <w:rPr>
          <w:rFonts w:ascii="Times New Roman" w:hAnsi="Times New Roman" w:cs="Times New Roman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p>
      <w:pPr>
        <w:rPr>
          <w:rFonts w:ascii="Times New Roman" w:hAnsi="Times New Roman" w:cs="Times New Roman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p>
      <w:pPr>
        <w:rPr>
          <w:rFonts w:ascii="Times New Roman" w:hAnsi="Times New Roman" w:cs="Times New Roman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p>
      <w:pPr>
        <w:rPr>
          <w:rFonts w:ascii="Times New Roman" w:hAnsi="Times New Roman" w:cs="Times New Roman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p>
      <w:pPr>
        <w:rPr>
          <w:rFonts w:ascii="Times New Roman" w:hAnsi="Times New Roman" w:cs="Times New Roman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p>
      <w:pPr>
        <w:rPr>
          <w:rFonts w:ascii="Times New Roman" w:hAnsi="Times New Roman" w:cs="Times New Roman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p>
      <w:pPr>
        <w:rPr>
          <w:rFonts w:ascii="Times New Roman" w:hAnsi="Times New Roman" w:cs="Times New Roman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p>
      <w:pPr>
        <w:rPr>
          <w:rFonts w:ascii="Times New Roman" w:hAnsi="Times New Roman" w:cs="Times New Roman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p>
      <w:pPr>
        <w:rPr>
          <w:rFonts w:ascii="Times New Roman" w:hAnsi="Times New Roman" w:cs="Times New Roman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p>
      <w:pPr>
        <w:rPr>
          <w:rFonts w:ascii="Times New Roman" w:hAnsi="Times New Roman" w:cs="Times New Roman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p>
      <w:pPr>
        <w:rPr>
          <w:rFonts w:ascii="Times New Roman" w:hAnsi="Times New Roman" w:cs="Times New Roman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p>
      <w:pPr>
        <w:rPr>
          <w:rFonts w:ascii="Times New Roman" w:hAnsi="Times New Roman" w:cs="Times New Roman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p>
      <w:pPr>
        <w:rPr>
          <w:rFonts w:ascii="Times New Roman" w:hAnsi="Times New Roman" w:cs="Times New Roman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p>
      <w:pPr>
        <w:rPr>
          <w:rFonts w:ascii="Times New Roman" w:hAnsi="Times New Roman" w:cs="Times New Roman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p>
      <w:pPr>
        <w:rPr>
          <w:rFonts w:ascii="Times New Roman" w:hAnsi="Times New Roman" w:cs="Times New Roman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p>
      <w:pPr>
        <w:rPr>
          <w:rFonts w:ascii="Times New Roman" w:hAnsi="Times New Roman" w:cs="Times New Roman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Times New Roman" w:hAnsi="Times New Roman" w:cs="Times New Roman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p>
      <w:pPr>
        <w:rPr>
          <w:rFonts w:ascii="Times New Roman" w:hAnsi="Times New Roman" w:cs="Times New Roman"/>
          <w:b/>
          <w:bCs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bookmarkStart w:id="0" w:name="_Hlk76985503"/>
      <w:r>
        <w:rPr>
          <w:rFonts w:ascii="Times New Roman" w:hAnsi="Times New Roman" w:cs="Times New Roman"/>
          <w:b/>
          <w:bCs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Supplementary Table </w:t>
      </w:r>
      <w:bookmarkEnd w:id="0"/>
      <w:r>
        <w:rPr>
          <w:rFonts w:ascii="Times New Roman" w:hAnsi="Times New Roman" w:cs="Times New Roman"/>
          <w:b/>
          <w:bCs/>
          <w:color w:val="000000" w:themeColor="text1"/>
          <w:sz w:val="22"/>
          <w14:textFill>
            <w14:solidFill>
              <w14:schemeClr w14:val="tx1"/>
            </w14:solidFill>
          </w14:textFill>
        </w:rPr>
        <w:t>3. Correlation analysis (all patients)</w:t>
      </w:r>
    </w:p>
    <w:tbl>
      <w:tblPr>
        <w:tblStyle w:val="7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2"/>
        <w:gridCol w:w="1267"/>
        <w:gridCol w:w="852"/>
        <w:gridCol w:w="222"/>
        <w:gridCol w:w="1081"/>
        <w:gridCol w:w="1178"/>
        <w:gridCol w:w="222"/>
        <w:gridCol w:w="1883"/>
        <w:gridCol w:w="82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2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Factor</w:t>
            </w:r>
          </w:p>
        </w:tc>
        <w:tc>
          <w:tcPr>
            <w:tcW w:w="1267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ALL</w:t>
            </w:r>
          </w:p>
        </w:tc>
        <w:tc>
          <w:tcPr>
            <w:tcW w:w="0" w:type="auto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Merge w:val="restart"/>
            <w:tcBorders>
              <w:top w:val="single" w:color="auto" w:sz="12" w:space="0"/>
            </w:tcBorders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gridSpan w:val="2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Without diabetes mellitus</w:t>
            </w:r>
          </w:p>
        </w:tc>
        <w:tc>
          <w:tcPr>
            <w:tcW w:w="0" w:type="auto"/>
            <w:vMerge w:val="restart"/>
            <w:tcBorders>
              <w:top w:val="single" w:color="auto" w:sz="12" w:space="0"/>
            </w:tcBorders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With diabetes mellitus</w:t>
            </w:r>
          </w:p>
        </w:tc>
        <w:tc>
          <w:tcPr>
            <w:tcW w:w="0" w:type="auto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2" w:type="dxa"/>
            <w:vMerge w:val="continue"/>
            <w:tcBorders>
              <w:bottom w:val="single" w:color="auto" w:sz="12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7" w:type="dxa"/>
            <w:tcBorders>
              <w:top w:val="single" w:color="auto" w:sz="6" w:space="0"/>
              <w:bottom w:val="single" w:color="auto" w:sz="12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0" w:type="auto"/>
            <w:tcBorders>
              <w:top w:val="single" w:color="auto" w:sz="6" w:space="0"/>
              <w:bottom w:val="single" w:color="auto" w:sz="12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P value</w:t>
            </w:r>
          </w:p>
        </w:tc>
        <w:tc>
          <w:tcPr>
            <w:tcW w:w="0" w:type="auto"/>
            <w:vMerge w:val="continue"/>
            <w:tcBorders>
              <w:bottom w:val="single" w:color="auto" w:sz="12" w:space="0"/>
            </w:tcBorders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auto" w:sz="6" w:space="0"/>
              <w:bottom w:val="single" w:color="auto" w:sz="12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0" w:type="auto"/>
            <w:tcBorders>
              <w:top w:val="single" w:color="auto" w:sz="6" w:space="0"/>
              <w:bottom w:val="single" w:color="auto" w:sz="12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P value</w:t>
            </w:r>
          </w:p>
        </w:tc>
        <w:tc>
          <w:tcPr>
            <w:tcW w:w="0" w:type="auto"/>
            <w:vMerge w:val="continue"/>
            <w:tcBorders>
              <w:bottom w:val="single" w:color="auto" w:sz="12" w:space="0"/>
            </w:tcBorders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auto" w:sz="6" w:space="0"/>
              <w:bottom w:val="single" w:color="auto" w:sz="12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0" w:type="auto"/>
            <w:tcBorders>
              <w:top w:val="single" w:color="auto" w:sz="6" w:space="0"/>
              <w:bottom w:val="single" w:color="auto" w:sz="12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P value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2" w:type="dxa"/>
            <w:tcBorders>
              <w:top w:val="single" w:color="auto" w:sz="12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Age</w:t>
            </w:r>
          </w:p>
        </w:tc>
        <w:tc>
          <w:tcPr>
            <w:tcW w:w="1267" w:type="dxa"/>
            <w:tcBorders>
              <w:top w:val="single" w:color="auto" w:sz="12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-0.349</w:t>
            </w:r>
          </w:p>
        </w:tc>
        <w:tc>
          <w:tcPr>
            <w:tcW w:w="0" w:type="auto"/>
            <w:tcBorders>
              <w:top w:val="single" w:color="auto" w:sz="12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0.001*</w:t>
            </w:r>
          </w:p>
        </w:tc>
        <w:tc>
          <w:tcPr>
            <w:tcW w:w="0" w:type="auto"/>
            <w:tcBorders>
              <w:top w:val="single" w:color="auto" w:sz="12" w:space="0"/>
            </w:tcBorders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auto" w:sz="12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-0.335</w:t>
            </w:r>
          </w:p>
        </w:tc>
        <w:tc>
          <w:tcPr>
            <w:tcW w:w="0" w:type="auto"/>
            <w:tcBorders>
              <w:top w:val="single" w:color="auto" w:sz="12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0.012*</w:t>
            </w:r>
          </w:p>
        </w:tc>
        <w:tc>
          <w:tcPr>
            <w:tcW w:w="0" w:type="auto"/>
            <w:tcBorders>
              <w:top w:val="single" w:color="auto" w:sz="12" w:space="0"/>
            </w:tcBorders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auto" w:sz="12" w:space="0"/>
            </w:tcBorders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-0.340</w:t>
            </w:r>
          </w:p>
        </w:tc>
        <w:tc>
          <w:tcPr>
            <w:tcW w:w="0" w:type="auto"/>
            <w:tcBorders>
              <w:top w:val="single" w:color="auto" w:sz="12" w:space="0"/>
            </w:tcBorders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0.096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2" w:type="dxa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Diabetes mellitus</w:t>
            </w:r>
          </w:p>
        </w:tc>
        <w:tc>
          <w:tcPr>
            <w:tcW w:w="1267" w:type="dxa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-0.324</w:t>
            </w:r>
          </w:p>
        </w:tc>
        <w:tc>
          <w:tcPr>
            <w:tcW w:w="0" w:type="auto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0.003*</w:t>
            </w:r>
          </w:p>
        </w:tc>
        <w:tc>
          <w:tcPr>
            <w:tcW w:w="0" w:type="auto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0" w:type="auto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0" w:type="auto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2" w:type="dxa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bookmarkStart w:id="1" w:name="_Hlk76419493"/>
            <w:r>
              <w:rPr>
                <w:rFonts w:ascii="Times New Roman" w:hAnsi="Times New Roman" w:cs="Times New Roman" w:eastAsiaTheme="major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HbA1c</w:t>
            </w:r>
            <w:bookmarkEnd w:id="1"/>
          </w:p>
        </w:tc>
        <w:tc>
          <w:tcPr>
            <w:tcW w:w="1267" w:type="dxa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-0.378</w:t>
            </w:r>
          </w:p>
        </w:tc>
        <w:tc>
          <w:tcPr>
            <w:tcW w:w="0" w:type="auto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0.004*</w:t>
            </w:r>
          </w:p>
        </w:tc>
        <w:tc>
          <w:tcPr>
            <w:tcW w:w="0" w:type="auto"/>
          </w:tcPr>
          <w:p>
            <w:pPr>
              <w:rPr>
                <w:rFonts w:ascii="Times New Roman" w:hAnsi="Times New Roman" w:cs="Times New Roman" w:eastAsiaTheme="major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 w:eastAsiaTheme="major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-0.329</w:t>
            </w:r>
          </w:p>
        </w:tc>
        <w:tc>
          <w:tcPr>
            <w:tcW w:w="0" w:type="auto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0.076</w:t>
            </w:r>
          </w:p>
        </w:tc>
        <w:tc>
          <w:tcPr>
            <w:tcW w:w="0" w:type="auto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-0.345</w:t>
            </w:r>
          </w:p>
        </w:tc>
        <w:tc>
          <w:tcPr>
            <w:tcW w:w="0" w:type="auto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0.107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2" w:type="dxa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UA</w:t>
            </w:r>
          </w:p>
        </w:tc>
        <w:tc>
          <w:tcPr>
            <w:tcW w:w="1267" w:type="dxa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0.311</w:t>
            </w:r>
          </w:p>
        </w:tc>
        <w:tc>
          <w:tcPr>
            <w:tcW w:w="0" w:type="auto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0.008*</w:t>
            </w:r>
          </w:p>
        </w:tc>
        <w:tc>
          <w:tcPr>
            <w:tcW w:w="0" w:type="auto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0.250</w:t>
            </w:r>
          </w:p>
        </w:tc>
        <w:tc>
          <w:tcPr>
            <w:tcW w:w="0" w:type="auto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0.106</w:t>
            </w:r>
          </w:p>
        </w:tc>
        <w:tc>
          <w:tcPr>
            <w:tcW w:w="0" w:type="auto"/>
          </w:tcPr>
          <w:p>
            <w:pPr>
              <w:rPr>
                <w:rFonts w:ascii="Times New Roman" w:hAnsi="Times New Roman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</w:tcPr>
          <w:p>
            <w:pPr>
              <w:rPr>
                <w:rFonts w:ascii="Times New Roman" w:hAnsi="Times New Roman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0.372</w:t>
            </w:r>
          </w:p>
        </w:tc>
        <w:tc>
          <w:tcPr>
            <w:tcW w:w="0" w:type="auto"/>
          </w:tcPr>
          <w:p>
            <w:pPr>
              <w:rPr>
                <w:rFonts w:ascii="Times New Roman" w:hAnsi="Times New Roman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0.067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2" w:type="dxa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HCY</w:t>
            </w:r>
          </w:p>
        </w:tc>
        <w:tc>
          <w:tcPr>
            <w:tcW w:w="1267" w:type="dxa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0.246</w:t>
            </w:r>
          </w:p>
        </w:tc>
        <w:tc>
          <w:tcPr>
            <w:tcW w:w="0" w:type="auto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0.048*</w:t>
            </w:r>
          </w:p>
        </w:tc>
        <w:tc>
          <w:tcPr>
            <w:tcW w:w="0" w:type="auto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0.280</w:t>
            </w:r>
          </w:p>
        </w:tc>
        <w:tc>
          <w:tcPr>
            <w:tcW w:w="0" w:type="auto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0.080</w:t>
            </w:r>
          </w:p>
        </w:tc>
        <w:tc>
          <w:tcPr>
            <w:tcW w:w="0" w:type="auto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0.409</w:t>
            </w:r>
          </w:p>
        </w:tc>
        <w:tc>
          <w:tcPr>
            <w:tcW w:w="0" w:type="auto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0.053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2" w:type="dxa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FBG</w:t>
            </w:r>
          </w:p>
        </w:tc>
        <w:tc>
          <w:tcPr>
            <w:tcW w:w="1267" w:type="dxa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-0.215</w:t>
            </w:r>
          </w:p>
        </w:tc>
        <w:tc>
          <w:tcPr>
            <w:tcW w:w="0" w:type="auto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0.072</w:t>
            </w:r>
          </w:p>
        </w:tc>
        <w:tc>
          <w:tcPr>
            <w:tcW w:w="0" w:type="auto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-0.088</w:t>
            </w:r>
          </w:p>
        </w:tc>
        <w:tc>
          <w:tcPr>
            <w:tcW w:w="0" w:type="auto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0.570</w:t>
            </w:r>
          </w:p>
        </w:tc>
        <w:tc>
          <w:tcPr>
            <w:tcW w:w="0" w:type="auto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-0.031</w:t>
            </w:r>
          </w:p>
        </w:tc>
        <w:tc>
          <w:tcPr>
            <w:tcW w:w="0" w:type="auto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0.885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2" w:type="dxa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LVEF</w:t>
            </w:r>
          </w:p>
        </w:tc>
        <w:tc>
          <w:tcPr>
            <w:tcW w:w="1267" w:type="dxa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0.060</w:t>
            </w:r>
          </w:p>
        </w:tc>
        <w:tc>
          <w:tcPr>
            <w:tcW w:w="0" w:type="auto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0.630</w:t>
            </w:r>
          </w:p>
        </w:tc>
        <w:tc>
          <w:tcPr>
            <w:tcW w:w="0" w:type="auto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0.013</w:t>
            </w:r>
          </w:p>
        </w:tc>
        <w:tc>
          <w:tcPr>
            <w:tcW w:w="0" w:type="auto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0.927</w:t>
            </w:r>
          </w:p>
        </w:tc>
        <w:tc>
          <w:tcPr>
            <w:tcW w:w="0" w:type="auto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0.033</w:t>
            </w:r>
          </w:p>
        </w:tc>
        <w:tc>
          <w:tcPr>
            <w:tcW w:w="0" w:type="auto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0.882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2" w:type="dxa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E/A</w:t>
            </w:r>
          </w:p>
        </w:tc>
        <w:tc>
          <w:tcPr>
            <w:tcW w:w="1267" w:type="dxa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0.034</w:t>
            </w:r>
          </w:p>
        </w:tc>
        <w:tc>
          <w:tcPr>
            <w:tcW w:w="0" w:type="auto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0.794</w:t>
            </w:r>
          </w:p>
        </w:tc>
        <w:tc>
          <w:tcPr>
            <w:tcW w:w="0" w:type="auto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0.173</w:t>
            </w:r>
          </w:p>
        </w:tc>
        <w:tc>
          <w:tcPr>
            <w:tcW w:w="0" w:type="auto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0.287</w:t>
            </w:r>
          </w:p>
        </w:tc>
        <w:tc>
          <w:tcPr>
            <w:tcW w:w="0" w:type="auto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-0.275</w:t>
            </w:r>
          </w:p>
        </w:tc>
        <w:tc>
          <w:tcPr>
            <w:tcW w:w="0" w:type="auto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0.240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2" w:type="dxa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PHQ-9</w:t>
            </w:r>
          </w:p>
        </w:tc>
        <w:tc>
          <w:tcPr>
            <w:tcW w:w="1267" w:type="dxa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-0.038</w:t>
            </w:r>
          </w:p>
        </w:tc>
        <w:tc>
          <w:tcPr>
            <w:tcW w:w="0" w:type="auto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0.730</w:t>
            </w:r>
          </w:p>
        </w:tc>
        <w:tc>
          <w:tcPr>
            <w:tcW w:w="0" w:type="auto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-0.001</w:t>
            </w:r>
          </w:p>
        </w:tc>
        <w:tc>
          <w:tcPr>
            <w:tcW w:w="0" w:type="auto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0.994</w:t>
            </w:r>
          </w:p>
        </w:tc>
        <w:tc>
          <w:tcPr>
            <w:tcW w:w="0" w:type="auto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-0.041</w:t>
            </w:r>
          </w:p>
        </w:tc>
        <w:tc>
          <w:tcPr>
            <w:tcW w:w="0" w:type="auto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0.844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2" w:type="dxa"/>
            <w:tcBorders>
              <w:bottom w:val="single" w:color="auto" w:sz="12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GAD-7</w:t>
            </w:r>
          </w:p>
        </w:tc>
        <w:tc>
          <w:tcPr>
            <w:tcW w:w="1267" w:type="dxa"/>
            <w:tcBorders>
              <w:bottom w:val="single" w:color="auto" w:sz="12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0.165</w:t>
            </w:r>
          </w:p>
        </w:tc>
        <w:tc>
          <w:tcPr>
            <w:tcW w:w="0" w:type="auto"/>
            <w:tcBorders>
              <w:bottom w:val="single" w:color="auto" w:sz="12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0.135</w:t>
            </w:r>
          </w:p>
        </w:tc>
        <w:tc>
          <w:tcPr>
            <w:tcW w:w="0" w:type="auto"/>
            <w:tcBorders>
              <w:bottom w:val="single" w:color="auto" w:sz="12" w:space="0"/>
            </w:tcBorders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bottom w:val="single" w:color="auto" w:sz="12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0.175</w:t>
            </w:r>
          </w:p>
        </w:tc>
        <w:tc>
          <w:tcPr>
            <w:tcW w:w="0" w:type="auto"/>
            <w:tcBorders>
              <w:bottom w:val="single" w:color="auto" w:sz="12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0.200</w:t>
            </w:r>
          </w:p>
        </w:tc>
        <w:tc>
          <w:tcPr>
            <w:tcW w:w="0" w:type="auto"/>
            <w:tcBorders>
              <w:bottom w:val="single" w:color="auto" w:sz="12" w:space="0"/>
            </w:tcBorders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bottom w:val="single" w:color="auto" w:sz="12" w:space="0"/>
            </w:tcBorders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0.069</w:t>
            </w:r>
          </w:p>
        </w:tc>
        <w:tc>
          <w:tcPr>
            <w:tcW w:w="0" w:type="auto"/>
            <w:tcBorders>
              <w:bottom w:val="single" w:color="auto" w:sz="12" w:space="0"/>
            </w:tcBorders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0.744</w:t>
            </w:r>
          </w:p>
        </w:tc>
      </w:tr>
    </w:tbl>
    <w:p>
      <w:pPr>
        <w:rPr>
          <w:rFonts w:ascii="Times New Roman" w:hAnsi="Times New Roman" w:cs="Times New Roman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宋体" w:cs="Times New Roman"/>
          <w:color w:val="000000" w:themeColor="text1"/>
          <w:sz w:val="22"/>
          <w:shd w:val="clear" w:color="auto" w:fill="FFFFFF"/>
          <w14:textFill>
            <w14:solidFill>
              <w14:schemeClr w14:val="tx1"/>
            </w14:solidFill>
          </w14:textFill>
        </w:rPr>
        <w:t xml:space="preserve">LVEF, </w:t>
      </w:r>
      <w:r>
        <w:rPr>
          <w:rFonts w:ascii="Times New Roman" w:hAnsi="Times New Roman" w:cs="Times New Roman" w:eastAsiaTheme="major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left ventricular ejection fraction; </w:t>
      </w:r>
      <w:r>
        <w:rPr>
          <w:rFonts w:ascii="Times New Roman" w:hAnsi="Times New Roman" w:cs="Times New Roman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PHQ-9, Patient Health Questionnaire-9; GAD-7, Generalized Anxiety Disorder Questionnaire-7; </w:t>
      </w:r>
      <w:r>
        <w:rPr>
          <w:rFonts w:ascii="Times New Roman" w:hAnsi="Times New Roman" w:eastAsia="宋体" w:cs="Times New Roman"/>
          <w:color w:val="000000" w:themeColor="text1"/>
          <w:sz w:val="22"/>
          <w:shd w:val="clear" w:color="auto" w:fill="FFFFFF"/>
          <w14:textFill>
            <w14:solidFill>
              <w14:schemeClr w14:val="tx1"/>
            </w14:solidFill>
          </w14:textFill>
        </w:rPr>
        <w:t>FBG,</w:t>
      </w:r>
      <w:r>
        <w:rPr>
          <w:rFonts w:ascii="Times New Roman" w:hAnsi="Times New Roman" w:cs="Times New Roman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eastAsia="宋体" w:cs="Times New Roman"/>
          <w:color w:val="000000" w:themeColor="text1"/>
          <w:sz w:val="22"/>
          <w:shd w:val="clear" w:color="auto" w:fill="FFFFFF"/>
          <w14:textFill>
            <w14:solidFill>
              <w14:schemeClr w14:val="tx1"/>
            </w14:solidFill>
          </w14:textFill>
        </w:rPr>
        <w:t>fasting blood glucose</w:t>
      </w:r>
      <w:r>
        <w:rPr>
          <w:rFonts w:hint="eastAsia" w:ascii="Times New Roman" w:hAnsi="Times New Roman" w:eastAsia="宋体" w:cs="Times New Roman"/>
          <w:color w:val="000000" w:themeColor="text1"/>
          <w:sz w:val="22"/>
          <w:shd w:val="clear" w:color="auto" w:fill="FFFFFF"/>
          <w14:textFill>
            <w14:solidFill>
              <w14:schemeClr w14:val="tx1"/>
            </w14:solidFill>
          </w14:textFill>
        </w:rPr>
        <w:t>;</w:t>
      </w:r>
      <w:r>
        <w:rPr>
          <w:rFonts w:ascii="Times New Roman" w:hAnsi="Times New Roman" w:eastAsia="宋体" w:cs="Times New Roman"/>
          <w:color w:val="000000" w:themeColor="text1"/>
          <w:sz w:val="22"/>
          <w:shd w:val="clear" w:color="auto" w:fill="FFFFFF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cs="Times New Roman" w:eastAsiaTheme="major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HbA1c</w:t>
      </w:r>
      <w:r>
        <w:rPr>
          <w:rFonts w:ascii="Times New Roman" w:hAnsi="Times New Roman" w:eastAsia="宋体" w:cs="Times New Roman"/>
          <w:color w:val="000000" w:themeColor="text1"/>
          <w:sz w:val="22"/>
          <w:shd w:val="clear" w:color="auto" w:fill="FFFFFF"/>
          <w14:textFill>
            <w14:solidFill>
              <w14:schemeClr w14:val="tx1"/>
            </w14:solidFill>
          </w14:textFill>
        </w:rPr>
        <w:t>, glycosylated hemoglobin; UA,</w:t>
      </w:r>
      <w:r>
        <w:rPr>
          <w:rFonts w:ascii="Times New Roman" w:hAnsi="Times New Roman" w:cs="Times New Roman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eastAsia="宋体" w:cs="Times New Roman"/>
          <w:color w:val="000000" w:themeColor="text1"/>
          <w:sz w:val="22"/>
          <w:shd w:val="clear" w:color="auto" w:fill="FFFFFF"/>
          <w14:textFill>
            <w14:solidFill>
              <w14:schemeClr w14:val="tx1"/>
            </w14:solidFill>
          </w14:textFill>
        </w:rPr>
        <w:t>uric acid；HCY,</w:t>
      </w:r>
      <w:r>
        <w:rPr>
          <w:rFonts w:ascii="Times New Roman" w:hAnsi="Times New Roman" w:cs="Times New Roman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eastAsia="宋体" w:cs="Times New Roman"/>
          <w:color w:val="000000" w:themeColor="text1"/>
          <w:sz w:val="22"/>
          <w:shd w:val="clear" w:color="auto" w:fill="FFFFFF"/>
          <w14:textFill>
            <w14:solidFill>
              <w14:schemeClr w14:val="tx1"/>
            </w14:solidFill>
          </w14:textFill>
        </w:rPr>
        <w:t>Homocysteine</w:t>
      </w:r>
      <w:r>
        <w:rPr>
          <w:rFonts w:ascii="Times New Roman" w:hAnsi="Times New Roman" w:cs="Times New Roman"/>
          <w:color w:val="000000" w:themeColor="text1"/>
          <w:sz w:val="22"/>
          <w14:textFill>
            <w14:solidFill>
              <w14:schemeClr w14:val="tx1"/>
            </w14:solidFill>
          </w14:textFill>
        </w:rPr>
        <w:t>. *p&lt;0.05</w:t>
      </w:r>
    </w:p>
    <w:p>
      <w:pPr>
        <w:rPr>
          <w:rFonts w:ascii="Times New Roman" w:hAnsi="Times New Roman" w:cs="Times New Roman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ingLiU">
    <w:altName w:val="PMingLiU-ExtB"/>
    <w:panose1 w:val="02010609000101010101"/>
    <w:charset w:val="88"/>
    <w:family w:val="modern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77EA"/>
    <w:rsid w:val="00000207"/>
    <w:rsid w:val="000061DC"/>
    <w:rsid w:val="00015C08"/>
    <w:rsid w:val="00031305"/>
    <w:rsid w:val="00033FEE"/>
    <w:rsid w:val="000353A2"/>
    <w:rsid w:val="00042D9F"/>
    <w:rsid w:val="00042E79"/>
    <w:rsid w:val="0004304F"/>
    <w:rsid w:val="00045FA3"/>
    <w:rsid w:val="0005209B"/>
    <w:rsid w:val="00057AFB"/>
    <w:rsid w:val="00077F94"/>
    <w:rsid w:val="00082A56"/>
    <w:rsid w:val="00093375"/>
    <w:rsid w:val="000B07BC"/>
    <w:rsid w:val="000C12AC"/>
    <w:rsid w:val="000C531B"/>
    <w:rsid w:val="000D77EA"/>
    <w:rsid w:val="000E7C68"/>
    <w:rsid w:val="000F1CEB"/>
    <w:rsid w:val="000F3C73"/>
    <w:rsid w:val="000F7660"/>
    <w:rsid w:val="00133475"/>
    <w:rsid w:val="001428AE"/>
    <w:rsid w:val="00143547"/>
    <w:rsid w:val="00150731"/>
    <w:rsid w:val="001521DA"/>
    <w:rsid w:val="00154E58"/>
    <w:rsid w:val="001571D8"/>
    <w:rsid w:val="0015792C"/>
    <w:rsid w:val="00173BBB"/>
    <w:rsid w:val="00176762"/>
    <w:rsid w:val="00193188"/>
    <w:rsid w:val="001A5EDF"/>
    <w:rsid w:val="001C5F4B"/>
    <w:rsid w:val="001D2FBA"/>
    <w:rsid w:val="001F3A51"/>
    <w:rsid w:val="001F7FD0"/>
    <w:rsid w:val="002064CC"/>
    <w:rsid w:val="0024690D"/>
    <w:rsid w:val="00263E12"/>
    <w:rsid w:val="0028317C"/>
    <w:rsid w:val="00283DE7"/>
    <w:rsid w:val="002972E5"/>
    <w:rsid w:val="002C6D78"/>
    <w:rsid w:val="002D1883"/>
    <w:rsid w:val="002D1D3F"/>
    <w:rsid w:val="002D3DB9"/>
    <w:rsid w:val="002D6C98"/>
    <w:rsid w:val="002E1561"/>
    <w:rsid w:val="002F50C6"/>
    <w:rsid w:val="0031556A"/>
    <w:rsid w:val="003433C7"/>
    <w:rsid w:val="00343ECC"/>
    <w:rsid w:val="00377EDA"/>
    <w:rsid w:val="003851DC"/>
    <w:rsid w:val="00390D22"/>
    <w:rsid w:val="003955B2"/>
    <w:rsid w:val="003A115E"/>
    <w:rsid w:val="003D4F0E"/>
    <w:rsid w:val="003D53B0"/>
    <w:rsid w:val="00433A2A"/>
    <w:rsid w:val="0043412E"/>
    <w:rsid w:val="00440C01"/>
    <w:rsid w:val="00441FBF"/>
    <w:rsid w:val="0044435E"/>
    <w:rsid w:val="004569F1"/>
    <w:rsid w:val="004666CC"/>
    <w:rsid w:val="00466A16"/>
    <w:rsid w:val="00486BD1"/>
    <w:rsid w:val="004A22BA"/>
    <w:rsid w:val="004D0419"/>
    <w:rsid w:val="004D72EA"/>
    <w:rsid w:val="004E7C1B"/>
    <w:rsid w:val="00512DC4"/>
    <w:rsid w:val="00521658"/>
    <w:rsid w:val="00523C4F"/>
    <w:rsid w:val="0052487E"/>
    <w:rsid w:val="005449D0"/>
    <w:rsid w:val="00550CC7"/>
    <w:rsid w:val="0055262C"/>
    <w:rsid w:val="00574437"/>
    <w:rsid w:val="0057447B"/>
    <w:rsid w:val="005848AC"/>
    <w:rsid w:val="00591BAA"/>
    <w:rsid w:val="00594E55"/>
    <w:rsid w:val="005A11CF"/>
    <w:rsid w:val="005B74CB"/>
    <w:rsid w:val="005C1F50"/>
    <w:rsid w:val="005F425C"/>
    <w:rsid w:val="00610B84"/>
    <w:rsid w:val="00613C1D"/>
    <w:rsid w:val="00622798"/>
    <w:rsid w:val="00623ED8"/>
    <w:rsid w:val="006264C4"/>
    <w:rsid w:val="006274C6"/>
    <w:rsid w:val="00631045"/>
    <w:rsid w:val="00634559"/>
    <w:rsid w:val="006440CF"/>
    <w:rsid w:val="00680B78"/>
    <w:rsid w:val="006A5FE8"/>
    <w:rsid w:val="006A671B"/>
    <w:rsid w:val="006B6E8E"/>
    <w:rsid w:val="006C2641"/>
    <w:rsid w:val="006D3082"/>
    <w:rsid w:val="006E0DC1"/>
    <w:rsid w:val="006F071F"/>
    <w:rsid w:val="00710339"/>
    <w:rsid w:val="007106E6"/>
    <w:rsid w:val="007112FC"/>
    <w:rsid w:val="00725468"/>
    <w:rsid w:val="00730370"/>
    <w:rsid w:val="00734ED6"/>
    <w:rsid w:val="007426C1"/>
    <w:rsid w:val="007430B9"/>
    <w:rsid w:val="007437D7"/>
    <w:rsid w:val="0074452E"/>
    <w:rsid w:val="00751608"/>
    <w:rsid w:val="00751FFA"/>
    <w:rsid w:val="00755DAA"/>
    <w:rsid w:val="0076146B"/>
    <w:rsid w:val="007A0974"/>
    <w:rsid w:val="007A1793"/>
    <w:rsid w:val="007B0A6D"/>
    <w:rsid w:val="007B4598"/>
    <w:rsid w:val="007D58BA"/>
    <w:rsid w:val="007D732C"/>
    <w:rsid w:val="007E629E"/>
    <w:rsid w:val="007F5495"/>
    <w:rsid w:val="00833D48"/>
    <w:rsid w:val="00841EF6"/>
    <w:rsid w:val="0084677A"/>
    <w:rsid w:val="00855679"/>
    <w:rsid w:val="008616FA"/>
    <w:rsid w:val="00870291"/>
    <w:rsid w:val="0088794A"/>
    <w:rsid w:val="008C00D6"/>
    <w:rsid w:val="008D7E6E"/>
    <w:rsid w:val="008E0436"/>
    <w:rsid w:val="0090363B"/>
    <w:rsid w:val="009559B7"/>
    <w:rsid w:val="009579C5"/>
    <w:rsid w:val="009632FA"/>
    <w:rsid w:val="00975C00"/>
    <w:rsid w:val="00992BC1"/>
    <w:rsid w:val="009975CC"/>
    <w:rsid w:val="009D01B4"/>
    <w:rsid w:val="009E49D3"/>
    <w:rsid w:val="009F367A"/>
    <w:rsid w:val="009F51E1"/>
    <w:rsid w:val="00A107ED"/>
    <w:rsid w:val="00A36698"/>
    <w:rsid w:val="00A40F30"/>
    <w:rsid w:val="00A46377"/>
    <w:rsid w:val="00A71C58"/>
    <w:rsid w:val="00A76F55"/>
    <w:rsid w:val="00A853AD"/>
    <w:rsid w:val="00AA4274"/>
    <w:rsid w:val="00AA5314"/>
    <w:rsid w:val="00AA6F4A"/>
    <w:rsid w:val="00AC18C9"/>
    <w:rsid w:val="00AC3F9A"/>
    <w:rsid w:val="00AC5E94"/>
    <w:rsid w:val="00AD7E40"/>
    <w:rsid w:val="00AE2410"/>
    <w:rsid w:val="00AE4C9C"/>
    <w:rsid w:val="00B0323C"/>
    <w:rsid w:val="00B10CFE"/>
    <w:rsid w:val="00B11698"/>
    <w:rsid w:val="00B2484F"/>
    <w:rsid w:val="00B31A2B"/>
    <w:rsid w:val="00B52190"/>
    <w:rsid w:val="00B528E9"/>
    <w:rsid w:val="00B52A28"/>
    <w:rsid w:val="00B54250"/>
    <w:rsid w:val="00B611A5"/>
    <w:rsid w:val="00B770F0"/>
    <w:rsid w:val="00B80586"/>
    <w:rsid w:val="00BC66DB"/>
    <w:rsid w:val="00BC6F67"/>
    <w:rsid w:val="00BE4A78"/>
    <w:rsid w:val="00BE5C19"/>
    <w:rsid w:val="00C21ADD"/>
    <w:rsid w:val="00C27510"/>
    <w:rsid w:val="00C63DCA"/>
    <w:rsid w:val="00C65957"/>
    <w:rsid w:val="00C73451"/>
    <w:rsid w:val="00C768E7"/>
    <w:rsid w:val="00C9359A"/>
    <w:rsid w:val="00CB572A"/>
    <w:rsid w:val="00CC6EF5"/>
    <w:rsid w:val="00CF6B5D"/>
    <w:rsid w:val="00D02910"/>
    <w:rsid w:val="00D06CE5"/>
    <w:rsid w:val="00D156DB"/>
    <w:rsid w:val="00D213A9"/>
    <w:rsid w:val="00D24DEC"/>
    <w:rsid w:val="00D3062C"/>
    <w:rsid w:val="00D31312"/>
    <w:rsid w:val="00D4123B"/>
    <w:rsid w:val="00D66229"/>
    <w:rsid w:val="00D72C27"/>
    <w:rsid w:val="00D8470E"/>
    <w:rsid w:val="00DB0698"/>
    <w:rsid w:val="00DB6BC5"/>
    <w:rsid w:val="00DC7181"/>
    <w:rsid w:val="00DE54D3"/>
    <w:rsid w:val="00E10DF1"/>
    <w:rsid w:val="00E15A72"/>
    <w:rsid w:val="00E55FF8"/>
    <w:rsid w:val="00E67401"/>
    <w:rsid w:val="00E930F2"/>
    <w:rsid w:val="00E94A72"/>
    <w:rsid w:val="00EB51B7"/>
    <w:rsid w:val="00EF4574"/>
    <w:rsid w:val="00EF463A"/>
    <w:rsid w:val="00EF5946"/>
    <w:rsid w:val="00EF6A89"/>
    <w:rsid w:val="00F02678"/>
    <w:rsid w:val="00F1228E"/>
    <w:rsid w:val="00F342CC"/>
    <w:rsid w:val="00F36BD4"/>
    <w:rsid w:val="00F375DC"/>
    <w:rsid w:val="00F4660F"/>
    <w:rsid w:val="00F55D1B"/>
    <w:rsid w:val="00F5712F"/>
    <w:rsid w:val="00F65D27"/>
    <w:rsid w:val="00F71B5B"/>
    <w:rsid w:val="00F73B5E"/>
    <w:rsid w:val="00FC0B01"/>
    <w:rsid w:val="00FC7BDF"/>
    <w:rsid w:val="00FE3FA6"/>
    <w:rsid w:val="00FE7C7A"/>
    <w:rsid w:val="01367115"/>
    <w:rsid w:val="34BA3465"/>
    <w:rsid w:val="54C02884"/>
    <w:rsid w:val="59FA45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2"/>
    <w:semiHidden/>
    <w:unhideWhenUsed/>
    <w:qFormat/>
    <w:uiPriority w:val="99"/>
    <w:pPr>
      <w:jc w:val="left"/>
    </w:p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annotation subject"/>
    <w:basedOn w:val="2"/>
    <w:next w:val="2"/>
    <w:link w:val="13"/>
    <w:semiHidden/>
    <w:unhideWhenUsed/>
    <w:qFormat/>
    <w:uiPriority w:val="99"/>
    <w:rPr>
      <w:b/>
      <w:bCs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annotation reference"/>
    <w:basedOn w:val="8"/>
    <w:semiHidden/>
    <w:unhideWhenUsed/>
    <w:qFormat/>
    <w:uiPriority w:val="99"/>
    <w:rPr>
      <w:sz w:val="21"/>
      <w:szCs w:val="21"/>
    </w:rPr>
  </w:style>
  <w:style w:type="character" w:customStyle="1" w:styleId="10">
    <w:name w:val="页眉 字符"/>
    <w:basedOn w:val="8"/>
    <w:link w:val="4"/>
    <w:qFormat/>
    <w:uiPriority w:val="99"/>
    <w:rPr>
      <w:sz w:val="18"/>
      <w:szCs w:val="18"/>
    </w:rPr>
  </w:style>
  <w:style w:type="character" w:customStyle="1" w:styleId="11">
    <w:name w:val="页脚 字符"/>
    <w:basedOn w:val="8"/>
    <w:link w:val="3"/>
    <w:qFormat/>
    <w:uiPriority w:val="99"/>
    <w:rPr>
      <w:sz w:val="18"/>
      <w:szCs w:val="18"/>
    </w:rPr>
  </w:style>
  <w:style w:type="character" w:customStyle="1" w:styleId="12">
    <w:name w:val="批注文字 字符"/>
    <w:basedOn w:val="8"/>
    <w:link w:val="2"/>
    <w:semiHidden/>
    <w:qFormat/>
    <w:uiPriority w:val="99"/>
  </w:style>
  <w:style w:type="character" w:customStyle="1" w:styleId="13">
    <w:name w:val="批注主题 字符"/>
    <w:basedOn w:val="12"/>
    <w:link w:val="5"/>
    <w:semiHidden/>
    <w:uiPriority w:val="99"/>
    <w:rPr>
      <w:b/>
      <w:bCs/>
    </w:rPr>
  </w:style>
  <w:style w:type="paragraph" w:styleId="14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883</Words>
  <Characters>5034</Characters>
  <Lines>41</Lines>
  <Paragraphs>11</Paragraphs>
  <TotalTime>100</TotalTime>
  <ScaleCrop>false</ScaleCrop>
  <LinksUpToDate>false</LinksUpToDate>
  <CharactersWithSpaces>5906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2021-08-02T08:14:00Z</dcterms:created>
  <dc:creator>Mark Sexton</dc:creator>
  <cp:lastModifiedBy>田晋帆</cp:lastModifiedBy>
  <dcterms:modified xsi:type="dcterms:W3CDTF">2021-08-11T07:30:43Z</dcterms:modified>
  <cp:revision>55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7EDF4D972695471BA8678E72796A55E0</vt:lpwstr>
  </property>
</Properties>
</file>