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A6EA8D" w14:textId="77777777" w:rsidR="00B10319" w:rsidRDefault="00B10319" w:rsidP="00B10319">
      <w:pPr>
        <w:spacing w:line="480" w:lineRule="auto"/>
        <w:rPr>
          <w:rFonts w:ascii="Times New Roman" w:hAnsi="Times New Roman" w:cs="Times New Roman"/>
          <w:b/>
          <w:color w:val="000000" w:themeColor="text1"/>
          <w:sz w:val="28"/>
          <w:szCs w:val="24"/>
        </w:rPr>
      </w:pPr>
      <w:r w:rsidRPr="00841A7E">
        <w:rPr>
          <w:rFonts w:ascii="Times New Roman" w:hAnsi="Times New Roman" w:cs="Times New Roman"/>
          <w:b/>
          <w:color w:val="000000" w:themeColor="text1"/>
          <w:sz w:val="28"/>
          <w:szCs w:val="24"/>
        </w:rPr>
        <w:t>Supplementary information Figures</w:t>
      </w:r>
    </w:p>
    <w:p w14:paraId="7C8124C5" w14:textId="77777777" w:rsidR="00B10319" w:rsidRDefault="00B10319" w:rsidP="00B10319">
      <w:pPr>
        <w:spacing w:line="480" w:lineRule="auto"/>
        <w:rPr>
          <w:rFonts w:ascii="Times New Roman" w:hAnsi="Times New Roman" w:cs="Times New Roman"/>
          <w:b/>
          <w:color w:val="000000" w:themeColor="text1"/>
          <w:sz w:val="28"/>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w:t>
      </w:r>
    </w:p>
    <w:p w14:paraId="016C9C05" w14:textId="77777777" w:rsidR="00B10319" w:rsidRPr="00841A7E" w:rsidRDefault="00B10319" w:rsidP="00B10319">
      <w:pPr>
        <w:spacing w:line="480" w:lineRule="auto"/>
        <w:rPr>
          <w:rFonts w:ascii="Times New Roman" w:hAnsi="Times New Roman" w:cs="Times New Roman"/>
          <w:b/>
          <w:color w:val="000000" w:themeColor="text1"/>
          <w:sz w:val="32"/>
          <w:szCs w:val="28"/>
        </w:rPr>
      </w:pPr>
      <w:r>
        <w:rPr>
          <w:rFonts w:ascii="Times New Roman" w:hAnsi="Times New Roman" w:cs="Times New Roman"/>
          <w:b/>
          <w:noProof/>
          <w:color w:val="000000" w:themeColor="text1"/>
          <w:sz w:val="32"/>
          <w:szCs w:val="28"/>
        </w:rPr>
        <w:drawing>
          <wp:inline distT="0" distB="0" distL="0" distR="0" wp14:anchorId="37029F1F" wp14:editId="7A9F4432">
            <wp:extent cx="5274310" cy="579818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 S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5798185"/>
                    </a:xfrm>
                    <a:prstGeom prst="rect">
                      <a:avLst/>
                    </a:prstGeom>
                  </pic:spPr>
                </pic:pic>
              </a:graphicData>
            </a:graphic>
          </wp:inline>
        </w:drawing>
      </w:r>
    </w:p>
    <w:p w14:paraId="3EAA286F"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1. </w:t>
      </w:r>
      <w:r w:rsidRPr="00EC1001">
        <w:rPr>
          <w:rFonts w:ascii="Times New Roman" w:hAnsi="Times New Roman" w:cs="Times New Roman"/>
          <w:b/>
          <w:color w:val="000000" w:themeColor="text1"/>
          <w:sz w:val="24"/>
          <w:szCs w:val="24"/>
        </w:rPr>
        <w:t xml:space="preserve">The basic statistics of samples and variants in the </w:t>
      </w:r>
      <w:r w:rsidRPr="00EC1001">
        <w:rPr>
          <w:rFonts w:ascii="Times New Roman" w:hAnsi="Times New Roman" w:cs="Times New Roman" w:hint="eastAsia"/>
          <w:b/>
          <w:color w:val="000000" w:themeColor="text1"/>
          <w:sz w:val="24"/>
          <w:szCs w:val="24"/>
        </w:rPr>
        <w:t>W</w:t>
      </w:r>
      <w:r w:rsidRPr="00EC1001">
        <w:rPr>
          <w:rFonts w:ascii="Times New Roman" w:hAnsi="Times New Roman" w:cs="Times New Roman"/>
          <w:b/>
          <w:color w:val="000000" w:themeColor="text1"/>
          <w:sz w:val="24"/>
          <w:szCs w:val="24"/>
        </w:rPr>
        <w:t>BBC-cohort</w:t>
      </w:r>
      <w:r w:rsidRPr="00EC1001">
        <w:rPr>
          <w:rFonts w:ascii="Times New Roman" w:hAnsi="Times New Roman"/>
          <w:b/>
          <w:color w:val="000000" w:themeColor="text1"/>
          <w:sz w:val="24"/>
          <w:szCs w:val="24"/>
        </w:rPr>
        <w:t xml:space="preserve">. </w:t>
      </w:r>
      <w:r>
        <w:rPr>
          <w:rFonts w:ascii="Times New Roman" w:hAnsi="Times New Roman" w:cs="Times New Roman"/>
          <w:b/>
          <w:color w:val="000000" w:themeColor="text1"/>
          <w:sz w:val="24"/>
          <w:szCs w:val="24"/>
        </w:rPr>
        <w:t>a</w:t>
      </w:r>
      <w:r w:rsidRPr="00EC1001">
        <w:rPr>
          <w:rFonts w:ascii="Times New Roman" w:hAnsi="Times New Roman" w:cs="Times New Roman"/>
          <w:color w:val="000000" w:themeColor="text1"/>
          <w:sz w:val="24"/>
          <w:szCs w:val="24"/>
        </w:rPr>
        <w:t xml:space="preserve"> The sequencing depth of all 4</w:t>
      </w:r>
      <w:r w:rsidRPr="00EC1001">
        <w:rPr>
          <w:rFonts w:ascii="Times New Roman" w:hAnsi="Times New Roman" w:cs="Times New Roman" w:hint="eastAsia"/>
          <w:color w:val="000000" w:themeColor="text1"/>
          <w:sz w:val="24"/>
          <w:szCs w:val="24"/>
        </w:rPr>
        <w:t>,</w:t>
      </w:r>
      <w:r w:rsidRPr="00EC1001">
        <w:rPr>
          <w:rFonts w:ascii="Times New Roman" w:hAnsi="Times New Roman" w:cs="Times New Roman"/>
          <w:color w:val="000000" w:themeColor="text1"/>
          <w:sz w:val="24"/>
          <w:szCs w:val="24"/>
        </w:rPr>
        <w:t>480 samples. The central red dot lines are the median. The inner chart represents the sequencing depth by sorted samples. The area plot indicates th</w:t>
      </w:r>
      <w:r>
        <w:rPr>
          <w:rFonts w:ascii="Times New Roman" w:hAnsi="Times New Roman" w:cs="Times New Roman"/>
          <w:color w:val="000000" w:themeColor="text1"/>
          <w:sz w:val="24"/>
          <w:szCs w:val="24"/>
        </w:rPr>
        <w:t xml:space="preserve">e density of sequencing depth. </w:t>
      </w:r>
      <w:r>
        <w:rPr>
          <w:rFonts w:ascii="Times New Roman" w:hAnsi="Times New Roman" w:cs="Times New Roman"/>
          <w:b/>
          <w:color w:val="000000" w:themeColor="text1"/>
          <w:sz w:val="24"/>
          <w:szCs w:val="24"/>
        </w:rPr>
        <w:t>b</w:t>
      </w:r>
      <w:r w:rsidRPr="00EC1001">
        <w:rPr>
          <w:rFonts w:ascii="Times New Roman" w:hAnsi="Times New Roman" w:cs="Times New Roman"/>
          <w:color w:val="000000" w:themeColor="text1"/>
          <w:sz w:val="24"/>
          <w:szCs w:val="24"/>
        </w:rPr>
        <w:t xml:space="preserve"> Histogram of the SNVs substitute types in all </w:t>
      </w:r>
      <w:r>
        <w:rPr>
          <w:rFonts w:ascii="Times New Roman" w:hAnsi="Times New Roman" w:cs="Times New Roman"/>
          <w:color w:val="000000" w:themeColor="text1"/>
          <w:sz w:val="24"/>
          <w:szCs w:val="24"/>
        </w:rPr>
        <w:t xml:space="preserve">chromosomes. </w:t>
      </w:r>
      <w:r>
        <w:rPr>
          <w:rFonts w:ascii="Times New Roman" w:hAnsi="Times New Roman" w:cs="Times New Roman"/>
          <w:b/>
          <w:color w:val="000000" w:themeColor="text1"/>
          <w:sz w:val="24"/>
          <w:szCs w:val="24"/>
        </w:rPr>
        <w:t>c</w:t>
      </w:r>
      <w:r w:rsidRPr="00EC1001">
        <w:rPr>
          <w:rFonts w:ascii="Times New Roman" w:hAnsi="Times New Roman" w:cs="Times New Roman"/>
          <w:color w:val="000000" w:themeColor="text1"/>
          <w:sz w:val="24"/>
          <w:szCs w:val="24"/>
        </w:rPr>
        <w:t xml:space="preserve"> Distribution of </w:t>
      </w:r>
      <w:r>
        <w:rPr>
          <w:rFonts w:ascii="Times New Roman" w:hAnsi="Times New Roman" w:cs="Times New Roman"/>
          <w:color w:val="000000" w:themeColor="text1"/>
          <w:sz w:val="24"/>
          <w:szCs w:val="24"/>
        </w:rPr>
        <w:t xml:space="preserve">the length of INDELs variants. </w:t>
      </w:r>
      <w:r>
        <w:rPr>
          <w:rFonts w:ascii="Times New Roman" w:hAnsi="Times New Roman" w:cs="Times New Roman"/>
          <w:b/>
          <w:color w:val="000000" w:themeColor="text1"/>
          <w:sz w:val="24"/>
          <w:szCs w:val="24"/>
        </w:rPr>
        <w:t>d</w:t>
      </w:r>
      <w:r w:rsidRPr="00EC1001">
        <w:rPr>
          <w:rFonts w:ascii="Times New Roman" w:hAnsi="Times New Roman" w:cs="Times New Roman"/>
          <w:color w:val="000000" w:themeColor="text1"/>
          <w:sz w:val="24"/>
          <w:szCs w:val="24"/>
        </w:rPr>
        <w:t xml:space="preserve"> The </w:t>
      </w:r>
      <w:r w:rsidRPr="00EC1001">
        <w:rPr>
          <w:rFonts w:ascii="Times New Roman" w:hAnsi="Times New Roman" w:cs="Times New Roman"/>
          <w:color w:val="000000" w:themeColor="text1"/>
          <w:sz w:val="24"/>
          <w:szCs w:val="24"/>
        </w:rPr>
        <w:lastRenderedPageBreak/>
        <w:t>difference of allele frequency between WBBC and East Asian populations in rare</w:t>
      </w:r>
      <w:r w:rsidRPr="00EC1001">
        <w:rPr>
          <w:rFonts w:ascii="Times New Roman" w:hAnsi="Times New Roman" w:cs="Times New Roman" w:hint="eastAsia"/>
          <w:color w:val="000000" w:themeColor="text1"/>
          <w:sz w:val="24"/>
          <w:szCs w:val="24"/>
        </w:rPr>
        <w:t xml:space="preserve"> </w:t>
      </w:r>
      <w:r w:rsidRPr="00EC1001">
        <w:rPr>
          <w:rFonts w:ascii="Times New Roman" w:hAnsi="Times New Roman" w:cs="Times New Roman"/>
          <w:color w:val="000000" w:themeColor="text1"/>
          <w:sz w:val="24"/>
          <w:szCs w:val="24"/>
          <w:lang w:val="en-CA"/>
        </w:rPr>
        <w:t>(MAF &lt; 0.5%)</w:t>
      </w:r>
      <w:r w:rsidRPr="00EC1001">
        <w:rPr>
          <w:rFonts w:ascii="Times New Roman" w:hAnsi="Times New Roman" w:cs="Times New Roman"/>
          <w:color w:val="000000" w:themeColor="text1"/>
          <w:sz w:val="24"/>
          <w:szCs w:val="24"/>
        </w:rPr>
        <w:t>, low-frequency (</w:t>
      </w:r>
      <w:r w:rsidRPr="00EC1001">
        <w:rPr>
          <w:rFonts w:ascii="Times New Roman" w:hAnsi="Times New Roman" w:cs="Times New Roman" w:hint="eastAsia"/>
          <w:color w:val="000000" w:themeColor="text1"/>
          <w:sz w:val="24"/>
          <w:szCs w:val="24"/>
        </w:rPr>
        <w:t>0.5%</w:t>
      </w:r>
      <w:r w:rsidRPr="00EC1001">
        <w:rPr>
          <w:rFonts w:ascii="Times New Roman" w:hAnsi="Times New Roman" w:cs="Times New Roman"/>
          <w:color w:val="000000" w:themeColor="text1"/>
          <w:sz w:val="24"/>
          <w:szCs w:val="24"/>
        </w:rPr>
        <w:t xml:space="preserve"> ≤ </w:t>
      </w:r>
      <w:r w:rsidRPr="00EC1001">
        <w:rPr>
          <w:rFonts w:ascii="Times New Roman" w:hAnsi="Times New Roman" w:cs="Times New Roman" w:hint="eastAsia"/>
          <w:color w:val="000000" w:themeColor="text1"/>
          <w:sz w:val="24"/>
          <w:szCs w:val="24"/>
        </w:rPr>
        <w:t>MAF</w:t>
      </w:r>
      <w:r w:rsidRPr="00EC1001">
        <w:rPr>
          <w:rFonts w:ascii="Times New Roman" w:hAnsi="Times New Roman" w:cs="Times New Roman"/>
          <w:color w:val="000000" w:themeColor="text1"/>
          <w:sz w:val="24"/>
          <w:szCs w:val="24"/>
        </w:rPr>
        <w:t xml:space="preserve"> ≤ </w:t>
      </w:r>
      <w:r w:rsidRPr="00EC1001">
        <w:rPr>
          <w:rFonts w:ascii="Times New Roman" w:hAnsi="Times New Roman" w:cs="Times New Roman" w:hint="eastAsia"/>
          <w:color w:val="000000" w:themeColor="text1"/>
          <w:sz w:val="24"/>
          <w:szCs w:val="24"/>
        </w:rPr>
        <w:t>5%</w:t>
      </w:r>
      <w:r w:rsidRPr="00EC1001">
        <w:rPr>
          <w:rFonts w:ascii="Times New Roman" w:hAnsi="Times New Roman" w:cs="Times New Roman"/>
          <w:color w:val="000000" w:themeColor="text1"/>
          <w:sz w:val="24"/>
          <w:szCs w:val="24"/>
        </w:rPr>
        <w:t>) and common va</w:t>
      </w:r>
      <w:r>
        <w:rPr>
          <w:rFonts w:ascii="Times New Roman" w:hAnsi="Times New Roman" w:cs="Times New Roman"/>
          <w:color w:val="000000" w:themeColor="text1"/>
          <w:sz w:val="24"/>
          <w:szCs w:val="24"/>
        </w:rPr>
        <w:t xml:space="preserve">riants (MAF &gt; 5%). </w:t>
      </w:r>
      <w:r>
        <w:rPr>
          <w:rFonts w:ascii="Times New Roman" w:hAnsi="Times New Roman" w:cs="Times New Roman"/>
          <w:b/>
          <w:color w:val="000000" w:themeColor="text1"/>
          <w:sz w:val="24"/>
          <w:szCs w:val="24"/>
        </w:rPr>
        <w:t>e</w:t>
      </w:r>
      <w:r>
        <w:rPr>
          <w:rFonts w:ascii="Times New Roman" w:hAnsi="Times New Roman" w:cs="Times New Roman"/>
          <w:color w:val="000000" w:themeColor="text1"/>
          <w:sz w:val="24"/>
          <w:szCs w:val="24"/>
        </w:rPr>
        <w:t xml:space="preserve"> </w:t>
      </w:r>
      <w:r w:rsidRPr="00EC1001">
        <w:rPr>
          <w:rFonts w:ascii="Times New Roman" w:hAnsi="Times New Roman" w:cs="Times New Roman"/>
          <w:color w:val="000000" w:themeColor="text1"/>
          <w:sz w:val="24"/>
          <w:szCs w:val="24"/>
        </w:rPr>
        <w:t>Functional annotations of all novel variants were absent in dbSNP Build 151. The proportion of each category was filled with a different color. The upper pie chart showed all the 20 classification terms. The bottom pie chart o</w:t>
      </w:r>
      <w:r w:rsidRPr="00EC1001">
        <w:rPr>
          <w:rFonts w:ascii="Times New Roman" w:hAnsi="Times New Roman" w:cs="Times New Roman" w:hint="eastAsia"/>
          <w:color w:val="000000" w:themeColor="text1"/>
          <w:sz w:val="24"/>
          <w:szCs w:val="24"/>
        </w:rPr>
        <w:t>nly</w:t>
      </w:r>
      <w:r w:rsidRPr="00EC1001">
        <w:rPr>
          <w:rFonts w:ascii="Times New Roman" w:hAnsi="Times New Roman" w:cs="Times New Roman"/>
          <w:color w:val="000000" w:themeColor="text1"/>
          <w:sz w:val="24"/>
          <w:szCs w:val="24"/>
        </w:rPr>
        <w:t xml:space="preserve"> displayed the variants in the coding and splice regions</w:t>
      </w:r>
      <w:r w:rsidRPr="00EC1001">
        <w:rPr>
          <w:rFonts w:ascii="Times New Roman" w:hAnsi="Times New Roman" w:cs="Times New Roman" w:hint="eastAsia"/>
          <w:color w:val="000000" w:themeColor="text1"/>
          <w:sz w:val="24"/>
          <w:szCs w:val="24"/>
        </w:rPr>
        <w:t xml:space="preserve"> (10bp from exon-intron boundary)</w:t>
      </w:r>
      <w:r w:rsidRPr="00EC1001">
        <w:rPr>
          <w:rFonts w:ascii="Times New Roman" w:hAnsi="Times New Roman" w:cs="Times New Roman"/>
          <w:color w:val="000000" w:themeColor="text1"/>
          <w:sz w:val="24"/>
          <w:szCs w:val="24"/>
        </w:rPr>
        <w:t>.</w:t>
      </w:r>
    </w:p>
    <w:p w14:paraId="20DE0225" w14:textId="77777777" w:rsidR="00B10319" w:rsidRDefault="00B10319" w:rsidP="00B10319">
      <w:pPr>
        <w:spacing w:line="480" w:lineRule="auto"/>
        <w:rPr>
          <w:rFonts w:ascii="Times New Roman" w:hAnsi="Times New Roman" w:cs="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0004FFE4"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2</w:t>
      </w:r>
    </w:p>
    <w:p w14:paraId="5AD97504"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4B082D7F" wp14:editId="13C63A61">
            <wp:extent cx="5274310" cy="5311140"/>
            <wp:effectExtent l="0" t="0" r="254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 S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5311140"/>
                    </a:xfrm>
                    <a:prstGeom prst="rect">
                      <a:avLst/>
                    </a:prstGeom>
                  </pic:spPr>
                </pic:pic>
              </a:graphicData>
            </a:graphic>
          </wp:inline>
        </w:drawing>
      </w:r>
    </w:p>
    <w:p w14:paraId="636AF437"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2. </w:t>
      </w:r>
      <w:r w:rsidRPr="00EC1001">
        <w:rPr>
          <w:rFonts w:ascii="Times New Roman" w:hAnsi="Times New Roman" w:cs="Times New Roman"/>
          <w:b/>
          <w:color w:val="000000" w:themeColor="text1"/>
          <w:sz w:val="24"/>
          <w:szCs w:val="24"/>
        </w:rPr>
        <w:t xml:space="preserve">A comparison of the genotype concordance between WGS and SNP array data. </w:t>
      </w:r>
      <w:r>
        <w:rPr>
          <w:rFonts w:ascii="Times New Roman" w:hAnsi="Times New Roman" w:cs="Times New Roman"/>
          <w:b/>
          <w:color w:val="000000" w:themeColor="text1"/>
          <w:sz w:val="24"/>
          <w:szCs w:val="24"/>
        </w:rPr>
        <w:t>a</w:t>
      </w:r>
      <w:r w:rsidRPr="00EC1001">
        <w:rPr>
          <w:rFonts w:ascii="Times New Roman" w:hAnsi="Times New Roman" w:cs="Times New Roman"/>
          <w:color w:val="000000" w:themeColor="text1"/>
          <w:sz w:val="24"/>
          <w:szCs w:val="24"/>
        </w:rPr>
        <w:t xml:space="preserve"> Heterozygote discordance </w:t>
      </w:r>
      <w:r>
        <w:rPr>
          <w:rFonts w:ascii="Times New Roman" w:hAnsi="Times New Roman" w:cs="Times New Roman"/>
          <w:color w:val="000000" w:themeColor="text1"/>
          <w:sz w:val="24"/>
          <w:szCs w:val="24"/>
        </w:rPr>
        <w:t xml:space="preserve">rate. </w:t>
      </w:r>
      <w:r>
        <w:rPr>
          <w:rFonts w:ascii="Times New Roman" w:hAnsi="Times New Roman" w:cs="Times New Roman"/>
          <w:b/>
          <w:color w:val="000000" w:themeColor="text1"/>
          <w:sz w:val="24"/>
          <w:szCs w:val="24"/>
        </w:rPr>
        <w:t>b</w:t>
      </w:r>
      <w:r w:rsidRPr="00EC1001">
        <w:rPr>
          <w:rFonts w:ascii="Times New Roman" w:hAnsi="Times New Roman" w:cs="Times New Roman" w:hint="eastAsia"/>
          <w:color w:val="000000" w:themeColor="text1"/>
          <w:sz w:val="24"/>
          <w:szCs w:val="24"/>
        </w:rPr>
        <w:t xml:space="preserve"> </w:t>
      </w:r>
      <w:r w:rsidRPr="00EC1001">
        <w:rPr>
          <w:rFonts w:ascii="Times New Roman" w:hAnsi="Times New Roman" w:cs="Times New Roman"/>
          <w:color w:val="000000" w:themeColor="text1"/>
          <w:sz w:val="24"/>
          <w:szCs w:val="24"/>
        </w:rPr>
        <w:t>Non-reference genotype concordance.</w:t>
      </w:r>
      <w:r w:rsidRPr="00EC1001">
        <w:rPr>
          <w:rFonts w:ascii="Times New Roman" w:hAnsi="Times New Roman" w:cs="Times New Roman" w:hint="eastAsia"/>
          <w:color w:val="000000" w:themeColor="text1"/>
          <w:sz w:val="24"/>
          <w:szCs w:val="24"/>
        </w:rPr>
        <w:t xml:space="preserve"> </w:t>
      </w:r>
      <w:r>
        <w:rPr>
          <w:rFonts w:ascii="Times New Roman" w:hAnsi="Times New Roman" w:cs="Times New Roman"/>
          <w:b/>
          <w:color w:val="000000" w:themeColor="text1"/>
          <w:sz w:val="24"/>
          <w:szCs w:val="24"/>
        </w:rPr>
        <w:t>c</w:t>
      </w:r>
      <w:r>
        <w:rPr>
          <w:rFonts w:ascii="Times New Roman" w:hAnsi="Times New Roman" w:cs="Times New Roman"/>
          <w:color w:val="000000" w:themeColor="text1"/>
          <w:sz w:val="24"/>
          <w:szCs w:val="24"/>
        </w:rPr>
        <w:t xml:space="preserve"> Non-reference sensitivity. </w:t>
      </w:r>
      <w:r>
        <w:rPr>
          <w:rFonts w:ascii="Times New Roman" w:hAnsi="Times New Roman" w:cs="Times New Roman"/>
          <w:b/>
          <w:color w:val="000000" w:themeColor="text1"/>
          <w:sz w:val="24"/>
          <w:szCs w:val="24"/>
        </w:rPr>
        <w:t>d</w:t>
      </w:r>
      <w:r w:rsidRPr="00EC1001">
        <w:rPr>
          <w:rFonts w:ascii="Times New Roman" w:hAnsi="Times New Roman" w:cs="Times New Roman"/>
          <w:color w:val="000000" w:themeColor="text1"/>
          <w:sz w:val="24"/>
          <w:szCs w:val="24"/>
        </w:rPr>
        <w:t xml:space="preserve"> Specificity. The LD-based genotype refinement was conducted by BEAGLE software version 5.1. The red dots indicate the average proportion of post-genotype refinement and the green dots denote the raw genotype calls.</w:t>
      </w:r>
    </w:p>
    <w:p w14:paraId="1927E0E9" w14:textId="77777777" w:rsidR="00B10319" w:rsidRDefault="00B10319" w:rsidP="00B10319">
      <w:pPr>
        <w:spacing w:line="480" w:lineRule="auto"/>
        <w:rPr>
          <w:rFonts w:ascii="Times New Roman" w:hAnsi="Times New Roman" w:cs="Times New Roman"/>
          <w:color w:val="000000" w:themeColor="text1"/>
          <w:sz w:val="24"/>
          <w:szCs w:val="24"/>
        </w:rPr>
      </w:pPr>
    </w:p>
    <w:p w14:paraId="29EC18F2" w14:textId="77777777" w:rsidR="00B10319" w:rsidRDefault="00B10319" w:rsidP="00B10319">
      <w:pPr>
        <w:spacing w:line="480" w:lineRule="auto"/>
        <w:rPr>
          <w:rFonts w:ascii="Times New Roman" w:hAnsi="Times New Roman" w:cs="Times New Roman"/>
          <w:color w:val="000000" w:themeColor="text1"/>
          <w:sz w:val="24"/>
          <w:szCs w:val="24"/>
        </w:rPr>
      </w:pPr>
    </w:p>
    <w:p w14:paraId="6185CEA2"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3</w:t>
      </w:r>
    </w:p>
    <w:p w14:paraId="65550B12"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36BA5B87" wp14:editId="26561E0A">
            <wp:extent cx="4928400" cy="5378400"/>
            <wp:effectExtent l="0" t="0" r="571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S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28400" cy="5378400"/>
                    </a:xfrm>
                    <a:prstGeom prst="rect">
                      <a:avLst/>
                    </a:prstGeom>
                  </pic:spPr>
                </pic:pic>
              </a:graphicData>
            </a:graphic>
          </wp:inline>
        </w:drawing>
      </w:r>
    </w:p>
    <w:p w14:paraId="0A9692CD"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3. </w:t>
      </w:r>
      <w:r w:rsidRPr="00EC1001">
        <w:rPr>
          <w:rFonts w:ascii="Times New Roman" w:hAnsi="Times New Roman" w:cs="Times New Roman"/>
          <w:b/>
          <w:color w:val="000000" w:themeColor="text1"/>
          <w:sz w:val="24"/>
          <w:szCs w:val="24"/>
        </w:rPr>
        <w:t xml:space="preserve">Imputation evaluation workflow. </w:t>
      </w:r>
      <w:r w:rsidRPr="00EC1001">
        <w:rPr>
          <w:rFonts w:ascii="Times New Roman" w:hAnsi="Times New Roman" w:cs="Times New Roman"/>
          <w:color w:val="000000" w:themeColor="text1"/>
          <w:sz w:val="24"/>
          <w:szCs w:val="24"/>
        </w:rPr>
        <w:t>Rsq: R-square value calculated by Minimac4. NRC rate: non-reference allele genotype concordance rate. 1000G included 3,284,591 variants and 5</w:t>
      </w:r>
      <w:r w:rsidRPr="00EC1001">
        <w:rPr>
          <w:rFonts w:ascii="Times New Roman" w:hAnsi="Times New Roman" w:cs="Times New Roman" w:hint="eastAsia"/>
          <w:color w:val="000000" w:themeColor="text1"/>
          <w:sz w:val="24"/>
          <w:szCs w:val="24"/>
        </w:rPr>
        <w:t>,</w:t>
      </w:r>
      <w:r w:rsidRPr="00EC1001">
        <w:rPr>
          <w:rFonts w:ascii="Times New Roman" w:hAnsi="Times New Roman" w:cs="Times New Roman"/>
          <w:color w:val="000000" w:themeColor="text1"/>
          <w:sz w:val="24"/>
          <w:szCs w:val="24"/>
        </w:rPr>
        <w:t>008 haplotypes; CONVERGE included 1,115,342 variants and 23,340 haplotypes. The WBBC included 2,089,508 variants and 8,6</w:t>
      </w:r>
      <w:r w:rsidRPr="00EC1001">
        <w:rPr>
          <w:rFonts w:ascii="Times New Roman" w:hAnsi="Times New Roman" w:cs="Times New Roman" w:hint="eastAsia"/>
          <w:color w:val="000000" w:themeColor="text1"/>
          <w:sz w:val="24"/>
          <w:szCs w:val="24"/>
        </w:rPr>
        <w:t>1</w:t>
      </w:r>
      <w:r w:rsidRPr="00EC1001">
        <w:rPr>
          <w:rFonts w:ascii="Times New Roman" w:hAnsi="Times New Roman" w:cs="Times New Roman"/>
          <w:color w:val="000000" w:themeColor="text1"/>
          <w:sz w:val="24"/>
          <w:szCs w:val="24"/>
        </w:rPr>
        <w:t>0 haplotypes. The WBBC+1</w:t>
      </w:r>
      <w:r w:rsidRPr="00EC1001">
        <w:rPr>
          <w:rFonts w:ascii="Times New Roman" w:hAnsi="Times New Roman" w:cs="Times New Roman" w:hint="eastAsia"/>
          <w:color w:val="000000" w:themeColor="text1"/>
          <w:sz w:val="24"/>
          <w:szCs w:val="24"/>
        </w:rPr>
        <w:t>000</w:t>
      </w:r>
      <w:r w:rsidRPr="00EC1001">
        <w:rPr>
          <w:rFonts w:ascii="Times New Roman" w:hAnsi="Times New Roman" w:cs="Times New Roman"/>
          <w:color w:val="000000" w:themeColor="text1"/>
          <w:sz w:val="24"/>
          <w:szCs w:val="24"/>
        </w:rPr>
        <w:t>G combined panel consisted of 13,6</w:t>
      </w:r>
      <w:r w:rsidRPr="00EC1001">
        <w:rPr>
          <w:rFonts w:ascii="Times New Roman" w:hAnsi="Times New Roman" w:cs="Times New Roman" w:hint="eastAsia"/>
          <w:color w:val="000000" w:themeColor="text1"/>
          <w:sz w:val="24"/>
          <w:szCs w:val="24"/>
        </w:rPr>
        <w:t>1</w:t>
      </w:r>
      <w:r w:rsidRPr="00EC1001">
        <w:rPr>
          <w:rFonts w:ascii="Times New Roman" w:hAnsi="Times New Roman" w:cs="Times New Roman"/>
          <w:color w:val="000000" w:themeColor="text1"/>
          <w:sz w:val="24"/>
          <w:szCs w:val="24"/>
        </w:rPr>
        <w:t>8 haplotypes with 4,450,989 variants. The WBBC+EAS combined panel consisted of 9,6</w:t>
      </w:r>
      <w:r w:rsidRPr="00EC1001">
        <w:rPr>
          <w:rFonts w:ascii="Times New Roman" w:hAnsi="Times New Roman" w:cs="Times New Roman" w:hint="eastAsia"/>
          <w:color w:val="000000" w:themeColor="text1"/>
          <w:sz w:val="24"/>
          <w:szCs w:val="24"/>
        </w:rPr>
        <w:t>1</w:t>
      </w:r>
      <w:r w:rsidRPr="00EC1001">
        <w:rPr>
          <w:rFonts w:ascii="Times New Roman" w:hAnsi="Times New Roman" w:cs="Times New Roman"/>
          <w:color w:val="000000" w:themeColor="text1"/>
          <w:sz w:val="24"/>
          <w:szCs w:val="24"/>
        </w:rPr>
        <w:t>8 haplotypes with 2,411,382 variants.</w:t>
      </w:r>
    </w:p>
    <w:p w14:paraId="4D8A6D1B"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4</w:t>
      </w:r>
    </w:p>
    <w:p w14:paraId="52888C35"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50CB30DC" wp14:editId="1E1E4FDA">
            <wp:extent cx="5274310" cy="788225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 S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7882255"/>
                    </a:xfrm>
                    <a:prstGeom prst="rect">
                      <a:avLst/>
                    </a:prstGeom>
                  </pic:spPr>
                </pic:pic>
              </a:graphicData>
            </a:graphic>
          </wp:inline>
        </w:drawing>
      </w:r>
    </w:p>
    <w:p w14:paraId="5B77C091" w14:textId="77777777" w:rsidR="00B10319" w:rsidRDefault="00B10319" w:rsidP="00B10319">
      <w:pPr>
        <w:spacing w:line="480" w:lineRule="auto"/>
        <w:rPr>
          <w:rFonts w:ascii="Times New Roman" w:hAnsi="Times New Roman" w:cs="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4. </w:t>
      </w:r>
      <w:r w:rsidRPr="00EC1001">
        <w:rPr>
          <w:rFonts w:ascii="Times New Roman" w:hAnsi="Times New Roman" w:cs="Times New Roman"/>
          <w:b/>
          <w:color w:val="000000" w:themeColor="text1"/>
          <w:sz w:val="24"/>
          <w:szCs w:val="24"/>
          <w:shd w:val="clear" w:color="auto" w:fill="FFFFFF"/>
        </w:rPr>
        <w:t>Principal Component Analysis (PCA)</w:t>
      </w:r>
      <w:r w:rsidRPr="00EC1001">
        <w:rPr>
          <w:rFonts w:ascii="Times New Roman" w:hAnsi="Times New Roman" w:cs="Times New Roman"/>
          <w:color w:val="000000" w:themeColor="text1"/>
          <w:sz w:val="24"/>
          <w:szCs w:val="24"/>
          <w:shd w:val="clear" w:color="auto" w:fill="FFFFFF"/>
        </w:rPr>
        <w:t xml:space="preserve">. </w:t>
      </w:r>
      <w:bookmarkStart w:id="0" w:name="_Hlk57831411"/>
      <w:r w:rsidRPr="00EC1001">
        <w:rPr>
          <w:rFonts w:ascii="Times New Roman" w:hAnsi="Times New Roman" w:cs="Times New Roman"/>
          <w:color w:val="000000" w:themeColor="text1"/>
          <w:sz w:val="24"/>
          <w:szCs w:val="24"/>
          <w:shd w:val="clear" w:color="auto" w:fill="FFFFFF"/>
        </w:rPr>
        <w:t xml:space="preserve">The administrative </w:t>
      </w:r>
      <w:r w:rsidRPr="00EC1001">
        <w:rPr>
          <w:rFonts w:ascii="Times New Roman" w:hAnsi="Times New Roman" w:cs="Times New Roman"/>
          <w:color w:val="000000" w:themeColor="text1"/>
          <w:sz w:val="24"/>
          <w:szCs w:val="24"/>
          <w:lang w:val="en-CA"/>
        </w:rPr>
        <w:lastRenderedPageBreak/>
        <w:t>divisions</w:t>
      </w:r>
      <w:r w:rsidRPr="00EC1001">
        <w:rPr>
          <w:rFonts w:ascii="Times New Roman" w:hAnsi="Times New Roman" w:cs="Times New Roman"/>
          <w:color w:val="000000" w:themeColor="text1"/>
          <w:sz w:val="24"/>
          <w:szCs w:val="24"/>
          <w:shd w:val="clear" w:color="auto" w:fill="FFFFFF"/>
        </w:rPr>
        <w:t xml:space="preserve"> are shown by the distinct letters.</w:t>
      </w:r>
      <w:bookmarkEnd w:id="0"/>
      <w:r w:rsidRPr="00EC1001">
        <w:rPr>
          <w:rFonts w:ascii="Times New Roman" w:hAnsi="Times New Roman" w:cs="Times New Roman"/>
          <w:color w:val="000000" w:themeColor="text1"/>
          <w:sz w:val="24"/>
          <w:szCs w:val="24"/>
          <w:shd w:val="clear" w:color="auto" w:fill="FFFFFF"/>
        </w:rPr>
        <w:t xml:space="preserve"> Minority people are marked with “M”. </w:t>
      </w:r>
      <w:r w:rsidRPr="00EC1001">
        <w:rPr>
          <w:rFonts w:ascii="Times New Roman" w:hAnsi="Times New Roman" w:cs="Times New Roman" w:hint="eastAsia"/>
          <w:color w:val="000000" w:themeColor="text1"/>
          <w:sz w:val="24"/>
          <w:szCs w:val="24"/>
        </w:rPr>
        <w:t xml:space="preserve">The Han </w:t>
      </w:r>
      <w:r w:rsidRPr="00EC1001">
        <w:rPr>
          <w:rFonts w:ascii="Times New Roman" w:hAnsi="Times New Roman" w:cs="Times New Roman"/>
          <w:color w:val="000000" w:themeColor="text1"/>
          <w:sz w:val="24"/>
          <w:szCs w:val="24"/>
        </w:rPr>
        <w:t>Chinese populations</w:t>
      </w:r>
      <w:r w:rsidRPr="00EC1001">
        <w:rPr>
          <w:rFonts w:ascii="Times New Roman" w:hAnsi="Times New Roman" w:cs="Times New Roman" w:hint="eastAsia"/>
          <w:color w:val="000000" w:themeColor="text1"/>
          <w:sz w:val="24"/>
          <w:szCs w:val="24"/>
        </w:rPr>
        <w:t xml:space="preserve"> </w:t>
      </w:r>
      <w:r w:rsidRPr="00EC1001">
        <w:rPr>
          <w:rFonts w:ascii="Times New Roman" w:hAnsi="Times New Roman" w:cs="Times New Roman"/>
          <w:color w:val="000000" w:themeColor="text1"/>
          <w:sz w:val="24"/>
          <w:szCs w:val="24"/>
        </w:rPr>
        <w:t>can be c</w:t>
      </w:r>
      <w:r>
        <w:rPr>
          <w:rFonts w:ascii="Times New Roman" w:hAnsi="Times New Roman" w:cs="Times New Roman"/>
          <w:color w:val="000000" w:themeColor="text1"/>
          <w:sz w:val="24"/>
          <w:szCs w:val="24"/>
        </w:rPr>
        <w:t xml:space="preserve">lassified into four subgroups: </w:t>
      </w:r>
      <w:r>
        <w:rPr>
          <w:rFonts w:ascii="Times New Roman" w:hAnsi="Times New Roman" w:cs="Times New Roman"/>
          <w:b/>
          <w:color w:val="000000" w:themeColor="text1"/>
          <w:sz w:val="24"/>
          <w:szCs w:val="24"/>
        </w:rPr>
        <w:t>a</w:t>
      </w:r>
      <w:r w:rsidRPr="00EC1001">
        <w:rPr>
          <w:rFonts w:ascii="Times New Roman" w:hAnsi="Times New Roman" w:cs="Times New Roman"/>
          <w:color w:val="000000" w:themeColor="text1"/>
          <w:sz w:val="24"/>
          <w:szCs w:val="24"/>
        </w:rPr>
        <w:t xml:space="preserve"> North Han </w:t>
      </w:r>
      <w:r w:rsidRPr="00EC1001">
        <w:rPr>
          <w:rFonts w:ascii="Times New Roman" w:hAnsi="Times New Roman" w:cs="Times New Roman"/>
          <w:color w:val="000000" w:themeColor="text1"/>
          <w:sz w:val="24"/>
          <w:szCs w:val="24"/>
          <w:shd w:val="clear" w:color="auto" w:fill="FFFFFF"/>
        </w:rPr>
        <w:t>(</w:t>
      </w:r>
      <w:r w:rsidRPr="00EC1001">
        <w:rPr>
          <w:rFonts w:ascii="Times New Roman" w:eastAsia="Microsoft YaHei" w:hAnsi="Times New Roman" w:cs="Times New Roman"/>
          <w:color w:val="000000" w:themeColor="text1"/>
          <w:sz w:val="24"/>
          <w:szCs w:val="24"/>
          <w:shd w:val="clear" w:color="auto" w:fill="FFFFFF"/>
        </w:rPr>
        <w:t>cyan</w:t>
      </w:r>
      <w:r w:rsidRPr="00EC1001">
        <w:rPr>
          <w:rFonts w:ascii="Times New Roman" w:hAnsi="Times New Roman" w:cs="Times New Roman"/>
          <w:color w:val="000000" w:themeColor="text1"/>
          <w:sz w:val="24"/>
          <w:szCs w:val="24"/>
          <w:shd w:val="clear" w:color="auto" w:fill="FFFFFF"/>
        </w:rPr>
        <w:t xml:space="preserve"> color)</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b</w:t>
      </w:r>
      <w:r w:rsidRPr="00EC1001">
        <w:rPr>
          <w:rFonts w:ascii="Times New Roman" w:hAnsi="Times New Roman" w:cs="Times New Roman"/>
          <w:color w:val="000000" w:themeColor="text1"/>
          <w:sz w:val="24"/>
          <w:szCs w:val="24"/>
        </w:rPr>
        <w:t xml:space="preserve"> Central Han </w:t>
      </w:r>
      <w:r w:rsidRPr="00EC1001">
        <w:rPr>
          <w:rFonts w:ascii="Times New Roman" w:hAnsi="Times New Roman" w:cs="Times New Roman"/>
          <w:color w:val="000000" w:themeColor="text1"/>
          <w:sz w:val="24"/>
          <w:szCs w:val="24"/>
          <w:shd w:val="clear" w:color="auto" w:fill="FFFFFF"/>
        </w:rPr>
        <w:t>(dark-red color)</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c</w:t>
      </w:r>
      <w:r w:rsidRPr="00EC1001">
        <w:rPr>
          <w:rFonts w:ascii="Times New Roman" w:hAnsi="Times New Roman" w:cs="Times New Roman"/>
          <w:color w:val="000000" w:themeColor="text1"/>
          <w:sz w:val="24"/>
          <w:szCs w:val="24"/>
        </w:rPr>
        <w:t xml:space="preserve"> South Han </w:t>
      </w:r>
      <w:r w:rsidRPr="00EC1001">
        <w:rPr>
          <w:rFonts w:ascii="Times New Roman" w:hAnsi="Times New Roman" w:cs="Times New Roman"/>
          <w:color w:val="000000" w:themeColor="text1"/>
          <w:sz w:val="24"/>
          <w:szCs w:val="24"/>
          <w:shd w:val="clear" w:color="auto" w:fill="FFFFFF"/>
        </w:rPr>
        <w:t>(purple color),</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d</w:t>
      </w:r>
      <w:r w:rsidRPr="00EC1001">
        <w:rPr>
          <w:rFonts w:ascii="Times New Roman" w:hAnsi="Times New Roman" w:cs="Times New Roman"/>
          <w:color w:val="000000" w:themeColor="text1"/>
          <w:sz w:val="24"/>
          <w:szCs w:val="24"/>
        </w:rPr>
        <w:t xml:space="preserve"> Lingnan Han </w:t>
      </w:r>
      <w:r w:rsidRPr="00EC1001">
        <w:rPr>
          <w:rFonts w:ascii="Times New Roman" w:hAnsi="Times New Roman" w:cs="Times New Roman"/>
          <w:color w:val="000000" w:themeColor="text1"/>
          <w:sz w:val="24"/>
          <w:szCs w:val="24"/>
          <w:shd w:val="clear" w:color="auto" w:fill="FFFFFF"/>
        </w:rPr>
        <w:t>(golden color)</w:t>
      </w:r>
      <w:r w:rsidRPr="00EC1001">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623AFB">
        <w:rPr>
          <w:rFonts w:ascii="Times New Roman" w:hAnsi="Times New Roman" w:cs="Times New Roman"/>
          <w:b/>
          <w:color w:val="000000" w:themeColor="text1"/>
          <w:sz w:val="24"/>
          <w:szCs w:val="24"/>
        </w:rPr>
        <w:t>e</w:t>
      </w:r>
      <w:r>
        <w:rPr>
          <w:rFonts w:ascii="Times New Roman" w:hAnsi="Times New Roman" w:cs="Times New Roman"/>
          <w:color w:val="000000" w:themeColor="text1"/>
          <w:sz w:val="24"/>
          <w:szCs w:val="24"/>
        </w:rPr>
        <w:t xml:space="preserve"> PC3 and PC4 analysis. </w:t>
      </w:r>
      <w:r>
        <w:rPr>
          <w:rFonts w:ascii="Times New Roman" w:hAnsi="Times New Roman" w:cs="Times New Roman"/>
          <w:b/>
          <w:color w:val="000000" w:themeColor="text1"/>
          <w:sz w:val="24"/>
          <w:szCs w:val="24"/>
        </w:rPr>
        <w:t>f</w:t>
      </w:r>
      <w:r w:rsidRPr="00EC1001">
        <w:rPr>
          <w:rFonts w:ascii="Times New Roman" w:hAnsi="Times New Roman" w:cs="Times New Roman"/>
          <w:color w:val="000000" w:themeColor="text1"/>
          <w:sz w:val="24"/>
          <w:szCs w:val="24"/>
        </w:rPr>
        <w:t xml:space="preserve"> </w:t>
      </w:r>
      <w:r w:rsidRPr="00623AFB">
        <w:rPr>
          <w:rFonts w:ascii="Times New Roman" w:hAnsi="Times New Roman" w:cs="Times New Roman"/>
          <w:color w:val="000000" w:themeColor="text1"/>
          <w:sz w:val="24"/>
          <w:szCs w:val="24"/>
        </w:rPr>
        <w:t>PCA of Chinese, JPT, and KHV individuals from the 1000 Genomes Projects. The blue “J” represents the JPT individuals, while “K” indicates the KHV individuals.</w:t>
      </w:r>
    </w:p>
    <w:p w14:paraId="1C23696C"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5</w:t>
      </w:r>
    </w:p>
    <w:p w14:paraId="1590198C"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0BEA0F34" wp14:editId="2D55E96D">
            <wp:extent cx="5274310" cy="539178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 S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391785"/>
                    </a:xfrm>
                    <a:prstGeom prst="rect">
                      <a:avLst/>
                    </a:prstGeom>
                  </pic:spPr>
                </pic:pic>
              </a:graphicData>
            </a:graphic>
          </wp:inline>
        </w:drawing>
      </w:r>
    </w:p>
    <w:p w14:paraId="5430C402"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5. </w:t>
      </w:r>
      <w:r w:rsidRPr="00EC1001">
        <w:rPr>
          <w:rFonts w:ascii="Times New Roman" w:hAnsi="Times New Roman"/>
          <w:b/>
          <w:color w:val="000000" w:themeColor="text1"/>
          <w:sz w:val="24"/>
          <w:szCs w:val="24"/>
          <w:shd w:val="clear" w:color="auto" w:fill="FFFFFF"/>
        </w:rPr>
        <w:t xml:space="preserve">PCA of North Han Chinese samples. </w:t>
      </w:r>
      <w:r w:rsidRPr="00EC1001">
        <w:rPr>
          <w:rFonts w:ascii="Times New Roman" w:hAnsi="Times New Roman"/>
          <w:color w:val="000000" w:themeColor="text1"/>
          <w:sz w:val="24"/>
          <w:szCs w:val="24"/>
          <w:shd w:val="clear" w:color="auto" w:fill="FFFFFF"/>
        </w:rPr>
        <w:t>E</w:t>
      </w:r>
      <w:r w:rsidRPr="00EC1001">
        <w:rPr>
          <w:rFonts w:ascii="Times New Roman" w:hAnsi="Times New Roman" w:hint="eastAsia"/>
          <w:color w:val="000000" w:themeColor="text1"/>
          <w:sz w:val="24"/>
          <w:szCs w:val="24"/>
          <w:shd w:val="clear" w:color="auto" w:fill="FFFFFF"/>
        </w:rPr>
        <w:t xml:space="preserve">ach </w:t>
      </w:r>
      <w:r w:rsidRPr="00EC1001">
        <w:rPr>
          <w:rFonts w:ascii="Times New Roman" w:hAnsi="Times New Roman"/>
          <w:color w:val="000000" w:themeColor="text1"/>
          <w:sz w:val="24"/>
          <w:szCs w:val="24"/>
          <w:shd w:val="clear" w:color="auto" w:fill="FFFFFF"/>
        </w:rPr>
        <w:t xml:space="preserve">letter represents one administrative </w:t>
      </w:r>
      <w:r w:rsidRPr="00EC1001">
        <w:rPr>
          <w:rFonts w:ascii="Times New Roman" w:hAnsi="Times New Roman"/>
          <w:color w:val="000000" w:themeColor="text1"/>
          <w:sz w:val="24"/>
          <w:szCs w:val="24"/>
          <w:lang w:val="en-CA"/>
        </w:rPr>
        <w:t>division</w:t>
      </w:r>
      <w:r w:rsidRPr="00EC1001">
        <w:rPr>
          <w:rFonts w:ascii="Times New Roman" w:hAnsi="Times New Roman"/>
          <w:color w:val="000000" w:themeColor="text1"/>
          <w:sz w:val="24"/>
          <w:szCs w:val="24"/>
          <w:shd w:val="clear" w:color="auto" w:fill="FFFFFF"/>
        </w:rPr>
        <w:t>. The individuals are highlighted in</w:t>
      </w:r>
      <w:r w:rsidRPr="00EC1001">
        <w:rPr>
          <w:rFonts w:ascii="Times New Roman" w:eastAsia="Microsoft YaHei" w:hAnsi="Times New Roman"/>
          <w:color w:val="000000" w:themeColor="text1"/>
          <w:sz w:val="24"/>
          <w:szCs w:val="24"/>
          <w:shd w:val="clear" w:color="auto" w:fill="FFFFFF"/>
        </w:rPr>
        <w:t xml:space="preserve"> cyan</w:t>
      </w:r>
      <w:r w:rsidRPr="00EC1001">
        <w:rPr>
          <w:rFonts w:ascii="Times New Roman" w:hAnsi="Times New Roman"/>
          <w:color w:val="000000" w:themeColor="text1"/>
          <w:sz w:val="24"/>
          <w:szCs w:val="24"/>
          <w:shd w:val="clear" w:color="auto" w:fill="FFFFFF"/>
        </w:rPr>
        <w:t xml:space="preserve"> color in north regions, including </w:t>
      </w:r>
      <w:r w:rsidRPr="00EC1001">
        <w:rPr>
          <w:rFonts w:ascii="Times New Roman" w:hAnsi="Times New Roman"/>
          <w:color w:val="000000" w:themeColor="text1"/>
          <w:sz w:val="24"/>
          <w:szCs w:val="24"/>
        </w:rPr>
        <w:t>Gansu (g), Hebei (h), Heilongjiang (r), Henan (O), Inner Mongolia (I), Jilin (j), Liaoning (L), Ningxia (N), Qinghai (Q), Shaanxi (a), Shandong (D), Shanxi (t) and Tianjin (T).</w:t>
      </w:r>
    </w:p>
    <w:p w14:paraId="6DDC6ABF" w14:textId="77777777" w:rsidR="00B10319" w:rsidRDefault="00B10319" w:rsidP="00B10319">
      <w:pPr>
        <w:spacing w:line="480" w:lineRule="auto"/>
        <w:rPr>
          <w:rFonts w:ascii="Times New Roman" w:hAnsi="Times New Roman"/>
          <w:color w:val="000000" w:themeColor="text1"/>
          <w:sz w:val="24"/>
          <w:szCs w:val="24"/>
        </w:rPr>
      </w:pPr>
    </w:p>
    <w:p w14:paraId="3BF8226A" w14:textId="77777777" w:rsidR="00B10319" w:rsidRDefault="00B10319" w:rsidP="00B10319">
      <w:pPr>
        <w:spacing w:line="480" w:lineRule="auto"/>
        <w:rPr>
          <w:rFonts w:ascii="Times New Roman" w:hAnsi="Times New Roman"/>
          <w:color w:val="000000" w:themeColor="text1"/>
          <w:sz w:val="24"/>
          <w:szCs w:val="24"/>
        </w:rPr>
      </w:pPr>
    </w:p>
    <w:p w14:paraId="394D0E41"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6</w:t>
      </w:r>
    </w:p>
    <w:p w14:paraId="5C28B3F8"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noProof/>
          <w:color w:val="000000" w:themeColor="text1"/>
          <w:sz w:val="24"/>
          <w:szCs w:val="24"/>
        </w:rPr>
        <w:drawing>
          <wp:inline distT="0" distB="0" distL="0" distR="0" wp14:anchorId="53E8C287" wp14:editId="237B9D45">
            <wp:extent cx="5274310" cy="259270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 S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592705"/>
                    </a:xfrm>
                    <a:prstGeom prst="rect">
                      <a:avLst/>
                    </a:prstGeom>
                  </pic:spPr>
                </pic:pic>
              </a:graphicData>
            </a:graphic>
          </wp:inline>
        </w:drawing>
      </w:r>
    </w:p>
    <w:p w14:paraId="208D2190"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6. </w:t>
      </w:r>
      <w:r w:rsidRPr="00EC1001">
        <w:rPr>
          <w:rFonts w:ascii="Times New Roman" w:hAnsi="Times New Roman"/>
          <w:b/>
          <w:color w:val="000000" w:themeColor="text1"/>
          <w:sz w:val="24"/>
          <w:szCs w:val="24"/>
          <w:shd w:val="clear" w:color="auto" w:fill="FFFFFF"/>
        </w:rPr>
        <w:t xml:space="preserve">PCA of Central Han Chinese samples. </w:t>
      </w:r>
      <w:r w:rsidRPr="00EC1001">
        <w:rPr>
          <w:rFonts w:ascii="Times New Roman" w:hAnsi="Times New Roman"/>
          <w:color w:val="000000" w:themeColor="text1"/>
          <w:sz w:val="24"/>
          <w:szCs w:val="24"/>
          <w:shd w:val="clear" w:color="auto" w:fill="FFFFFF"/>
        </w:rPr>
        <w:t>E</w:t>
      </w:r>
      <w:r w:rsidRPr="00EC1001">
        <w:rPr>
          <w:rFonts w:ascii="Times New Roman" w:hAnsi="Times New Roman" w:hint="eastAsia"/>
          <w:color w:val="000000" w:themeColor="text1"/>
          <w:sz w:val="24"/>
          <w:szCs w:val="24"/>
          <w:shd w:val="clear" w:color="auto" w:fill="FFFFFF"/>
        </w:rPr>
        <w:t xml:space="preserve">ach </w:t>
      </w:r>
      <w:r w:rsidRPr="00EC1001">
        <w:rPr>
          <w:rFonts w:ascii="Times New Roman" w:hAnsi="Times New Roman"/>
          <w:color w:val="000000" w:themeColor="text1"/>
          <w:sz w:val="24"/>
          <w:szCs w:val="24"/>
          <w:shd w:val="clear" w:color="auto" w:fill="FFFFFF"/>
        </w:rPr>
        <w:t xml:space="preserve">letter represents one administrative </w:t>
      </w:r>
      <w:r w:rsidRPr="00EC1001">
        <w:rPr>
          <w:rFonts w:ascii="Times New Roman" w:hAnsi="Times New Roman"/>
          <w:color w:val="000000" w:themeColor="text1"/>
          <w:sz w:val="24"/>
          <w:szCs w:val="24"/>
          <w:lang w:val="en-CA"/>
        </w:rPr>
        <w:t>division</w:t>
      </w:r>
      <w:r w:rsidRPr="00EC1001">
        <w:rPr>
          <w:rFonts w:ascii="Times New Roman" w:hAnsi="Times New Roman"/>
          <w:color w:val="000000" w:themeColor="text1"/>
          <w:sz w:val="24"/>
          <w:szCs w:val="24"/>
          <w:shd w:val="clear" w:color="auto" w:fill="FFFFFF"/>
        </w:rPr>
        <w:t xml:space="preserve">. The individuals are highlighted in dark-red for the central regions of </w:t>
      </w:r>
      <w:r w:rsidRPr="00EC1001">
        <w:rPr>
          <w:rFonts w:ascii="Times New Roman" w:hAnsi="Times New Roman"/>
          <w:color w:val="000000" w:themeColor="text1"/>
          <w:sz w:val="24"/>
          <w:szCs w:val="24"/>
        </w:rPr>
        <w:t>Anhui (A) and Jiangsu (R).</w:t>
      </w:r>
    </w:p>
    <w:p w14:paraId="614D5D70" w14:textId="77777777" w:rsidR="00B10319" w:rsidRDefault="00B10319" w:rsidP="00B10319">
      <w:pPr>
        <w:spacing w:line="480" w:lineRule="auto"/>
        <w:rPr>
          <w:rFonts w:ascii="Times New Roman" w:hAnsi="Times New Roman"/>
          <w:color w:val="000000" w:themeColor="text1"/>
          <w:sz w:val="24"/>
          <w:szCs w:val="24"/>
        </w:rPr>
      </w:pPr>
    </w:p>
    <w:p w14:paraId="70068081" w14:textId="77777777" w:rsidR="00B10319" w:rsidRDefault="00B10319" w:rsidP="00B10319">
      <w:pPr>
        <w:spacing w:line="480" w:lineRule="auto"/>
        <w:rPr>
          <w:rFonts w:ascii="Times New Roman" w:hAnsi="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447CC781"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7</w:t>
      </w:r>
    </w:p>
    <w:p w14:paraId="01FE7669"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noProof/>
          <w:color w:val="000000" w:themeColor="text1"/>
          <w:sz w:val="24"/>
          <w:szCs w:val="24"/>
        </w:rPr>
        <w:drawing>
          <wp:inline distT="0" distB="0" distL="0" distR="0" wp14:anchorId="584D2CF1" wp14:editId="23C20154">
            <wp:extent cx="5274310" cy="562356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 S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623560"/>
                    </a:xfrm>
                    <a:prstGeom prst="rect">
                      <a:avLst/>
                    </a:prstGeom>
                  </pic:spPr>
                </pic:pic>
              </a:graphicData>
            </a:graphic>
          </wp:inline>
        </w:drawing>
      </w:r>
    </w:p>
    <w:p w14:paraId="1A1145C1"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7. </w:t>
      </w:r>
      <w:r w:rsidRPr="00EC1001">
        <w:rPr>
          <w:rFonts w:ascii="Times New Roman" w:hAnsi="Times New Roman"/>
          <w:b/>
          <w:color w:val="000000" w:themeColor="text1"/>
          <w:sz w:val="24"/>
          <w:szCs w:val="24"/>
          <w:shd w:val="clear" w:color="auto" w:fill="FFFFFF"/>
        </w:rPr>
        <w:t xml:space="preserve">PCA of South Han Chinese samples. </w:t>
      </w:r>
      <w:r w:rsidRPr="00EC1001">
        <w:rPr>
          <w:rFonts w:ascii="Times New Roman" w:hAnsi="Times New Roman"/>
          <w:color w:val="000000" w:themeColor="text1"/>
          <w:sz w:val="24"/>
          <w:szCs w:val="24"/>
          <w:shd w:val="clear" w:color="auto" w:fill="FFFFFF"/>
        </w:rPr>
        <w:t>E</w:t>
      </w:r>
      <w:r w:rsidRPr="00EC1001">
        <w:rPr>
          <w:rFonts w:ascii="Times New Roman" w:hAnsi="Times New Roman" w:hint="eastAsia"/>
          <w:color w:val="000000" w:themeColor="text1"/>
          <w:sz w:val="24"/>
          <w:szCs w:val="24"/>
          <w:shd w:val="clear" w:color="auto" w:fill="FFFFFF"/>
        </w:rPr>
        <w:t xml:space="preserve">ach </w:t>
      </w:r>
      <w:r w:rsidRPr="00EC1001">
        <w:rPr>
          <w:rFonts w:ascii="Times New Roman" w:hAnsi="Times New Roman"/>
          <w:color w:val="000000" w:themeColor="text1"/>
          <w:sz w:val="24"/>
          <w:szCs w:val="24"/>
          <w:shd w:val="clear" w:color="auto" w:fill="FFFFFF"/>
        </w:rPr>
        <w:t xml:space="preserve">letter represents one administrative </w:t>
      </w:r>
      <w:r w:rsidRPr="00EC1001">
        <w:rPr>
          <w:rFonts w:ascii="Times New Roman" w:hAnsi="Times New Roman"/>
          <w:color w:val="000000" w:themeColor="text1"/>
          <w:sz w:val="24"/>
          <w:szCs w:val="24"/>
          <w:lang w:val="en-CA"/>
        </w:rPr>
        <w:t>division</w:t>
      </w:r>
      <w:r w:rsidRPr="00EC1001">
        <w:rPr>
          <w:rFonts w:ascii="Times New Roman" w:hAnsi="Times New Roman"/>
          <w:color w:val="000000" w:themeColor="text1"/>
          <w:sz w:val="24"/>
          <w:szCs w:val="24"/>
          <w:shd w:val="clear" w:color="auto" w:fill="FFFFFF"/>
        </w:rPr>
        <w:t>. The individuals are highlighted in purple c for the southern regions of</w:t>
      </w:r>
      <w:r w:rsidRPr="00EC1001">
        <w:rPr>
          <w:rFonts w:ascii="Times New Roman" w:hAnsi="Times New Roman"/>
          <w:color w:val="000000" w:themeColor="text1"/>
          <w:sz w:val="24"/>
          <w:szCs w:val="24"/>
        </w:rPr>
        <w:t xml:space="preserve"> Chongqing (C), Fujian (F), Guizhou (U), Hubei (W), Hunan (V), Jiangxi (n), Sichuan (d), Yunnan (Y) and Zhejiang (Z).</w:t>
      </w:r>
    </w:p>
    <w:p w14:paraId="23ADCC04" w14:textId="77777777" w:rsidR="00B10319" w:rsidRDefault="00B10319" w:rsidP="00B10319">
      <w:pPr>
        <w:spacing w:line="480" w:lineRule="auto"/>
        <w:rPr>
          <w:rFonts w:ascii="Times New Roman" w:hAnsi="Times New Roman"/>
          <w:color w:val="000000" w:themeColor="text1"/>
          <w:sz w:val="24"/>
          <w:szCs w:val="24"/>
        </w:rPr>
      </w:pPr>
    </w:p>
    <w:p w14:paraId="5D788A32" w14:textId="77777777" w:rsidR="00B10319" w:rsidRDefault="00B10319" w:rsidP="00B10319">
      <w:pPr>
        <w:spacing w:line="480" w:lineRule="auto"/>
        <w:rPr>
          <w:rFonts w:ascii="Times New Roman" w:hAnsi="Times New Roman"/>
          <w:color w:val="000000" w:themeColor="text1"/>
          <w:sz w:val="24"/>
          <w:szCs w:val="24"/>
        </w:rPr>
      </w:pPr>
    </w:p>
    <w:p w14:paraId="745A8AB6" w14:textId="77777777" w:rsidR="00B10319" w:rsidRDefault="00B10319" w:rsidP="00B10319">
      <w:pPr>
        <w:spacing w:line="480" w:lineRule="auto"/>
        <w:rPr>
          <w:rFonts w:ascii="Times New Roman" w:hAnsi="Times New Roman"/>
          <w:color w:val="000000" w:themeColor="text1"/>
          <w:sz w:val="24"/>
          <w:szCs w:val="24"/>
        </w:rPr>
      </w:pPr>
    </w:p>
    <w:p w14:paraId="50884D32"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8</w:t>
      </w:r>
    </w:p>
    <w:p w14:paraId="1806525B"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noProof/>
          <w:color w:val="000000" w:themeColor="text1"/>
          <w:sz w:val="24"/>
          <w:szCs w:val="24"/>
        </w:rPr>
        <w:drawing>
          <wp:inline distT="0" distB="0" distL="0" distR="0" wp14:anchorId="64B9BCF2" wp14:editId="44926A0E">
            <wp:extent cx="5274310" cy="1731645"/>
            <wp:effectExtent l="0" t="0" r="254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 S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731645"/>
                    </a:xfrm>
                    <a:prstGeom prst="rect">
                      <a:avLst/>
                    </a:prstGeom>
                  </pic:spPr>
                </pic:pic>
              </a:graphicData>
            </a:graphic>
          </wp:inline>
        </w:drawing>
      </w:r>
    </w:p>
    <w:p w14:paraId="459222B5"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8. </w:t>
      </w:r>
      <w:r w:rsidRPr="00EC1001">
        <w:rPr>
          <w:rFonts w:ascii="Times New Roman" w:hAnsi="Times New Roman"/>
          <w:b/>
          <w:color w:val="000000" w:themeColor="text1"/>
          <w:sz w:val="24"/>
          <w:szCs w:val="24"/>
          <w:shd w:val="clear" w:color="auto" w:fill="FFFFFF"/>
        </w:rPr>
        <w:t xml:space="preserve">PCA of Lingnan Han Chinese samples. </w:t>
      </w:r>
      <w:r w:rsidRPr="00EC1001">
        <w:rPr>
          <w:rFonts w:ascii="Times New Roman" w:hAnsi="Times New Roman"/>
          <w:color w:val="000000" w:themeColor="text1"/>
          <w:sz w:val="24"/>
          <w:szCs w:val="24"/>
          <w:shd w:val="clear" w:color="auto" w:fill="FFFFFF"/>
        </w:rPr>
        <w:t>E</w:t>
      </w:r>
      <w:r w:rsidRPr="00EC1001">
        <w:rPr>
          <w:rFonts w:ascii="Times New Roman" w:hAnsi="Times New Roman" w:hint="eastAsia"/>
          <w:color w:val="000000" w:themeColor="text1"/>
          <w:sz w:val="24"/>
          <w:szCs w:val="24"/>
          <w:shd w:val="clear" w:color="auto" w:fill="FFFFFF"/>
        </w:rPr>
        <w:t xml:space="preserve">ach </w:t>
      </w:r>
      <w:r w:rsidRPr="00EC1001">
        <w:rPr>
          <w:rFonts w:ascii="Times New Roman" w:hAnsi="Times New Roman"/>
          <w:color w:val="000000" w:themeColor="text1"/>
          <w:sz w:val="24"/>
          <w:szCs w:val="24"/>
          <w:shd w:val="clear" w:color="auto" w:fill="FFFFFF"/>
        </w:rPr>
        <w:t xml:space="preserve">letter represents one administrative </w:t>
      </w:r>
      <w:r w:rsidRPr="00EC1001">
        <w:rPr>
          <w:rFonts w:ascii="Times New Roman" w:hAnsi="Times New Roman"/>
          <w:color w:val="000000" w:themeColor="text1"/>
          <w:sz w:val="24"/>
          <w:szCs w:val="24"/>
          <w:lang w:val="en-CA"/>
        </w:rPr>
        <w:t>division</w:t>
      </w:r>
      <w:r w:rsidRPr="00EC1001">
        <w:rPr>
          <w:rFonts w:ascii="Times New Roman" w:hAnsi="Times New Roman"/>
          <w:color w:val="000000" w:themeColor="text1"/>
          <w:sz w:val="24"/>
          <w:szCs w:val="24"/>
          <w:shd w:val="clear" w:color="auto" w:fill="FFFFFF"/>
        </w:rPr>
        <w:t>. The individuals are highlighted in golden color for the Lingnan regions of</w:t>
      </w:r>
      <w:r w:rsidRPr="00EC1001">
        <w:rPr>
          <w:rFonts w:ascii="Times New Roman" w:hAnsi="Times New Roman"/>
          <w:color w:val="000000" w:themeColor="text1"/>
          <w:sz w:val="24"/>
          <w:szCs w:val="24"/>
        </w:rPr>
        <w:t xml:space="preserve"> Guangxi (E), Guangzhou (G) and Hainan (H).</w:t>
      </w:r>
    </w:p>
    <w:p w14:paraId="124A55B2" w14:textId="77777777" w:rsidR="00B10319" w:rsidRDefault="00B10319" w:rsidP="00B10319">
      <w:pPr>
        <w:spacing w:line="480" w:lineRule="auto"/>
        <w:rPr>
          <w:rFonts w:ascii="Times New Roman" w:hAnsi="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48C63C45"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9</w:t>
      </w:r>
    </w:p>
    <w:p w14:paraId="7802FC27"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3FFB6245" wp14:editId="29F5B9F9">
            <wp:extent cx="5274310" cy="477075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 S9.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770755"/>
                    </a:xfrm>
                    <a:prstGeom prst="rect">
                      <a:avLst/>
                    </a:prstGeom>
                  </pic:spPr>
                </pic:pic>
              </a:graphicData>
            </a:graphic>
          </wp:inline>
        </w:drawing>
      </w:r>
    </w:p>
    <w:p w14:paraId="25906340" w14:textId="77777777" w:rsidR="00B10319" w:rsidRDefault="00B10319" w:rsidP="00B10319">
      <w:pPr>
        <w:spacing w:line="480" w:lineRule="auto"/>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9. </w:t>
      </w:r>
      <w:r w:rsidRPr="00EC1001">
        <w:rPr>
          <w:rFonts w:ascii="Times New Roman" w:hAnsi="Times New Roman" w:cs="Times New Roman"/>
          <w:b/>
          <w:color w:val="000000" w:themeColor="text1"/>
          <w:sz w:val="24"/>
          <w:szCs w:val="24"/>
          <w:shd w:val="clear" w:color="auto" w:fill="FFFFFF"/>
        </w:rPr>
        <w:t>ADMIXTURE analysis of the Han Chinese, CHB, CHS, CDX, KHV and JPT</w:t>
      </w:r>
      <w:r w:rsidRPr="00EC1001">
        <w:rPr>
          <w:rFonts w:ascii="Times New Roman" w:hAnsi="Times New Roman" w:cs="Times New Roman"/>
          <w:b/>
          <w:color w:val="000000" w:themeColor="text1"/>
          <w:sz w:val="24"/>
          <w:szCs w:val="24"/>
        </w:rPr>
        <w:t xml:space="preserve"> individuals from the 1000 Genomes Projects. </w:t>
      </w:r>
      <w:r w:rsidRPr="00EC1001">
        <w:rPr>
          <w:rFonts w:ascii="Times New Roman" w:hAnsi="Times New Roman" w:cs="Times New Roman"/>
          <w:color w:val="000000" w:themeColor="text1"/>
          <w:sz w:val="24"/>
          <w:szCs w:val="24"/>
          <w:shd w:val="clear" w:color="auto" w:fill="FFFFFF"/>
        </w:rPr>
        <w:t>The Han Chinese (2,056 individuals) was selected from our WBBC cohort. CHB (103 individuals) is a Han Chinese in Beijing. CHS (105 individuals) is Han Chinese from southern China. CDX (93 individuals) is Chinese Dai in Xishuangbanna. KHV (99 individuals) is Vietnamese from Kinh in Ho Chi Minh City. JPT (104 individuals) is Japanese in Tokyo.</w:t>
      </w:r>
      <w:r w:rsidRPr="00EC1001">
        <w:rPr>
          <w:rFonts w:ascii="Times New Roman" w:hAnsi="Times New Roman" w:cs="Times New Roman" w:hint="eastAsia"/>
          <w:color w:val="000000" w:themeColor="text1"/>
          <w:sz w:val="24"/>
          <w:szCs w:val="24"/>
        </w:rPr>
        <w:t xml:space="preserve"> </w:t>
      </w:r>
      <w:r w:rsidRPr="00EC1001">
        <w:rPr>
          <w:rFonts w:ascii="Times New Roman" w:hAnsi="Times New Roman" w:cs="Times New Roman"/>
          <w:color w:val="000000" w:themeColor="text1"/>
          <w:sz w:val="24"/>
          <w:szCs w:val="24"/>
          <w:shd w:val="clear" w:color="auto" w:fill="FFFFFF"/>
        </w:rPr>
        <w:t xml:space="preserve">The provinces and regions are shown on the left. </w:t>
      </w:r>
    </w:p>
    <w:p w14:paraId="2F3C4420" w14:textId="77777777" w:rsidR="00B10319" w:rsidRDefault="00B10319" w:rsidP="00B10319">
      <w:pPr>
        <w:spacing w:line="480" w:lineRule="auto"/>
        <w:rPr>
          <w:rFonts w:ascii="Times New Roman" w:hAnsi="Times New Roman" w:cs="Times New Roman"/>
          <w:color w:val="000000" w:themeColor="text1"/>
          <w:sz w:val="24"/>
          <w:szCs w:val="24"/>
          <w:shd w:val="clear" w:color="auto" w:fill="FFFFFF"/>
        </w:rPr>
      </w:pPr>
    </w:p>
    <w:p w14:paraId="360E4A1B" w14:textId="77777777" w:rsidR="00B10319" w:rsidRDefault="00B10319" w:rsidP="00B10319">
      <w:pPr>
        <w:spacing w:line="480" w:lineRule="auto"/>
        <w:rPr>
          <w:rFonts w:ascii="Times New Roman" w:hAnsi="Times New Roman" w:cs="Times New Roman"/>
          <w:color w:val="000000" w:themeColor="text1"/>
          <w:sz w:val="24"/>
          <w:szCs w:val="24"/>
          <w:shd w:val="clear" w:color="auto" w:fill="FFFFFF"/>
        </w:rPr>
      </w:pPr>
    </w:p>
    <w:p w14:paraId="5D3DB66A"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10</w:t>
      </w:r>
    </w:p>
    <w:p w14:paraId="238BDAB9" w14:textId="77777777" w:rsidR="00B10319" w:rsidRDefault="00B10319" w:rsidP="00B10319">
      <w:pPr>
        <w:spacing w:line="480" w:lineRule="auto"/>
        <w:jc w:val="center"/>
        <w:rPr>
          <w:rFonts w:ascii="Times New Roman" w:hAnsi="Times New Roman" w:cs="Times New Roman"/>
          <w:color w:val="000000" w:themeColor="text1"/>
          <w:sz w:val="24"/>
          <w:szCs w:val="24"/>
          <w:shd w:val="clear" w:color="auto" w:fill="FFFFFF"/>
        </w:rPr>
      </w:pPr>
      <w:r>
        <w:rPr>
          <w:rFonts w:ascii="Times New Roman" w:hAnsi="Times New Roman" w:cs="Times New Roman" w:hint="eastAsia"/>
          <w:noProof/>
          <w:color w:val="000000" w:themeColor="text1"/>
          <w:sz w:val="24"/>
          <w:szCs w:val="24"/>
          <w:shd w:val="clear" w:color="auto" w:fill="FFFFFF"/>
        </w:rPr>
        <w:drawing>
          <wp:inline distT="0" distB="0" distL="0" distR="0" wp14:anchorId="52EC552E" wp14:editId="4F8CA9BD">
            <wp:extent cx="4373889" cy="4358649"/>
            <wp:effectExtent l="0" t="0" r="762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 S10.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73889" cy="4358649"/>
                    </a:xfrm>
                    <a:prstGeom prst="rect">
                      <a:avLst/>
                    </a:prstGeom>
                  </pic:spPr>
                </pic:pic>
              </a:graphicData>
            </a:graphic>
          </wp:inline>
        </w:drawing>
      </w:r>
    </w:p>
    <w:p w14:paraId="4752B95B"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1</w:t>
      </w:r>
      <w:r>
        <w:rPr>
          <w:rFonts w:ascii="Times New Roman" w:hAnsi="Times New Roman" w:cs="Times New Roman"/>
          <w:b/>
          <w:color w:val="000000" w:themeColor="text1"/>
          <w:sz w:val="24"/>
          <w:szCs w:val="24"/>
        </w:rPr>
        <w:t xml:space="preserve">0. </w:t>
      </w:r>
      <w:r w:rsidRPr="00EC1001">
        <w:rPr>
          <w:rFonts w:ascii="Times New Roman" w:hAnsi="Times New Roman" w:cs="Times New Roman"/>
          <w:b/>
          <w:color w:val="000000" w:themeColor="text1"/>
          <w:sz w:val="24"/>
          <w:szCs w:val="24"/>
        </w:rPr>
        <w:t>Pairwise F</w:t>
      </w:r>
      <w:r w:rsidRPr="00EC1001">
        <w:rPr>
          <w:rFonts w:ascii="Times New Roman" w:hAnsi="Times New Roman" w:cs="Times New Roman"/>
          <w:b/>
          <w:color w:val="000000" w:themeColor="text1"/>
          <w:sz w:val="24"/>
          <w:szCs w:val="24"/>
          <w:vertAlign w:val="subscript"/>
        </w:rPr>
        <w:t>ST</w:t>
      </w:r>
      <w:r w:rsidRPr="00EC1001">
        <w:rPr>
          <w:rFonts w:ascii="Times New Roman" w:hAnsi="Times New Roman" w:cs="Times New Roman"/>
          <w:b/>
          <w:color w:val="000000" w:themeColor="text1"/>
          <w:sz w:val="24"/>
          <w:szCs w:val="24"/>
        </w:rPr>
        <w:t xml:space="preserve"> between the WBBC and 1KG Project populations. </w:t>
      </w:r>
      <w:r w:rsidRPr="00EC1001">
        <w:rPr>
          <w:rFonts w:ascii="Times New Roman" w:hAnsi="Times New Roman" w:cs="Times New Roman"/>
          <w:color w:val="000000" w:themeColor="text1"/>
          <w:sz w:val="24"/>
          <w:szCs w:val="24"/>
        </w:rPr>
        <w:t>Numbers in each rectangle mean the pairwise F</w:t>
      </w:r>
      <w:r w:rsidRPr="00EC1001">
        <w:rPr>
          <w:rFonts w:ascii="Times New Roman" w:hAnsi="Times New Roman" w:cs="Times New Roman"/>
          <w:color w:val="000000" w:themeColor="text1"/>
          <w:sz w:val="24"/>
          <w:szCs w:val="24"/>
          <w:vertAlign w:val="subscript"/>
        </w:rPr>
        <w:t>ST</w:t>
      </w:r>
      <w:r w:rsidRPr="00EC1001">
        <w:rPr>
          <w:rFonts w:ascii="Times New Roman" w:hAnsi="Times New Roman" w:cs="Times New Roman"/>
          <w:color w:val="000000" w:themeColor="text1"/>
          <w:sz w:val="24"/>
          <w:szCs w:val="24"/>
        </w:rPr>
        <w:t xml:space="preserve"> value times 1,000. The bars on the top and left show the population classifications. SAS, AMR, AFR, EUR, and EAS are five continent-level ancestry groups of the 1KG Project.</w:t>
      </w:r>
    </w:p>
    <w:p w14:paraId="4B9DC335" w14:textId="77777777" w:rsidR="00B10319" w:rsidRDefault="00B10319" w:rsidP="00B10319">
      <w:pPr>
        <w:spacing w:line="480" w:lineRule="auto"/>
        <w:rPr>
          <w:rFonts w:ascii="Times New Roman" w:eastAsia="SimSun" w:hAnsi="Times New Roman"/>
          <w:noProof/>
          <w:color w:val="000000" w:themeColor="text1"/>
          <w:sz w:val="24"/>
        </w:rPr>
        <w:sectPr w:rsidR="00B10319" w:rsidSect="00BE376A">
          <w:pgSz w:w="11906" w:h="16838"/>
          <w:pgMar w:top="1440" w:right="1800" w:bottom="1440" w:left="1800" w:header="851" w:footer="992" w:gutter="0"/>
          <w:lnNumType w:countBy="1" w:restart="continuous"/>
          <w:cols w:space="425"/>
          <w:docGrid w:type="lines" w:linePitch="312"/>
        </w:sectPr>
      </w:pPr>
    </w:p>
    <w:p w14:paraId="7E569859"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11</w:t>
      </w:r>
    </w:p>
    <w:p w14:paraId="5B1F9534" w14:textId="77777777" w:rsidR="00B10319" w:rsidRDefault="00B10319" w:rsidP="00B10319">
      <w:pPr>
        <w:spacing w:line="480" w:lineRule="auto"/>
        <w:jc w:val="center"/>
        <w:rPr>
          <w:rFonts w:ascii="Times New Roman" w:eastAsia="SimSun" w:hAnsi="Times New Roman"/>
          <w:noProof/>
          <w:color w:val="000000" w:themeColor="text1"/>
          <w:sz w:val="24"/>
        </w:rPr>
      </w:pPr>
      <w:r>
        <w:rPr>
          <w:rFonts w:ascii="Times New Roman" w:eastAsia="SimSun" w:hAnsi="Times New Roman" w:hint="eastAsia"/>
          <w:noProof/>
          <w:color w:val="000000" w:themeColor="text1"/>
          <w:sz w:val="24"/>
        </w:rPr>
        <w:drawing>
          <wp:inline distT="0" distB="0" distL="0" distR="0" wp14:anchorId="6258A44E" wp14:editId="7DA42CB5">
            <wp:extent cx="5077978" cy="3840488"/>
            <wp:effectExtent l="0" t="0" r="889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 S1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77978" cy="3840488"/>
                    </a:xfrm>
                    <a:prstGeom prst="rect">
                      <a:avLst/>
                    </a:prstGeom>
                  </pic:spPr>
                </pic:pic>
              </a:graphicData>
            </a:graphic>
          </wp:inline>
        </w:drawing>
      </w:r>
    </w:p>
    <w:p w14:paraId="65ABC3EE"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1</w:t>
      </w:r>
      <w:r>
        <w:rPr>
          <w:rFonts w:ascii="Times New Roman" w:hAnsi="Times New Roman" w:cs="Times New Roman"/>
          <w:b/>
          <w:color w:val="000000" w:themeColor="text1"/>
          <w:sz w:val="24"/>
          <w:szCs w:val="24"/>
        </w:rPr>
        <w:t xml:space="preserve">1. </w:t>
      </w:r>
      <w:r w:rsidRPr="00EC1001">
        <w:rPr>
          <w:rFonts w:ascii="Times New Roman" w:hAnsi="Times New Roman" w:cs="Times New Roman"/>
          <w:b/>
          <w:color w:val="000000" w:themeColor="text1"/>
          <w:sz w:val="24"/>
          <w:szCs w:val="24"/>
        </w:rPr>
        <w:t>Geographic patterns of pairwise F</w:t>
      </w:r>
      <w:r w:rsidRPr="00EC1001">
        <w:rPr>
          <w:rFonts w:ascii="Times New Roman" w:hAnsi="Times New Roman" w:cs="Times New Roman"/>
          <w:b/>
          <w:color w:val="000000" w:themeColor="text1"/>
          <w:sz w:val="24"/>
          <w:szCs w:val="24"/>
          <w:vertAlign w:val="subscript"/>
        </w:rPr>
        <w:t>ST</w:t>
      </w:r>
      <w:r w:rsidRPr="00EC1001">
        <w:rPr>
          <w:rFonts w:ascii="Times New Roman" w:hAnsi="Times New Roman" w:cs="Times New Roman"/>
          <w:b/>
          <w:color w:val="000000" w:themeColor="text1"/>
          <w:sz w:val="24"/>
          <w:szCs w:val="24"/>
        </w:rPr>
        <w:t xml:space="preserve"> using the 1KG as a reference. </w:t>
      </w:r>
      <w:r w:rsidRPr="00EC1001">
        <w:rPr>
          <w:rFonts w:ascii="Times New Roman" w:hAnsi="Times New Roman" w:cs="Times New Roman"/>
          <w:color w:val="000000" w:themeColor="text1"/>
          <w:sz w:val="24"/>
          <w:szCs w:val="24"/>
        </w:rPr>
        <w:t>Using the four non-Chinese continent-level ancestry groups of the 1KG Project as the reference, i</w:t>
      </w:r>
      <w:r>
        <w:rPr>
          <w:rFonts w:ascii="Times New Roman" w:hAnsi="Times New Roman" w:cs="Times New Roman"/>
          <w:color w:val="000000" w:themeColor="text1"/>
          <w:sz w:val="24"/>
          <w:szCs w:val="24"/>
        </w:rPr>
        <w:t xml:space="preserve">ncluding </w:t>
      </w:r>
      <w:r w:rsidRPr="00A85437">
        <w:rPr>
          <w:rFonts w:ascii="Times New Roman" w:hAnsi="Times New Roman" w:cs="Times New Roman"/>
          <w:b/>
          <w:color w:val="000000" w:themeColor="text1"/>
          <w:sz w:val="24"/>
          <w:szCs w:val="24"/>
        </w:rPr>
        <w:t>a</w:t>
      </w:r>
      <w:r>
        <w:rPr>
          <w:rFonts w:ascii="Times New Roman" w:hAnsi="Times New Roman" w:cs="Times New Roman"/>
          <w:color w:val="000000" w:themeColor="text1"/>
          <w:sz w:val="24"/>
          <w:szCs w:val="24"/>
        </w:rPr>
        <w:t xml:space="preserve"> </w:t>
      </w:r>
      <w:r w:rsidRPr="00EC1001">
        <w:rPr>
          <w:rFonts w:ascii="Times New Roman" w:hAnsi="Times New Roman" w:cs="Times New Roman"/>
          <w:color w:val="000000" w:themeColor="text1"/>
          <w:sz w:val="24"/>
          <w:szCs w:val="24"/>
        </w:rPr>
        <w:t>AMR</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b</w:t>
      </w:r>
      <w:r>
        <w:rPr>
          <w:rFonts w:ascii="Times New Roman" w:hAnsi="Times New Roman" w:cs="Times New Roman"/>
          <w:color w:val="000000" w:themeColor="text1"/>
          <w:sz w:val="24"/>
          <w:szCs w:val="24"/>
        </w:rPr>
        <w:t xml:space="preserve"> </w:t>
      </w:r>
      <w:r w:rsidRPr="00EC1001">
        <w:rPr>
          <w:rFonts w:ascii="Times New Roman" w:hAnsi="Times New Roman" w:cs="Times New Roman"/>
          <w:color w:val="000000" w:themeColor="text1"/>
          <w:sz w:val="24"/>
          <w:szCs w:val="24"/>
        </w:rPr>
        <w:t>AFR</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c</w:t>
      </w:r>
      <w:r>
        <w:rPr>
          <w:rFonts w:ascii="Times New Roman" w:hAnsi="Times New Roman" w:cs="Times New Roman"/>
          <w:color w:val="000000" w:themeColor="text1"/>
          <w:sz w:val="24"/>
          <w:szCs w:val="24"/>
        </w:rPr>
        <w:t xml:space="preserve"> </w:t>
      </w:r>
      <w:r w:rsidRPr="00EC1001">
        <w:rPr>
          <w:rFonts w:ascii="Times New Roman" w:hAnsi="Times New Roman" w:cs="Times New Roman"/>
          <w:color w:val="000000" w:themeColor="text1"/>
          <w:sz w:val="24"/>
          <w:szCs w:val="24"/>
        </w:rPr>
        <w:t>SAS</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d</w:t>
      </w:r>
      <w:r>
        <w:rPr>
          <w:rFonts w:ascii="Times New Roman" w:hAnsi="Times New Roman" w:cs="Times New Roman"/>
          <w:color w:val="000000" w:themeColor="text1"/>
          <w:sz w:val="24"/>
          <w:szCs w:val="24"/>
        </w:rPr>
        <w:t xml:space="preserve"> EUR.</w:t>
      </w:r>
      <w:r w:rsidRPr="00EC100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w:t>
      </w:r>
      <w:r w:rsidRPr="00EC1001">
        <w:rPr>
          <w:rFonts w:ascii="Times New Roman" w:hAnsi="Times New Roman" w:cs="Times New Roman"/>
          <w:color w:val="000000" w:themeColor="text1"/>
          <w:sz w:val="24"/>
          <w:szCs w:val="24"/>
        </w:rPr>
        <w:t>e further investigated the geographic patterns of F</w:t>
      </w:r>
      <w:r w:rsidRPr="00EC1001">
        <w:rPr>
          <w:rFonts w:ascii="Times New Roman" w:hAnsi="Times New Roman" w:cs="Times New Roman"/>
          <w:color w:val="000000" w:themeColor="text1"/>
          <w:sz w:val="24"/>
          <w:szCs w:val="24"/>
          <w:vertAlign w:val="subscript"/>
        </w:rPr>
        <w:t>ST</w:t>
      </w:r>
      <w:r w:rsidRPr="00EC1001">
        <w:rPr>
          <w:rFonts w:ascii="Times New Roman" w:hAnsi="Times New Roman" w:cs="Times New Roman"/>
          <w:color w:val="000000" w:themeColor="text1"/>
          <w:sz w:val="24"/>
          <w:szCs w:val="24"/>
        </w:rPr>
        <w:t xml:space="preserve"> in the 27 </w:t>
      </w:r>
      <w:r w:rsidRPr="00EC1001">
        <w:rPr>
          <w:rFonts w:ascii="Times New Roman" w:hAnsi="Times New Roman" w:cs="Times New Roman"/>
          <w:color w:val="000000" w:themeColor="text1"/>
          <w:sz w:val="24"/>
          <w:szCs w:val="24"/>
          <w:shd w:val="clear" w:color="auto" w:fill="FFFFFF"/>
        </w:rPr>
        <w:t xml:space="preserve">administrative </w:t>
      </w:r>
      <w:r w:rsidRPr="00EC1001">
        <w:rPr>
          <w:rFonts w:ascii="Times New Roman" w:hAnsi="Times New Roman" w:cs="Times New Roman"/>
          <w:color w:val="000000" w:themeColor="text1"/>
          <w:sz w:val="24"/>
          <w:szCs w:val="24"/>
          <w:lang w:val="en-CA"/>
        </w:rPr>
        <w:t>divisions</w:t>
      </w:r>
      <w:r w:rsidRPr="00EC1001">
        <w:rPr>
          <w:rFonts w:ascii="Times New Roman" w:hAnsi="Times New Roman" w:cs="Times New Roman"/>
          <w:color w:val="000000" w:themeColor="text1"/>
          <w:sz w:val="24"/>
          <w:szCs w:val="24"/>
        </w:rPr>
        <w:t>. Regions in grey were not sampled.</w:t>
      </w:r>
    </w:p>
    <w:p w14:paraId="09886BB7" w14:textId="77777777" w:rsidR="00B10319" w:rsidRDefault="00B10319" w:rsidP="00B10319">
      <w:pPr>
        <w:spacing w:line="480" w:lineRule="auto"/>
        <w:rPr>
          <w:rFonts w:ascii="Times New Roman" w:hAnsi="Times New Roman" w:cs="Times New Roman"/>
          <w:b/>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5198EE52"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12</w:t>
      </w:r>
    </w:p>
    <w:p w14:paraId="72FBAB62" w14:textId="77777777" w:rsidR="00B10319" w:rsidRDefault="00B10319" w:rsidP="00B10319">
      <w:pPr>
        <w:spacing w:line="480" w:lineRule="auto"/>
        <w:jc w:val="center"/>
        <w:rPr>
          <w:rFonts w:ascii="Times New Roman" w:hAnsi="Times New Roman" w:cs="Times New Roman"/>
          <w:b/>
          <w:color w:val="000000" w:themeColor="text1"/>
          <w:sz w:val="24"/>
          <w:szCs w:val="24"/>
        </w:rPr>
      </w:pPr>
      <w:r>
        <w:rPr>
          <w:rFonts w:ascii="Times New Roman" w:hAnsi="Times New Roman" w:cs="Times New Roman" w:hint="eastAsia"/>
          <w:b/>
          <w:noProof/>
          <w:color w:val="000000" w:themeColor="text1"/>
          <w:sz w:val="24"/>
          <w:szCs w:val="24"/>
        </w:rPr>
        <w:drawing>
          <wp:inline distT="0" distB="0" distL="0" distR="0" wp14:anchorId="1E541CEF" wp14:editId="1BE6B5FF">
            <wp:extent cx="4784400" cy="6534000"/>
            <wp:effectExtent l="0" t="0" r="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 S1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84400" cy="6534000"/>
                    </a:xfrm>
                    <a:prstGeom prst="rect">
                      <a:avLst/>
                    </a:prstGeom>
                  </pic:spPr>
                </pic:pic>
              </a:graphicData>
            </a:graphic>
          </wp:inline>
        </w:drawing>
      </w:r>
    </w:p>
    <w:p w14:paraId="3BEAC883"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1</w:t>
      </w:r>
      <w:r>
        <w:rPr>
          <w:rFonts w:ascii="Times New Roman" w:hAnsi="Times New Roman" w:cs="Times New Roman"/>
          <w:b/>
          <w:color w:val="000000" w:themeColor="text1"/>
          <w:sz w:val="24"/>
          <w:szCs w:val="24"/>
        </w:rPr>
        <w:t xml:space="preserve">2. </w:t>
      </w:r>
      <w:r w:rsidRPr="00EC1001">
        <w:rPr>
          <w:rFonts w:ascii="Times New Roman" w:hAnsi="Times New Roman" w:cs="Times New Roman"/>
          <w:b/>
          <w:color w:val="000000" w:themeColor="text1"/>
          <w:sz w:val="24"/>
          <w:szCs w:val="24"/>
        </w:rPr>
        <w:t xml:space="preserve">Bootstrap replicates for the tree topology in 27 </w:t>
      </w:r>
      <w:r w:rsidRPr="00EC1001">
        <w:rPr>
          <w:rFonts w:ascii="Times New Roman" w:hAnsi="Times New Roman" w:cs="Times New Roman"/>
          <w:b/>
          <w:color w:val="000000" w:themeColor="text1"/>
          <w:sz w:val="24"/>
          <w:szCs w:val="24"/>
          <w:shd w:val="clear" w:color="auto" w:fill="FFFFFF"/>
        </w:rPr>
        <w:t xml:space="preserve">administrative </w:t>
      </w:r>
      <w:r w:rsidRPr="00EC1001">
        <w:rPr>
          <w:rFonts w:ascii="Times New Roman" w:hAnsi="Times New Roman" w:cs="Times New Roman"/>
          <w:b/>
          <w:color w:val="000000" w:themeColor="text1"/>
          <w:sz w:val="24"/>
          <w:szCs w:val="24"/>
          <w:lang w:val="en-CA"/>
        </w:rPr>
        <w:t>divisions</w:t>
      </w:r>
      <w:r w:rsidRPr="00EC1001">
        <w:rPr>
          <w:rFonts w:ascii="Times New Roman" w:hAnsi="Times New Roman" w:cs="Times New Roman"/>
          <w:b/>
          <w:color w:val="000000" w:themeColor="text1"/>
          <w:sz w:val="24"/>
          <w:szCs w:val="24"/>
        </w:rPr>
        <w:t xml:space="preserve">. </w:t>
      </w:r>
      <w:r w:rsidRPr="00EC1001">
        <w:rPr>
          <w:rFonts w:ascii="Times New Roman" w:hAnsi="Times New Roman" w:cs="Times New Roman"/>
          <w:color w:val="000000" w:themeColor="text1"/>
          <w:sz w:val="24"/>
          <w:szCs w:val="24"/>
        </w:rPr>
        <w:t>The bootstrap replicates were generated by the -bootstrap -k flag of TreeMix software. The plots were y-axis free. The scale bar shows ten times the average standard error of the entries in the sample covariance matrix for the estimated drift parameter.</w:t>
      </w:r>
    </w:p>
    <w:p w14:paraId="391B1172"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13</w:t>
      </w:r>
    </w:p>
    <w:p w14:paraId="5E7923AB" w14:textId="77777777" w:rsidR="00B10319" w:rsidRPr="00EC1001" w:rsidRDefault="00B10319" w:rsidP="00B10319">
      <w:pPr>
        <w:spacing w:line="480" w:lineRule="auto"/>
        <w:rPr>
          <w:rFonts w:ascii="Times New Roman" w:eastAsia="SimSun" w:hAnsi="Times New Roman"/>
          <w:color w:val="000000" w:themeColor="text1"/>
          <w:sz w:val="24"/>
        </w:rPr>
      </w:pPr>
      <w:r>
        <w:rPr>
          <w:rFonts w:ascii="Times New Roman" w:eastAsia="SimSun" w:hAnsi="Times New Roman"/>
          <w:noProof/>
          <w:color w:val="000000" w:themeColor="text1"/>
          <w:sz w:val="24"/>
        </w:rPr>
        <w:drawing>
          <wp:inline distT="0" distB="0" distL="0" distR="0" wp14:anchorId="7CE0C1D0" wp14:editId="55784205">
            <wp:extent cx="4949962" cy="4053848"/>
            <wp:effectExtent l="0" t="0" r="3175"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 S1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49962" cy="4053848"/>
                    </a:xfrm>
                    <a:prstGeom prst="rect">
                      <a:avLst/>
                    </a:prstGeom>
                  </pic:spPr>
                </pic:pic>
              </a:graphicData>
            </a:graphic>
          </wp:inline>
        </w:drawing>
      </w:r>
    </w:p>
    <w:p w14:paraId="685A4E7B" w14:textId="77777777" w:rsidR="00B10319" w:rsidRDefault="00B10319" w:rsidP="00B10319">
      <w:pPr>
        <w:spacing w:line="480" w:lineRule="auto"/>
        <w:rPr>
          <w:rFonts w:ascii="Times New Roman" w:hAnsi="Times New Roman" w:cs="Times New Roman"/>
          <w:bCs/>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1</w:t>
      </w:r>
      <w:r>
        <w:rPr>
          <w:rFonts w:ascii="Times New Roman" w:hAnsi="Times New Roman" w:cs="Times New Roman"/>
          <w:b/>
          <w:color w:val="000000" w:themeColor="text1"/>
          <w:sz w:val="24"/>
          <w:szCs w:val="24"/>
        </w:rPr>
        <w:t xml:space="preserve">3. The </w:t>
      </w:r>
      <w:r w:rsidRPr="006B49FD">
        <w:rPr>
          <w:rFonts w:ascii="Times New Roman" w:hAnsi="Times New Roman" w:cs="Times New Roman"/>
          <w:b/>
          <w:color w:val="000000" w:themeColor="text1"/>
          <w:sz w:val="24"/>
          <w:szCs w:val="24"/>
        </w:rPr>
        <w:t xml:space="preserve">number of </w:t>
      </w:r>
      <w:r w:rsidRPr="006B49FD">
        <w:rPr>
          <w:rFonts w:ascii="Times New Roman" w:hAnsi="Times New Roman" w:cs="Times New Roman" w:hint="eastAsia"/>
          <w:b/>
          <w:bCs/>
          <w:color w:val="000000" w:themeColor="text1"/>
          <w:sz w:val="24"/>
          <w:szCs w:val="24"/>
        </w:rPr>
        <w:t>genomic regions with</w:t>
      </w:r>
      <w:r w:rsidRPr="006B49FD">
        <w:rPr>
          <w:rFonts w:ascii="Times New Roman" w:hAnsi="Times New Roman" w:cs="Times New Roman"/>
          <w:b/>
          <w:bCs/>
          <w:color w:val="000000" w:themeColor="text1"/>
          <w:sz w:val="24"/>
          <w:szCs w:val="24"/>
        </w:rPr>
        <w:t xml:space="preserve"> significant selection signatures</w:t>
      </w:r>
      <w:r w:rsidRPr="002157BB">
        <w:rPr>
          <w:rFonts w:ascii="Times New Roman" w:hAnsi="Times New Roman" w:cs="Times New Roman" w:hint="eastAsia"/>
          <w:bCs/>
          <w:color w:val="000000" w:themeColor="text1"/>
          <w:sz w:val="24"/>
          <w:szCs w:val="24"/>
        </w:rPr>
        <w:t>.</w:t>
      </w:r>
      <w:r>
        <w:rPr>
          <w:rFonts w:ascii="Times New Roman" w:hAnsi="Times New Roman" w:cs="Times New Roman"/>
          <w:bCs/>
          <w:color w:val="000000" w:themeColor="text1"/>
          <w:sz w:val="24"/>
          <w:szCs w:val="24"/>
        </w:rPr>
        <w:t xml:space="preserve"> </w:t>
      </w:r>
    </w:p>
    <w:p w14:paraId="6B81AC15" w14:textId="77777777" w:rsidR="00B10319" w:rsidRDefault="00B10319" w:rsidP="00B10319">
      <w:pPr>
        <w:spacing w:line="480" w:lineRule="auto"/>
        <w:rPr>
          <w:rFonts w:ascii="Times New Roman" w:hAnsi="Times New Roman" w:cs="Times New Roman"/>
          <w:color w:val="000000" w:themeColor="text1"/>
          <w:sz w:val="24"/>
          <w:szCs w:val="24"/>
        </w:rPr>
      </w:pPr>
      <w:r w:rsidRPr="000C11BB">
        <w:rPr>
          <w:rFonts w:ascii="Times New Roman" w:hAnsi="Times New Roman" w:cs="Times New Roman" w:hint="eastAsia"/>
          <w:bCs/>
          <w:color w:val="000000" w:themeColor="text1"/>
          <w:sz w:val="24"/>
          <w:szCs w:val="24"/>
        </w:rPr>
        <w:t>Sharing of genomic regions with higher iHS signals among four subgroups.</w:t>
      </w:r>
      <w:r w:rsidRPr="000C11BB">
        <w:rPr>
          <w:rFonts w:ascii="Times New Roman" w:hAnsi="Times New Roman" w:cs="Times New Roman"/>
          <w:bCs/>
          <w:color w:val="000000" w:themeColor="text1"/>
          <w:sz w:val="24"/>
          <w:szCs w:val="24"/>
        </w:rPr>
        <w:t xml:space="preserve"> </w:t>
      </w:r>
      <w:r w:rsidRPr="000C11BB">
        <w:rPr>
          <w:rFonts w:ascii="Times New Roman" w:hAnsi="Times New Roman" w:cs="Times New Roman" w:hint="eastAsia"/>
          <w:color w:val="000000" w:themeColor="text1"/>
          <w:sz w:val="24"/>
          <w:szCs w:val="24"/>
        </w:rPr>
        <w:t xml:space="preserve">The number listed within </w:t>
      </w:r>
      <w:r w:rsidRPr="000C11BB">
        <w:rPr>
          <w:rFonts w:ascii="Times New Roman" w:hAnsi="Times New Roman" w:cs="Times New Roman"/>
          <w:color w:val="000000" w:themeColor="text1"/>
          <w:sz w:val="24"/>
          <w:szCs w:val="24"/>
        </w:rPr>
        <w:t xml:space="preserve">the </w:t>
      </w:r>
      <w:r w:rsidRPr="000C11BB">
        <w:rPr>
          <w:rFonts w:ascii="Times New Roman" w:hAnsi="Times New Roman" w:cs="Times New Roman" w:hint="eastAsia"/>
          <w:color w:val="000000" w:themeColor="text1"/>
          <w:sz w:val="24"/>
          <w:szCs w:val="24"/>
        </w:rPr>
        <w:t>Venn Diagram indicates the numbers of 200 kb non-overlapping genomic windows in the top 1% of the fraction of SNVs with |iHS| &gt;2.</w:t>
      </w:r>
    </w:p>
    <w:p w14:paraId="68B394F1" w14:textId="77777777" w:rsidR="00B10319" w:rsidRDefault="00B10319" w:rsidP="00B10319">
      <w:pPr>
        <w:spacing w:line="480" w:lineRule="auto"/>
        <w:rPr>
          <w:rFonts w:ascii="Times New Roman" w:hAnsi="Times New Roman" w:cs="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4C65D05F"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14</w:t>
      </w:r>
    </w:p>
    <w:p w14:paraId="78F798C9" w14:textId="77777777" w:rsidR="00B10319" w:rsidRDefault="00B10319" w:rsidP="00B10319">
      <w:pPr>
        <w:spacing w:line="480" w:lineRule="auto"/>
        <w:jc w:val="center"/>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0189A498" wp14:editId="187C087A">
            <wp:extent cx="5274310" cy="432562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 S14.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4325620"/>
                    </a:xfrm>
                    <a:prstGeom prst="rect">
                      <a:avLst/>
                    </a:prstGeom>
                  </pic:spPr>
                </pic:pic>
              </a:graphicData>
            </a:graphic>
          </wp:inline>
        </w:drawing>
      </w:r>
    </w:p>
    <w:p w14:paraId="4DAD53C6"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14. </w:t>
      </w:r>
      <w:r w:rsidRPr="00EC1001">
        <w:rPr>
          <w:rFonts w:ascii="Times New Roman" w:hAnsi="Times New Roman"/>
          <w:b/>
          <w:color w:val="000000" w:themeColor="text1"/>
          <w:sz w:val="24"/>
          <w:szCs w:val="24"/>
        </w:rPr>
        <w:t xml:space="preserve">Schematic representation of whole-genome sequencing analysis pipelines. </w:t>
      </w:r>
      <w:r w:rsidRPr="00EC1001">
        <w:rPr>
          <w:rFonts w:ascii="Times New Roman" w:hAnsi="Times New Roman"/>
          <w:color w:val="000000" w:themeColor="text1"/>
          <w:sz w:val="24"/>
          <w:szCs w:val="24"/>
        </w:rPr>
        <w:t xml:space="preserve">The BWA and GATK4 recommendation pipeline and variant analysis strategy were performed on the WBBC-cohort dataset with the GRCh38 </w:t>
      </w:r>
      <w:r w:rsidRPr="00EC1001">
        <w:rPr>
          <w:rFonts w:ascii="Times New Roman" w:hAnsi="Times New Roman" w:hint="eastAsia"/>
          <w:color w:val="000000" w:themeColor="text1"/>
          <w:sz w:val="24"/>
          <w:szCs w:val="24"/>
        </w:rPr>
        <w:t xml:space="preserve">and </w:t>
      </w:r>
      <w:r w:rsidRPr="00EC1001">
        <w:rPr>
          <w:rFonts w:ascii="Times New Roman" w:hAnsi="Times New Roman"/>
          <w:color w:val="000000" w:themeColor="text1"/>
          <w:sz w:val="24"/>
          <w:szCs w:val="24"/>
        </w:rPr>
        <w:t>GRCh37</w:t>
      </w:r>
      <w:r w:rsidRPr="00EC1001">
        <w:rPr>
          <w:rFonts w:ascii="Times New Roman" w:hAnsi="Times New Roman" w:hint="eastAsia"/>
          <w:color w:val="000000" w:themeColor="text1"/>
          <w:sz w:val="24"/>
          <w:szCs w:val="24"/>
        </w:rPr>
        <w:t xml:space="preserve"> </w:t>
      </w:r>
      <w:r w:rsidRPr="00EC1001">
        <w:rPr>
          <w:rFonts w:ascii="Times New Roman" w:hAnsi="Times New Roman"/>
          <w:color w:val="000000" w:themeColor="text1"/>
          <w:sz w:val="24"/>
          <w:szCs w:val="24"/>
        </w:rPr>
        <w:t>human reference genome, respectively.</w:t>
      </w:r>
    </w:p>
    <w:p w14:paraId="0D73BD68" w14:textId="77777777" w:rsidR="00B10319" w:rsidRDefault="00B10319" w:rsidP="00B10319">
      <w:pPr>
        <w:spacing w:line="480" w:lineRule="auto"/>
        <w:rPr>
          <w:rFonts w:ascii="Times New Roman" w:hAnsi="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2C35F688" w14:textId="77777777" w:rsidR="00B10319" w:rsidRDefault="00B10319" w:rsidP="00B10319">
      <w:pPr>
        <w:spacing w:line="48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Supplementary Fig.</w:t>
      </w:r>
      <w:r w:rsidRPr="00EC1001">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15</w:t>
      </w:r>
    </w:p>
    <w:p w14:paraId="2D3F7847" w14:textId="77777777" w:rsidR="00B10319" w:rsidRDefault="00B10319" w:rsidP="00B10319">
      <w:pPr>
        <w:spacing w:line="480" w:lineRule="auto"/>
        <w:rPr>
          <w:rFonts w:ascii="Times New Roman" w:hAnsi="Times New Roman"/>
          <w:color w:val="000000" w:themeColor="text1"/>
          <w:sz w:val="24"/>
          <w:szCs w:val="24"/>
        </w:rPr>
      </w:pPr>
      <w:r>
        <w:rPr>
          <w:rFonts w:ascii="Times New Roman" w:hAnsi="Times New Roman" w:hint="eastAsia"/>
          <w:noProof/>
          <w:color w:val="000000" w:themeColor="text1"/>
          <w:sz w:val="24"/>
          <w:szCs w:val="24"/>
        </w:rPr>
        <w:drawing>
          <wp:inline distT="0" distB="0" distL="0" distR="0" wp14:anchorId="695DFF12" wp14:editId="560F3735">
            <wp:extent cx="5274310" cy="297751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 S15.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77515"/>
                    </a:xfrm>
                    <a:prstGeom prst="rect">
                      <a:avLst/>
                    </a:prstGeom>
                  </pic:spPr>
                </pic:pic>
              </a:graphicData>
            </a:graphic>
          </wp:inline>
        </w:drawing>
      </w:r>
    </w:p>
    <w:p w14:paraId="76F61075"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Supplementary Fig.</w:t>
      </w:r>
      <w:r w:rsidRPr="00EC1001">
        <w:rPr>
          <w:rFonts w:ascii="Times New Roman" w:hAnsi="Times New Roman" w:cs="Times New Roman"/>
          <w:b/>
          <w:color w:val="000000" w:themeColor="text1"/>
          <w:sz w:val="24"/>
          <w:szCs w:val="24"/>
        </w:rPr>
        <w:t xml:space="preserve"> 1</w:t>
      </w:r>
      <w:r>
        <w:rPr>
          <w:rFonts w:ascii="Times New Roman" w:hAnsi="Times New Roman" w:cs="Times New Roman"/>
          <w:b/>
          <w:color w:val="000000" w:themeColor="text1"/>
          <w:sz w:val="24"/>
          <w:szCs w:val="24"/>
        </w:rPr>
        <w:t xml:space="preserve">5. </w:t>
      </w:r>
      <w:r w:rsidRPr="00EC1001">
        <w:rPr>
          <w:rFonts w:ascii="Times New Roman" w:hAnsi="Times New Roman" w:cs="Times New Roman"/>
          <w:b/>
          <w:color w:val="000000" w:themeColor="text1"/>
          <w:sz w:val="24"/>
          <w:szCs w:val="24"/>
        </w:rPr>
        <w:t xml:space="preserve">Definition of genotype concordance, specificity, and sensitivity. </w:t>
      </w:r>
      <w:r w:rsidRPr="00EC1001">
        <w:rPr>
          <w:rFonts w:ascii="Times New Roman" w:hAnsi="Times New Roman" w:cs="Times New Roman"/>
          <w:color w:val="000000" w:themeColor="text1"/>
          <w:sz w:val="24"/>
          <w:szCs w:val="24"/>
        </w:rPr>
        <w:t>Letter A represents reference allele while B represents non-reference (NR) allele. The dot means missing called allele. For each metric, the value equals to the corresponding red rectangles divided by all</w:t>
      </w:r>
      <w:r>
        <w:rPr>
          <w:rFonts w:ascii="Times New Roman" w:hAnsi="Times New Roman" w:cs="Times New Roman"/>
          <w:color w:val="000000" w:themeColor="text1"/>
          <w:sz w:val="24"/>
          <w:szCs w:val="24"/>
        </w:rPr>
        <w:t xml:space="preserve"> rectangles with a blue border.</w:t>
      </w:r>
    </w:p>
    <w:p w14:paraId="58E26272" w14:textId="77777777" w:rsidR="00B10319" w:rsidRDefault="00B10319" w:rsidP="00B10319">
      <w:pPr>
        <w:spacing w:line="480" w:lineRule="auto"/>
        <w:rPr>
          <w:rFonts w:ascii="Times New Roman" w:hAnsi="Times New Roman" w:cs="Times New Roman"/>
          <w:color w:val="000000" w:themeColor="text1"/>
          <w:sz w:val="24"/>
          <w:szCs w:val="24"/>
        </w:rPr>
        <w:sectPr w:rsidR="00B10319" w:rsidSect="00BE376A">
          <w:pgSz w:w="11906" w:h="16838"/>
          <w:pgMar w:top="1440" w:right="1800" w:bottom="1440" w:left="1800" w:header="851" w:footer="992" w:gutter="0"/>
          <w:lnNumType w:countBy="1" w:restart="continuous"/>
          <w:cols w:space="425"/>
          <w:docGrid w:type="lines" w:linePitch="312"/>
        </w:sectPr>
      </w:pPr>
    </w:p>
    <w:p w14:paraId="7FE798AF" w14:textId="77777777" w:rsidR="00B10319" w:rsidRPr="00841A7E" w:rsidRDefault="00B10319" w:rsidP="00B10319">
      <w:pPr>
        <w:spacing w:line="480" w:lineRule="auto"/>
        <w:rPr>
          <w:rFonts w:ascii="Times New Roman" w:hAnsi="Times New Roman" w:cs="Times New Roman"/>
          <w:b/>
          <w:color w:val="000000" w:themeColor="text1"/>
          <w:sz w:val="32"/>
          <w:szCs w:val="28"/>
        </w:rPr>
      </w:pPr>
      <w:r>
        <w:rPr>
          <w:rFonts w:ascii="Times New Roman" w:hAnsi="Times New Roman" w:cs="Times New Roman"/>
          <w:b/>
          <w:color w:val="000000" w:themeColor="text1"/>
          <w:sz w:val="28"/>
          <w:szCs w:val="24"/>
        </w:rPr>
        <w:lastRenderedPageBreak/>
        <w:t>Supplementary Table</w:t>
      </w:r>
      <w:r w:rsidRPr="00841A7E">
        <w:rPr>
          <w:rFonts w:ascii="Times New Roman" w:hAnsi="Times New Roman" w:cs="Times New Roman"/>
          <w:b/>
          <w:color w:val="000000" w:themeColor="text1"/>
          <w:sz w:val="28"/>
          <w:szCs w:val="24"/>
        </w:rPr>
        <w:t>s</w:t>
      </w:r>
    </w:p>
    <w:p w14:paraId="72D979A4"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 </w:t>
      </w:r>
      <w:r w:rsidRPr="00E27A7F">
        <w:rPr>
          <w:rFonts w:ascii="Times New Roman" w:hAnsi="Times New Roman" w:cs="Times New Roman"/>
          <w:color w:val="000000" w:themeColor="text1"/>
          <w:sz w:val="24"/>
          <w:szCs w:val="24"/>
        </w:rPr>
        <w:t>Geographic distribution of all the WBBC cohort samples. The individuals were recruited from 29 of the 34 administrative divisions of the People's Republic of China (PRC)</w:t>
      </w:r>
    </w:p>
    <w:p w14:paraId="1C1C8363"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0CE93BB8"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2. </w:t>
      </w:r>
      <w:r w:rsidRPr="00E27A7F">
        <w:rPr>
          <w:rFonts w:ascii="Times New Roman" w:hAnsi="Times New Roman" w:cs="Times New Roman"/>
          <w:color w:val="000000" w:themeColor="text1"/>
          <w:sz w:val="24"/>
          <w:szCs w:val="24"/>
        </w:rPr>
        <w:t>Summary of autosomal variants in each individual in the WBBC cohort</w:t>
      </w:r>
    </w:p>
    <w:p w14:paraId="6AA4B1A5" w14:textId="77777777" w:rsidR="00B10319" w:rsidRDefault="00B10319" w:rsidP="00B10319">
      <w:pPr>
        <w:spacing w:line="480" w:lineRule="auto"/>
        <w:rPr>
          <w:rFonts w:ascii="Times New Roman" w:hAnsi="Times New Roman" w:cs="Times New Roman"/>
          <w:color w:val="000000" w:themeColor="text1"/>
          <w:sz w:val="24"/>
          <w:szCs w:val="24"/>
        </w:rPr>
      </w:pPr>
    </w:p>
    <w:p w14:paraId="4B4002CC"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3. </w:t>
      </w:r>
      <w:r w:rsidRPr="00E27A7F">
        <w:rPr>
          <w:rFonts w:ascii="Times New Roman" w:hAnsi="Times New Roman" w:cs="Times New Roman"/>
          <w:color w:val="000000" w:themeColor="text1"/>
          <w:sz w:val="24"/>
          <w:szCs w:val="24"/>
        </w:rPr>
        <w:t>Statistics of variants in 4,480 individuals</w:t>
      </w:r>
    </w:p>
    <w:p w14:paraId="71B82F9D"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42077C44"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4. </w:t>
      </w:r>
      <w:r w:rsidRPr="00E27A7F">
        <w:rPr>
          <w:rFonts w:ascii="Times New Roman" w:hAnsi="Times New Roman" w:cs="Times New Roman"/>
          <w:color w:val="000000" w:themeColor="text1"/>
          <w:sz w:val="24"/>
          <w:szCs w:val="24"/>
        </w:rPr>
        <w:t>Top 50 of phenotypes and number of variants of the allele frequency difference between WBBC and EUR in the NHGRI-EBI Catalog database</w:t>
      </w:r>
    </w:p>
    <w:p w14:paraId="34371BA3"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412C1B60"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5. </w:t>
      </w:r>
      <w:r w:rsidRPr="00E27A7F">
        <w:rPr>
          <w:rFonts w:ascii="Times New Roman" w:hAnsi="Times New Roman" w:cs="Times New Roman"/>
          <w:color w:val="000000" w:themeColor="text1"/>
          <w:sz w:val="24"/>
          <w:szCs w:val="24"/>
        </w:rPr>
        <w:t>Comparison of the difference of variants allele frequency between WBBC and 1000 Genome Project population</w:t>
      </w:r>
    </w:p>
    <w:p w14:paraId="5422FF93"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5DB3921A"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6. </w:t>
      </w:r>
      <w:r w:rsidRPr="00E27A7F">
        <w:rPr>
          <w:rFonts w:ascii="Times New Roman" w:hAnsi="Times New Roman" w:cs="Times New Roman"/>
          <w:color w:val="000000" w:themeColor="text1"/>
          <w:sz w:val="24"/>
          <w:szCs w:val="24"/>
        </w:rPr>
        <w:t>Comparison of the difference of variants allele frequency between WBBC and East Asian population</w:t>
      </w:r>
    </w:p>
    <w:p w14:paraId="4CF8D845"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018DAD55"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7. </w:t>
      </w:r>
      <w:r w:rsidRPr="00E27A7F">
        <w:rPr>
          <w:rFonts w:ascii="Times New Roman" w:hAnsi="Times New Roman" w:cs="Times New Roman"/>
          <w:color w:val="000000" w:themeColor="text1"/>
          <w:sz w:val="24"/>
          <w:szCs w:val="24"/>
        </w:rPr>
        <w:t>Average number of autosomal variants in each genome of four regions</w:t>
      </w:r>
    </w:p>
    <w:p w14:paraId="333F3653"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1B13DA95"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 xml:space="preserve">Supplementary Table 8. </w:t>
      </w:r>
      <w:r w:rsidRPr="00E27A7F">
        <w:rPr>
          <w:rFonts w:ascii="Times New Roman" w:hAnsi="Times New Roman" w:cs="Times New Roman"/>
          <w:color w:val="000000" w:themeColor="text1"/>
          <w:sz w:val="24"/>
          <w:szCs w:val="24"/>
        </w:rPr>
        <w:t>The pathogenic and likely pathogenic variants were recorded by Clinvar in the 1,151 healthy individuals</w:t>
      </w:r>
    </w:p>
    <w:p w14:paraId="63B54F98"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3DBB6B06"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9. </w:t>
      </w:r>
      <w:r w:rsidRPr="00E27A7F">
        <w:rPr>
          <w:rFonts w:ascii="Times New Roman" w:hAnsi="Times New Roman" w:cs="Times New Roman"/>
          <w:color w:val="000000" w:themeColor="text1"/>
          <w:sz w:val="24"/>
          <w:szCs w:val="24"/>
        </w:rPr>
        <w:t>SNVs with significant selection signatures by SDS analysis in the Han Chinese population</w:t>
      </w:r>
    </w:p>
    <w:p w14:paraId="5A059D72"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2475F735"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0. </w:t>
      </w:r>
      <w:r w:rsidRPr="00E27A7F">
        <w:rPr>
          <w:rFonts w:ascii="Times New Roman" w:hAnsi="Times New Roman" w:cs="Times New Roman"/>
          <w:color w:val="000000" w:themeColor="text1"/>
          <w:sz w:val="24"/>
          <w:szCs w:val="24"/>
        </w:rPr>
        <w:t>Pair-wise Fst values for 27 provinces of China in WBBC</w:t>
      </w:r>
    </w:p>
    <w:p w14:paraId="5C996918"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0461AA72"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1. </w:t>
      </w:r>
      <w:r w:rsidRPr="00E27A7F">
        <w:rPr>
          <w:rFonts w:ascii="Times New Roman" w:hAnsi="Times New Roman" w:cs="Times New Roman"/>
          <w:color w:val="000000" w:themeColor="text1"/>
          <w:sz w:val="24"/>
          <w:szCs w:val="24"/>
        </w:rPr>
        <w:t>Pair-wise Fst values for 26 populations in 1KG Phase3 and four regions of China in WBBC</w:t>
      </w:r>
    </w:p>
    <w:p w14:paraId="31D47A08"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3F5A5B99"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2. </w:t>
      </w:r>
      <w:r w:rsidRPr="00E27A7F">
        <w:rPr>
          <w:rFonts w:ascii="Times New Roman" w:hAnsi="Times New Roman" w:cs="Times New Roman"/>
          <w:color w:val="000000" w:themeColor="text1"/>
          <w:sz w:val="24"/>
          <w:szCs w:val="24"/>
        </w:rPr>
        <w:t>Pair-wise Fst values for 27 provinces of China in WBBC and four continent groups in 1KG Phase3</w:t>
      </w:r>
    </w:p>
    <w:p w14:paraId="0878DC7E"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1FAF946F"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3. </w:t>
      </w:r>
      <w:r w:rsidRPr="00E27A7F">
        <w:rPr>
          <w:rFonts w:ascii="Times New Roman" w:hAnsi="Times New Roman" w:cs="Times New Roman"/>
          <w:color w:val="000000" w:themeColor="text1"/>
          <w:sz w:val="24"/>
          <w:szCs w:val="24"/>
        </w:rPr>
        <w:t>Top 1% of non-overlapping genomic windows was identified for positive selection in the North Han Chinese population using the iHS statistic</w:t>
      </w:r>
    </w:p>
    <w:p w14:paraId="2DDE24D1"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3E372C22"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4. </w:t>
      </w:r>
      <w:r w:rsidRPr="00E27A7F">
        <w:rPr>
          <w:rFonts w:ascii="Times New Roman" w:hAnsi="Times New Roman" w:cs="Times New Roman"/>
          <w:color w:val="000000" w:themeColor="text1"/>
          <w:sz w:val="24"/>
          <w:szCs w:val="24"/>
        </w:rPr>
        <w:t>Top 1% of non-overlapping genomic windows was identified for positive selection in the Central Han Chinese population using the iHS statistic</w:t>
      </w:r>
    </w:p>
    <w:p w14:paraId="65A4F5C2"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0474F26A"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5. </w:t>
      </w:r>
      <w:r w:rsidRPr="00E27A7F">
        <w:rPr>
          <w:rFonts w:ascii="Times New Roman" w:hAnsi="Times New Roman" w:cs="Times New Roman"/>
          <w:color w:val="000000" w:themeColor="text1"/>
          <w:sz w:val="24"/>
          <w:szCs w:val="24"/>
        </w:rPr>
        <w:t>Top 1% of non-overlapping genomic windows was identified for positive selection in the South Han Chinese population using the iHS statistic</w:t>
      </w:r>
    </w:p>
    <w:p w14:paraId="1584854E"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17FACF0A"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6. </w:t>
      </w:r>
      <w:r w:rsidRPr="00E27A7F">
        <w:rPr>
          <w:rFonts w:ascii="Times New Roman" w:hAnsi="Times New Roman" w:cs="Times New Roman"/>
          <w:color w:val="000000" w:themeColor="text1"/>
          <w:sz w:val="24"/>
          <w:szCs w:val="24"/>
        </w:rPr>
        <w:t>Top 1% of non-overlapping genomic windows was identified for positive selection in the Lingnan Han Chinese population using the iHS statistic</w:t>
      </w:r>
    </w:p>
    <w:p w14:paraId="0BE573F9"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7C9ED9EA" w14:textId="77777777" w:rsidR="00B10319"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7. </w:t>
      </w:r>
      <w:r w:rsidRPr="00E27A7F">
        <w:rPr>
          <w:rFonts w:ascii="Times New Roman" w:hAnsi="Times New Roman" w:cs="Times New Roman"/>
          <w:color w:val="000000" w:themeColor="text1"/>
          <w:sz w:val="24"/>
          <w:szCs w:val="24"/>
        </w:rPr>
        <w:t>Gene Ontology (GO) analysis of candidate genes in top 1% genomic regions with positive selection by iHS statistic</w:t>
      </w:r>
    </w:p>
    <w:p w14:paraId="751AEAA1" w14:textId="77777777" w:rsidR="00B10319" w:rsidRPr="00E27A7F" w:rsidRDefault="00B10319" w:rsidP="00B10319">
      <w:pPr>
        <w:spacing w:line="480" w:lineRule="auto"/>
        <w:rPr>
          <w:rFonts w:ascii="Times New Roman" w:hAnsi="Times New Roman" w:cs="Times New Roman"/>
          <w:color w:val="000000" w:themeColor="text1"/>
          <w:sz w:val="24"/>
          <w:szCs w:val="24"/>
        </w:rPr>
      </w:pPr>
    </w:p>
    <w:p w14:paraId="24A80FD0" w14:textId="77777777" w:rsidR="00B10319" w:rsidRPr="00623AFB" w:rsidRDefault="00B10319" w:rsidP="00B10319">
      <w:pPr>
        <w:spacing w:line="48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Table </w:t>
      </w:r>
      <w:r w:rsidRPr="00E27A7F">
        <w:rPr>
          <w:rFonts w:ascii="Times New Roman" w:hAnsi="Times New Roman" w:cs="Times New Roman"/>
          <w:b/>
          <w:color w:val="000000" w:themeColor="text1"/>
          <w:sz w:val="24"/>
          <w:szCs w:val="24"/>
        </w:rPr>
        <w:t>1</w:t>
      </w:r>
      <w:r>
        <w:rPr>
          <w:rFonts w:ascii="Times New Roman" w:hAnsi="Times New Roman" w:cs="Times New Roman"/>
          <w:b/>
          <w:color w:val="000000" w:themeColor="text1"/>
          <w:sz w:val="24"/>
          <w:szCs w:val="24"/>
        </w:rPr>
        <w:t xml:space="preserve">8. </w:t>
      </w:r>
      <w:r w:rsidRPr="00E27A7F">
        <w:rPr>
          <w:rFonts w:ascii="Times New Roman" w:hAnsi="Times New Roman" w:cs="Times New Roman"/>
          <w:color w:val="000000" w:themeColor="text1"/>
          <w:sz w:val="24"/>
          <w:szCs w:val="24"/>
        </w:rPr>
        <w:t>KEGG enrichment pathway for candidate genes in top 1% genomic regions with positive selection by iHS statistic</w:t>
      </w:r>
    </w:p>
    <w:p w14:paraId="5E7352A3" w14:textId="77777777" w:rsidR="00B10319" w:rsidRDefault="00B10319">
      <w:bookmarkStart w:id="1" w:name="_GoBack"/>
      <w:bookmarkEnd w:id="1"/>
    </w:p>
    <w:sectPr w:rsidR="00B10319" w:rsidSect="00BE376A">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319"/>
    <w:rsid w:val="00B10319"/>
    <w:rsid w:val="00C25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BC5DA"/>
  <w15:chartTrackingRefBased/>
  <w15:docId w15:val="{69046F6D-4BB8-C943-A5D7-D2378E56B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0319"/>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103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tiff"/><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1291</Words>
  <Characters>7359</Characters>
  <Application>Microsoft Office Word</Application>
  <DocSecurity>0</DocSecurity>
  <Lines>61</Lines>
  <Paragraphs>17</Paragraphs>
  <ScaleCrop>false</ScaleCrop>
  <Company/>
  <LinksUpToDate>false</LinksUpToDate>
  <CharactersWithSpaces>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2021-08-25T20:58:00Z</dcterms:created>
  <dcterms:modified xsi:type="dcterms:W3CDTF">2021-08-25T20:58:00Z</dcterms:modified>
</cp:coreProperties>
</file>