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B1A886">
      <w:pPr>
        <w:rPr>
          <w:rFonts w:ascii="Arial" w:hAnsi="Arial" w:eastAsia="宋体" w:cs="Arial"/>
          <w:szCs w:val="21"/>
        </w:rPr>
      </w:pPr>
      <w:bookmarkStart w:id="0" w:name="_Toc21908"/>
      <w:r>
        <w:rPr>
          <w:rFonts w:ascii="Arial" w:hAnsi="Arial" w:eastAsia="宋体" w:cs="Arial"/>
          <w:b/>
          <w:bCs/>
          <w:sz w:val="30"/>
          <w:szCs w:val="30"/>
        </w:rPr>
        <w:t>Additional file</w:t>
      </w:r>
      <w:r>
        <w:rPr>
          <w:rFonts w:hint="eastAsia" w:ascii="Arial" w:hAnsi="Arial" w:eastAsia="宋体" w:cs="Arial"/>
          <w:b/>
          <w:bCs/>
          <w:sz w:val="30"/>
          <w:szCs w:val="30"/>
          <w:lang w:val="en-US" w:eastAsia="zh-CN"/>
        </w:rPr>
        <w:t>s</w:t>
      </w:r>
      <w:r>
        <w:rPr>
          <w:rFonts w:ascii="Arial" w:hAnsi="Arial" w:eastAsia="宋体" w:cs="Arial"/>
          <w:szCs w:val="21"/>
        </w:rPr>
        <w:br w:type="page"/>
      </w:r>
    </w:p>
    <w:p w14:paraId="639AFB03">
      <w:pPr>
        <w:spacing w:before="120" w:after="120"/>
        <w:jc w:val="left"/>
        <w:rPr>
          <w:rFonts w:ascii="Arial" w:hAnsi="Arial" w:eastAsia="宋体" w:cs="Arial"/>
          <w:b/>
          <w:bCs/>
          <w:sz w:val="30"/>
          <w:szCs w:val="30"/>
        </w:rPr>
      </w:pPr>
      <w:bookmarkStart w:id="1" w:name="OLE_LINK4"/>
      <w:r>
        <w:rPr>
          <w:rFonts w:ascii="Arial" w:hAnsi="Arial" w:eastAsia="宋体" w:cs="Arial"/>
          <w:b/>
          <w:bCs/>
          <w:sz w:val="30"/>
          <w:szCs w:val="30"/>
        </w:rPr>
        <w:t>Supplementary Tables</w:t>
      </w:r>
    </w:p>
    <w:p w14:paraId="4B9C963A">
      <w:pPr>
        <w:widowControl/>
        <w:spacing w:line="480" w:lineRule="auto"/>
        <w:jc w:val="left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 xml:space="preserve">Table S1. </w:t>
      </w:r>
      <w:r>
        <w:rPr>
          <w:rFonts w:ascii="Arial" w:hAnsi="Arial" w:cs="Arial"/>
          <w:b/>
          <w:bCs/>
          <w:szCs w:val="21"/>
        </w:rPr>
        <w:t>Summary of Patient Demographics and Clinical Characteristics</w:t>
      </w:r>
    </w:p>
    <w:tbl>
      <w:tblPr>
        <w:tblStyle w:val="12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0"/>
        <w:gridCol w:w="1695"/>
        <w:gridCol w:w="1665"/>
        <w:gridCol w:w="1650"/>
      </w:tblGrid>
      <w:tr w14:paraId="3637348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0" w:type="dxa"/>
            <w:tcBorders>
              <w:bottom w:val="single" w:color="auto" w:sz="6" w:space="0"/>
            </w:tcBorders>
          </w:tcPr>
          <w:p w14:paraId="513C1DBD">
            <w:pPr>
              <w:widowControl/>
              <w:spacing w:line="480" w:lineRule="auto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Variables</w:t>
            </w:r>
          </w:p>
        </w:tc>
        <w:tc>
          <w:tcPr>
            <w:tcW w:w="1695" w:type="dxa"/>
            <w:tcBorders>
              <w:bottom w:val="single" w:color="auto" w:sz="6" w:space="0"/>
            </w:tcBorders>
          </w:tcPr>
          <w:p w14:paraId="0A4DC05E">
            <w:pPr>
              <w:widowControl/>
              <w:spacing w:line="480" w:lineRule="auto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LUAD</w:t>
            </w:r>
            <w:r>
              <w:rPr>
                <w:rFonts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i/>
                <w:iCs/>
                <w:szCs w:val="21"/>
              </w:rPr>
              <w:t>n</w:t>
            </w:r>
            <w:r>
              <w:rPr>
                <w:rFonts w:ascii="Arial" w:hAnsi="Arial" w:eastAsia="宋体" w:cs="Arial"/>
                <w:szCs w:val="21"/>
              </w:rPr>
              <w:t> = </w:t>
            </w:r>
            <w:r>
              <w:rPr>
                <w:rFonts w:hint="eastAsia" w:ascii="Arial" w:hAnsi="Arial" w:eastAsia="宋体" w:cs="Arial"/>
                <w:szCs w:val="21"/>
              </w:rPr>
              <w:t>156</w:t>
            </w:r>
            <w:r>
              <w:rPr>
                <w:rFonts w:ascii="Arial" w:hAnsi="Arial" w:eastAsia="宋体" w:cs="Arial"/>
                <w:szCs w:val="21"/>
              </w:rPr>
              <w:t>)</w:t>
            </w:r>
          </w:p>
        </w:tc>
        <w:tc>
          <w:tcPr>
            <w:tcW w:w="1665" w:type="dxa"/>
            <w:tcBorders>
              <w:bottom w:val="single" w:color="auto" w:sz="6" w:space="0"/>
            </w:tcBorders>
          </w:tcPr>
          <w:p w14:paraId="63D98E6B">
            <w:pPr>
              <w:widowControl/>
              <w:spacing w:line="480" w:lineRule="auto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 xml:space="preserve">BPN </w:t>
            </w:r>
            <w:r>
              <w:rPr>
                <w:rFonts w:ascii="Arial" w:hAnsi="Arial" w:eastAsia="宋体" w:cs="Arial"/>
                <w:szCs w:val="21"/>
              </w:rPr>
              <w:t>(</w:t>
            </w:r>
            <w:r>
              <w:rPr>
                <w:rFonts w:ascii="Arial" w:hAnsi="Arial" w:eastAsia="宋体" w:cs="Arial"/>
                <w:i/>
                <w:iCs/>
                <w:szCs w:val="21"/>
              </w:rPr>
              <w:t>n</w:t>
            </w:r>
            <w:r>
              <w:rPr>
                <w:rFonts w:ascii="Arial" w:hAnsi="Arial" w:eastAsia="宋体" w:cs="Arial"/>
                <w:szCs w:val="21"/>
              </w:rPr>
              <w:t> = </w:t>
            </w:r>
            <w:r>
              <w:rPr>
                <w:rFonts w:hint="eastAsia" w:ascii="Arial" w:hAnsi="Arial" w:eastAsia="宋体" w:cs="Arial"/>
                <w:szCs w:val="21"/>
              </w:rPr>
              <w:t>156</w:t>
            </w:r>
            <w:r>
              <w:rPr>
                <w:rFonts w:ascii="Arial" w:hAnsi="Arial" w:eastAsia="宋体" w:cs="Arial"/>
                <w:szCs w:val="21"/>
              </w:rPr>
              <w:t>)</w:t>
            </w:r>
          </w:p>
        </w:tc>
        <w:tc>
          <w:tcPr>
            <w:tcW w:w="1650" w:type="dxa"/>
            <w:tcBorders>
              <w:bottom w:val="single" w:color="auto" w:sz="6" w:space="0"/>
            </w:tcBorders>
          </w:tcPr>
          <w:p w14:paraId="2C398886">
            <w:pPr>
              <w:widowControl/>
              <w:spacing w:line="480" w:lineRule="auto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 xml:space="preserve">NC </w:t>
            </w:r>
            <w:r>
              <w:rPr>
                <w:rFonts w:ascii="Arial" w:hAnsi="Arial" w:eastAsia="宋体" w:cs="Arial"/>
                <w:szCs w:val="21"/>
              </w:rPr>
              <w:t>(</w:t>
            </w:r>
            <w:r>
              <w:rPr>
                <w:rFonts w:ascii="Arial" w:hAnsi="Arial" w:eastAsia="宋体" w:cs="Arial"/>
                <w:i/>
                <w:iCs/>
                <w:szCs w:val="21"/>
              </w:rPr>
              <w:t>n</w:t>
            </w:r>
            <w:r>
              <w:rPr>
                <w:rFonts w:ascii="Arial" w:hAnsi="Arial" w:eastAsia="宋体" w:cs="Arial"/>
                <w:szCs w:val="21"/>
              </w:rPr>
              <w:t> = </w:t>
            </w:r>
            <w:r>
              <w:rPr>
                <w:rFonts w:hint="eastAsia" w:ascii="Arial" w:hAnsi="Arial" w:eastAsia="宋体" w:cs="Arial"/>
                <w:szCs w:val="21"/>
              </w:rPr>
              <w:t>44</w:t>
            </w:r>
            <w:r>
              <w:rPr>
                <w:rFonts w:ascii="Arial" w:hAnsi="Arial" w:eastAsia="宋体" w:cs="Arial"/>
                <w:szCs w:val="21"/>
              </w:rPr>
              <w:t>)</w:t>
            </w:r>
          </w:p>
        </w:tc>
      </w:tr>
      <w:tr w14:paraId="361F267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0" w:type="dxa"/>
            <w:tcBorders>
              <w:top w:val="single" w:color="auto" w:sz="6" w:space="0"/>
              <w:tl2br w:val="nil"/>
              <w:tr2bl w:val="nil"/>
            </w:tcBorders>
            <w:vAlign w:val="center"/>
          </w:tcPr>
          <w:p w14:paraId="7EE5F8B3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Age, year</w:t>
            </w:r>
          </w:p>
          <w:p w14:paraId="5782E1F0">
            <w:pPr>
              <w:ind w:firstLine="1050" w:firstLineChars="500"/>
              <w:jc w:val="left"/>
              <w:rPr>
                <w:rFonts w:ascii="Arial" w:hAnsi="Arial" w:eastAsia="宋体" w:cs="Arial"/>
                <w:i/>
                <w:iCs/>
                <w:szCs w:val="21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eastAsia="宋体" w:cs="Arial"/>
                      <w:i/>
                      <w:szCs w:val="21"/>
                    </w:rPr>
                  </m:ctrlPr>
                </m:accPr>
                <m:e>
                  <m:r>
                    <m:rPr/>
                    <w:rPr>
                      <w:rFonts w:ascii="Cambria Math" w:hAnsi="Cambria Math" w:eastAsia="宋体" w:cs="Arial"/>
                      <w:szCs w:val="21"/>
                    </w:rPr>
                    <m:t>x</m:t>
                  </m:r>
                  <m:ctrlPr>
                    <w:rPr>
                      <w:rFonts w:ascii="Cambria Math" w:hAnsi="Cambria Math" w:eastAsia="宋体" w:cs="Arial"/>
                      <w:i/>
                      <w:szCs w:val="21"/>
                    </w:rPr>
                  </m:ctrlPr>
                </m:e>
              </m:acc>
            </m:oMath>
            <w:r>
              <w:rPr>
                <w:rFonts w:ascii="Arial" w:hAnsi="Arial" w:eastAsia="宋体" w:cs="Arial"/>
                <w:szCs w:val="21"/>
                <w:vertAlign w:val="superscript"/>
              </w:rPr>
              <w:t xml:space="preserve"> </w:t>
            </w:r>
            <w:r>
              <w:rPr>
                <w:rFonts w:ascii="Arial" w:hAnsi="Arial" w:eastAsia="宋体" w:cs="Arial"/>
                <w:szCs w:val="21"/>
              </w:rPr>
              <w:t xml:space="preserve">± </w:t>
            </w:r>
            <w:r>
              <w:rPr>
                <w:rFonts w:ascii="Arial" w:hAnsi="Arial" w:eastAsia="宋体" w:cs="Arial"/>
                <w:i/>
                <w:iCs/>
                <w:szCs w:val="21"/>
              </w:rPr>
              <w:t>s</w:t>
            </w:r>
          </w:p>
          <w:p w14:paraId="53229837">
            <w:pPr>
              <w:ind w:firstLine="1050" w:firstLineChars="500"/>
              <w:jc w:val="left"/>
              <w:rPr>
                <w:rFonts w:ascii="Arial" w:hAnsi="Arial" w:eastAsia="宋体" w:cs="Arial"/>
                <w:i/>
                <w:iCs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r</w:t>
            </w:r>
            <w:r>
              <w:rPr>
                <w:rFonts w:ascii="Arial" w:hAnsi="Arial" w:eastAsia="宋体" w:cs="Arial"/>
                <w:szCs w:val="21"/>
              </w:rPr>
              <w:t>ange</w:t>
            </w:r>
          </w:p>
        </w:tc>
        <w:tc>
          <w:tcPr>
            <w:tcW w:w="1695" w:type="dxa"/>
            <w:tcBorders>
              <w:top w:val="single" w:color="auto" w:sz="6" w:space="0"/>
              <w:tl2br w:val="nil"/>
              <w:tr2bl w:val="nil"/>
            </w:tcBorders>
          </w:tcPr>
          <w:p w14:paraId="713662A0">
            <w:pPr>
              <w:jc w:val="center"/>
              <w:rPr>
                <w:rFonts w:ascii="Arial" w:hAnsi="Arial" w:eastAsia="宋体" w:cs="Arial"/>
                <w:szCs w:val="21"/>
              </w:rPr>
            </w:pPr>
          </w:p>
          <w:p w14:paraId="4E727C80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61±9</w:t>
            </w:r>
          </w:p>
          <w:p w14:paraId="191F1564">
            <w:pPr>
              <w:ind w:firstLine="420" w:firstLineChars="200"/>
              <w:jc w:val="left"/>
              <w:rPr>
                <w:rFonts w:ascii="Arial" w:hAnsi="Arial" w:eastAsia="宋体" w:cs="Arial"/>
                <w:b/>
                <w:bCs/>
                <w:sz w:val="30"/>
                <w:szCs w:val="30"/>
              </w:rPr>
            </w:pPr>
            <w:r>
              <w:rPr>
                <w:rFonts w:ascii="Arial" w:hAnsi="Arial" w:eastAsia="宋体" w:cs="Arial"/>
                <w:szCs w:val="21"/>
              </w:rPr>
              <w:t>39-81</w:t>
            </w:r>
          </w:p>
        </w:tc>
        <w:tc>
          <w:tcPr>
            <w:tcW w:w="1665" w:type="dxa"/>
            <w:tcBorders>
              <w:top w:val="single" w:color="auto" w:sz="6" w:space="0"/>
              <w:tl2br w:val="nil"/>
              <w:tr2bl w:val="nil"/>
            </w:tcBorders>
          </w:tcPr>
          <w:p w14:paraId="58845D77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69028AA6">
            <w:pPr>
              <w:ind w:firstLine="420" w:firstLineChars="200"/>
              <w:jc w:val="left"/>
              <w:rPr>
                <w:rFonts w:ascii="Arial" w:hAnsi="Arial" w:eastAsia="微软雅黑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59</w:t>
            </w:r>
            <w:r>
              <w:rPr>
                <w:rFonts w:ascii="Arial" w:hAnsi="Arial" w:eastAsia="微软雅黑" w:cs="Arial"/>
                <w:szCs w:val="21"/>
              </w:rPr>
              <w:t>±</w:t>
            </w:r>
            <w:r>
              <w:rPr>
                <w:rFonts w:hint="eastAsia" w:ascii="Arial" w:hAnsi="Arial" w:eastAsia="微软雅黑" w:cs="Arial"/>
                <w:szCs w:val="21"/>
              </w:rPr>
              <w:t>9</w:t>
            </w:r>
          </w:p>
          <w:p w14:paraId="218DFC24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35-77</w:t>
            </w:r>
          </w:p>
        </w:tc>
        <w:tc>
          <w:tcPr>
            <w:tcW w:w="1650" w:type="dxa"/>
            <w:tcBorders>
              <w:top w:val="single" w:color="auto" w:sz="6" w:space="0"/>
              <w:tl2br w:val="nil"/>
              <w:tr2bl w:val="nil"/>
            </w:tcBorders>
          </w:tcPr>
          <w:p w14:paraId="5F0EB1E4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51CB563D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56±6</w:t>
            </w:r>
          </w:p>
          <w:p w14:paraId="00B836E9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49-76</w:t>
            </w:r>
          </w:p>
        </w:tc>
      </w:tr>
      <w:tr w14:paraId="3A84549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0" w:type="dxa"/>
            <w:tcBorders>
              <w:tl2br w:val="nil"/>
              <w:tr2bl w:val="nil"/>
            </w:tcBorders>
            <w:vAlign w:val="center"/>
          </w:tcPr>
          <w:p w14:paraId="6413884F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Sex, n (%)</w:t>
            </w:r>
          </w:p>
          <w:p w14:paraId="5C612546">
            <w:pPr>
              <w:ind w:firstLine="1050" w:firstLineChars="500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Male</w:t>
            </w:r>
          </w:p>
          <w:p w14:paraId="15DFE1D2">
            <w:pPr>
              <w:ind w:firstLine="1050" w:firstLineChars="500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Female</w:t>
            </w:r>
          </w:p>
        </w:tc>
        <w:tc>
          <w:tcPr>
            <w:tcW w:w="1695" w:type="dxa"/>
            <w:tcBorders>
              <w:tl2br w:val="nil"/>
              <w:tr2bl w:val="nil"/>
            </w:tcBorders>
          </w:tcPr>
          <w:p w14:paraId="48E704A3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61A9C8C4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97 (62.2)</w:t>
            </w:r>
          </w:p>
          <w:p w14:paraId="4987E217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59 (37.8)</w:t>
            </w:r>
          </w:p>
        </w:tc>
        <w:tc>
          <w:tcPr>
            <w:tcW w:w="1665" w:type="dxa"/>
            <w:tcBorders>
              <w:tl2br w:val="nil"/>
              <w:tr2bl w:val="nil"/>
            </w:tcBorders>
          </w:tcPr>
          <w:p w14:paraId="7CF972DB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08B827FC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96 (61.5)</w:t>
            </w:r>
          </w:p>
          <w:p w14:paraId="1BE29BBB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60 (38.5)</w:t>
            </w: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5F7D1CB7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5DC372C4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28 (63.6)</w:t>
            </w:r>
          </w:p>
          <w:p w14:paraId="2E16C4B0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16 (36.4)</w:t>
            </w:r>
          </w:p>
        </w:tc>
      </w:tr>
      <w:tr w14:paraId="03F5C0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0" w:type="dxa"/>
            <w:tcBorders>
              <w:tl2br w:val="nil"/>
              <w:tr2bl w:val="nil"/>
            </w:tcBorders>
            <w:vAlign w:val="center"/>
          </w:tcPr>
          <w:p w14:paraId="01AE686C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S</w:t>
            </w:r>
            <w:r>
              <w:rPr>
                <w:rFonts w:ascii="Arial" w:hAnsi="Arial" w:eastAsia="宋体" w:cs="Arial"/>
                <w:szCs w:val="21"/>
              </w:rPr>
              <w:t>moking, n (%)</w:t>
            </w:r>
          </w:p>
          <w:p w14:paraId="1AE8ADDC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yes</w:t>
            </w:r>
          </w:p>
          <w:p w14:paraId="6B62945B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No</w:t>
            </w:r>
          </w:p>
          <w:p w14:paraId="3FE26A2F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unknown</w:t>
            </w:r>
          </w:p>
        </w:tc>
        <w:tc>
          <w:tcPr>
            <w:tcW w:w="1695" w:type="dxa"/>
            <w:tcBorders>
              <w:tl2br w:val="nil"/>
              <w:tr2bl w:val="nil"/>
            </w:tcBorders>
          </w:tcPr>
          <w:p w14:paraId="6C10621E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4B90F8F5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52 (33.3)</w:t>
            </w:r>
          </w:p>
          <w:p w14:paraId="13ABA3C0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100 (64.1)</w:t>
            </w:r>
          </w:p>
          <w:p w14:paraId="3AB5C0EF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4 (2.6)</w:t>
            </w:r>
          </w:p>
        </w:tc>
        <w:tc>
          <w:tcPr>
            <w:tcW w:w="1665" w:type="dxa"/>
            <w:tcBorders>
              <w:tl2br w:val="nil"/>
              <w:tr2bl w:val="nil"/>
            </w:tcBorders>
          </w:tcPr>
          <w:p w14:paraId="69B775E6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3E32FA08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43 (27.6)</w:t>
            </w:r>
          </w:p>
          <w:p w14:paraId="44AED9F3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110 (70.5)</w:t>
            </w:r>
          </w:p>
          <w:p w14:paraId="02EC1F57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3 (1.9)</w:t>
            </w: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377AFAD6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</w:p>
        </w:tc>
      </w:tr>
      <w:tr w14:paraId="01C22B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0" w:type="dxa"/>
            <w:tcBorders>
              <w:tl2br w:val="nil"/>
              <w:tr2bl w:val="nil"/>
            </w:tcBorders>
            <w:vAlign w:val="center"/>
          </w:tcPr>
          <w:p w14:paraId="05E14106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C</w:t>
            </w:r>
            <w:r>
              <w:rPr>
                <w:rFonts w:ascii="Arial" w:hAnsi="Arial" w:eastAsia="宋体" w:cs="Arial"/>
                <w:szCs w:val="21"/>
              </w:rPr>
              <w:t>linical stage</w:t>
            </w:r>
            <w:r>
              <w:rPr>
                <w:rFonts w:hint="eastAsia" w:ascii="Arial" w:hAnsi="Arial" w:eastAsia="宋体" w:cs="Arial"/>
                <w:szCs w:val="21"/>
              </w:rPr>
              <w:t>, n</w:t>
            </w:r>
            <w:r>
              <w:rPr>
                <w:rFonts w:ascii="Arial" w:hAnsi="Arial" w:eastAsia="宋体" w:cs="Arial"/>
                <w:szCs w:val="21"/>
              </w:rPr>
              <w:t xml:space="preserve"> (%)</w:t>
            </w:r>
          </w:p>
          <w:p w14:paraId="2D882E1D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s</w:t>
            </w:r>
            <w:r>
              <w:rPr>
                <w:rFonts w:ascii="Arial" w:hAnsi="Arial" w:eastAsia="宋体" w:cs="Arial"/>
                <w:szCs w:val="21"/>
              </w:rPr>
              <w:t>tage</w:t>
            </w:r>
            <w:r>
              <w:rPr>
                <w:rFonts w:hint="eastAsia" w:ascii="Arial" w:hAnsi="Arial" w:eastAsia="宋体" w:cs="Arial"/>
                <w:szCs w:val="21"/>
              </w:rPr>
              <w:t xml:space="preserve"> </w:t>
            </w:r>
            <w:r>
              <w:rPr>
                <w:rFonts w:ascii="Arial" w:hAnsi="Arial" w:eastAsia="宋体" w:cs="Arial"/>
                <w:szCs w:val="21"/>
              </w:rPr>
              <w:t>Ⅰ</w:t>
            </w:r>
          </w:p>
          <w:p w14:paraId="5C5DEB72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s</w:t>
            </w:r>
            <w:r>
              <w:rPr>
                <w:rFonts w:ascii="Arial" w:hAnsi="Arial" w:eastAsia="宋体" w:cs="Arial"/>
                <w:szCs w:val="21"/>
              </w:rPr>
              <w:t>tage</w:t>
            </w:r>
            <w:r>
              <w:rPr>
                <w:rFonts w:hint="eastAsia" w:ascii="Arial" w:hAnsi="Arial" w:eastAsia="宋体" w:cs="Arial"/>
                <w:szCs w:val="21"/>
              </w:rPr>
              <w:t xml:space="preserve"> </w:t>
            </w:r>
            <w:r>
              <w:rPr>
                <w:rFonts w:ascii="Arial" w:hAnsi="Arial" w:eastAsia="宋体" w:cs="Arial"/>
                <w:szCs w:val="21"/>
              </w:rPr>
              <w:t>Ⅱ</w:t>
            </w:r>
          </w:p>
          <w:p w14:paraId="1A1E573F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s</w:t>
            </w:r>
            <w:r>
              <w:rPr>
                <w:rFonts w:ascii="Arial" w:hAnsi="Arial" w:eastAsia="宋体" w:cs="Arial"/>
                <w:szCs w:val="21"/>
              </w:rPr>
              <w:t>tage</w:t>
            </w:r>
            <w:r>
              <w:rPr>
                <w:rFonts w:hint="eastAsia" w:ascii="Arial" w:hAnsi="Arial" w:eastAsia="宋体" w:cs="Arial"/>
                <w:szCs w:val="21"/>
              </w:rPr>
              <w:t xml:space="preserve"> </w:t>
            </w:r>
            <w:r>
              <w:rPr>
                <w:rFonts w:ascii="Arial" w:hAnsi="Arial" w:eastAsia="宋体" w:cs="Arial"/>
                <w:szCs w:val="21"/>
              </w:rPr>
              <w:t>Ⅲ</w:t>
            </w:r>
          </w:p>
          <w:p w14:paraId="1905D5C5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s</w:t>
            </w:r>
            <w:r>
              <w:rPr>
                <w:rFonts w:ascii="Arial" w:hAnsi="Arial" w:eastAsia="宋体" w:cs="Arial"/>
                <w:szCs w:val="21"/>
              </w:rPr>
              <w:t>tage</w:t>
            </w:r>
            <w:r>
              <w:rPr>
                <w:rFonts w:hint="eastAsia" w:ascii="Arial" w:hAnsi="Arial" w:eastAsia="宋体" w:cs="Arial"/>
                <w:szCs w:val="21"/>
              </w:rPr>
              <w:t xml:space="preserve"> </w:t>
            </w:r>
            <w:r>
              <w:rPr>
                <w:rFonts w:ascii="Arial" w:hAnsi="Arial" w:eastAsia="宋体" w:cs="Arial"/>
                <w:szCs w:val="21"/>
              </w:rPr>
              <w:t>Ⅳ</w:t>
            </w:r>
          </w:p>
          <w:p w14:paraId="0FE69DCB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unknown</w:t>
            </w:r>
          </w:p>
        </w:tc>
        <w:tc>
          <w:tcPr>
            <w:tcW w:w="1695" w:type="dxa"/>
            <w:tcBorders>
              <w:tl2br w:val="nil"/>
              <w:tr2bl w:val="nil"/>
            </w:tcBorders>
          </w:tcPr>
          <w:p w14:paraId="1D402334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40934D0B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63 (40.4)</w:t>
            </w:r>
          </w:p>
          <w:p w14:paraId="6DFF7FF3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15 (9.6)</w:t>
            </w:r>
          </w:p>
          <w:p w14:paraId="7DDC8F20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24 (15.4)</w:t>
            </w:r>
          </w:p>
          <w:p w14:paraId="116BB697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52 (33.3)</w:t>
            </w:r>
          </w:p>
          <w:p w14:paraId="6C486AFC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2 (1.3)</w:t>
            </w:r>
          </w:p>
        </w:tc>
        <w:tc>
          <w:tcPr>
            <w:tcW w:w="1665" w:type="dxa"/>
            <w:tcBorders>
              <w:tl2br w:val="nil"/>
              <w:tr2bl w:val="nil"/>
            </w:tcBorders>
          </w:tcPr>
          <w:p w14:paraId="313D453A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16958954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</w:tc>
      </w:tr>
      <w:tr w14:paraId="5ABDAF3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0" w:type="dxa"/>
            <w:tcBorders>
              <w:tl2br w:val="nil"/>
              <w:tr2bl w:val="nil"/>
            </w:tcBorders>
            <w:vAlign w:val="center"/>
          </w:tcPr>
          <w:p w14:paraId="110766EF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L</w:t>
            </w:r>
            <w:r>
              <w:rPr>
                <w:rFonts w:ascii="Arial" w:hAnsi="Arial" w:eastAsia="宋体" w:cs="Arial"/>
                <w:szCs w:val="21"/>
              </w:rPr>
              <w:t>ymph node metastasis, n (%)</w:t>
            </w:r>
          </w:p>
          <w:p w14:paraId="64049CDE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y</w:t>
            </w:r>
            <w:r>
              <w:rPr>
                <w:rFonts w:ascii="Arial" w:hAnsi="Arial" w:eastAsia="宋体" w:cs="Arial"/>
                <w:szCs w:val="21"/>
              </w:rPr>
              <w:t>es</w:t>
            </w:r>
          </w:p>
          <w:p w14:paraId="2002CA6A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n</w:t>
            </w:r>
            <w:r>
              <w:rPr>
                <w:rFonts w:ascii="Arial" w:hAnsi="Arial" w:eastAsia="宋体" w:cs="Arial"/>
                <w:szCs w:val="21"/>
              </w:rPr>
              <w:t>o</w:t>
            </w:r>
          </w:p>
          <w:p w14:paraId="261C0F37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u</w:t>
            </w:r>
            <w:r>
              <w:rPr>
                <w:rFonts w:ascii="Arial" w:hAnsi="Arial" w:eastAsia="宋体" w:cs="Arial"/>
                <w:szCs w:val="21"/>
              </w:rPr>
              <w:t>nknown</w:t>
            </w:r>
          </w:p>
        </w:tc>
        <w:tc>
          <w:tcPr>
            <w:tcW w:w="1695" w:type="dxa"/>
            <w:tcBorders>
              <w:tl2br w:val="nil"/>
              <w:tr2bl w:val="nil"/>
            </w:tcBorders>
          </w:tcPr>
          <w:p w14:paraId="1D806821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622787D6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77 (49.4)</w:t>
            </w:r>
          </w:p>
          <w:p w14:paraId="21931262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77 (49.4)</w:t>
            </w:r>
          </w:p>
          <w:p w14:paraId="2234F3D3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2 (1.2)</w:t>
            </w:r>
          </w:p>
        </w:tc>
        <w:tc>
          <w:tcPr>
            <w:tcW w:w="1665" w:type="dxa"/>
            <w:tcBorders>
              <w:tl2br w:val="nil"/>
              <w:tr2bl w:val="nil"/>
            </w:tcBorders>
          </w:tcPr>
          <w:p w14:paraId="647A9E4C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4F17AFBC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</w:tc>
      </w:tr>
      <w:tr w14:paraId="28206B2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0" w:type="dxa"/>
            <w:tcBorders>
              <w:tl2br w:val="nil"/>
              <w:tr2bl w:val="nil"/>
            </w:tcBorders>
            <w:vAlign w:val="center"/>
          </w:tcPr>
          <w:p w14:paraId="39F89F3C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D</w:t>
            </w:r>
            <w:r>
              <w:rPr>
                <w:rFonts w:ascii="Arial" w:hAnsi="Arial" w:eastAsia="宋体" w:cs="Arial"/>
                <w:szCs w:val="21"/>
              </w:rPr>
              <w:t xml:space="preserve">istant </w:t>
            </w:r>
            <w:r>
              <w:rPr>
                <w:rFonts w:hint="eastAsia" w:ascii="Arial" w:hAnsi="Arial" w:eastAsia="宋体" w:cs="Arial"/>
                <w:szCs w:val="21"/>
              </w:rPr>
              <w:t>m</w:t>
            </w:r>
            <w:r>
              <w:rPr>
                <w:rFonts w:ascii="Arial" w:hAnsi="Arial" w:eastAsia="宋体" w:cs="Arial"/>
                <w:szCs w:val="21"/>
              </w:rPr>
              <w:t>etastasis, n (%)</w:t>
            </w:r>
          </w:p>
          <w:p w14:paraId="1201A61A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y</w:t>
            </w:r>
            <w:r>
              <w:rPr>
                <w:rFonts w:ascii="Arial" w:hAnsi="Arial" w:eastAsia="宋体" w:cs="Arial"/>
                <w:szCs w:val="21"/>
              </w:rPr>
              <w:t>es</w:t>
            </w:r>
          </w:p>
          <w:p w14:paraId="644DFD19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n</w:t>
            </w:r>
            <w:r>
              <w:rPr>
                <w:rFonts w:ascii="Arial" w:hAnsi="Arial" w:eastAsia="宋体" w:cs="Arial"/>
                <w:szCs w:val="21"/>
              </w:rPr>
              <w:t>o</w:t>
            </w:r>
          </w:p>
          <w:p w14:paraId="1EF39721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u</w:t>
            </w:r>
            <w:r>
              <w:rPr>
                <w:rFonts w:ascii="Arial" w:hAnsi="Arial" w:eastAsia="宋体" w:cs="Arial"/>
                <w:szCs w:val="21"/>
              </w:rPr>
              <w:t>nknown</w:t>
            </w:r>
          </w:p>
        </w:tc>
        <w:tc>
          <w:tcPr>
            <w:tcW w:w="1695" w:type="dxa"/>
            <w:tcBorders>
              <w:tl2br w:val="nil"/>
              <w:tr2bl w:val="nil"/>
            </w:tcBorders>
          </w:tcPr>
          <w:p w14:paraId="01F987D0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  <w:p w14:paraId="5CDBDA3A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52 (33.3)</w:t>
            </w:r>
          </w:p>
          <w:p w14:paraId="794FCE97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102 (65.4)</w:t>
            </w:r>
          </w:p>
          <w:p w14:paraId="05B580CD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2 (1.3)</w:t>
            </w:r>
          </w:p>
        </w:tc>
        <w:tc>
          <w:tcPr>
            <w:tcW w:w="1665" w:type="dxa"/>
            <w:tcBorders>
              <w:tl2br w:val="nil"/>
              <w:tr2bl w:val="nil"/>
            </w:tcBorders>
          </w:tcPr>
          <w:p w14:paraId="1F1AFB63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692AC04E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</w:tc>
      </w:tr>
      <w:tr w14:paraId="6BA5FF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0" w:type="dxa"/>
            <w:tcBorders>
              <w:tl2br w:val="nil"/>
              <w:tr2bl w:val="nil"/>
            </w:tcBorders>
            <w:vAlign w:val="center"/>
          </w:tcPr>
          <w:p w14:paraId="7EBB391D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P</w:t>
            </w:r>
            <w:r>
              <w:rPr>
                <w:rFonts w:ascii="Arial" w:hAnsi="Arial" w:eastAsia="宋体" w:cs="Arial"/>
                <w:szCs w:val="21"/>
              </w:rPr>
              <w:t>athological type, n (%)</w:t>
            </w:r>
          </w:p>
          <w:p w14:paraId="6F8B0318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chronic inflammation</w:t>
            </w:r>
          </w:p>
          <w:p w14:paraId="4302AFC5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granuloma</w:t>
            </w:r>
          </w:p>
          <w:p w14:paraId="591E02BD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necrosis</w:t>
            </w:r>
          </w:p>
          <w:p w14:paraId="6F5BF542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other</w:t>
            </w:r>
          </w:p>
        </w:tc>
        <w:tc>
          <w:tcPr>
            <w:tcW w:w="1695" w:type="dxa"/>
            <w:tcBorders>
              <w:tl2br w:val="nil"/>
              <w:tr2bl w:val="nil"/>
            </w:tcBorders>
          </w:tcPr>
          <w:p w14:paraId="35DCD4B2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665" w:type="dxa"/>
            <w:tcBorders>
              <w:tl2br w:val="nil"/>
              <w:tr2bl w:val="nil"/>
            </w:tcBorders>
          </w:tcPr>
          <w:p w14:paraId="73D883E8">
            <w:pPr>
              <w:jc w:val="left"/>
              <w:rPr>
                <w:rFonts w:ascii="Arial" w:hAnsi="Arial" w:eastAsia="宋体" w:cs="Arial"/>
                <w:szCs w:val="21"/>
              </w:rPr>
            </w:pPr>
          </w:p>
          <w:p w14:paraId="544953EA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97 (62.2)</w:t>
            </w:r>
          </w:p>
          <w:p w14:paraId="1C2522EF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24 (15.4)</w:t>
            </w:r>
          </w:p>
          <w:p w14:paraId="57B9E604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8 (5.1)</w:t>
            </w:r>
          </w:p>
          <w:p w14:paraId="11BA1454">
            <w:pPr>
              <w:ind w:firstLine="420" w:firstLineChars="200"/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27 (17.3)</w:t>
            </w:r>
          </w:p>
        </w:tc>
        <w:tc>
          <w:tcPr>
            <w:tcW w:w="1650" w:type="dxa"/>
            <w:tcBorders>
              <w:tl2br w:val="nil"/>
              <w:tr2bl w:val="nil"/>
            </w:tcBorders>
          </w:tcPr>
          <w:p w14:paraId="2AAA8B12">
            <w:pPr>
              <w:ind w:firstLine="1050" w:firstLineChars="500"/>
              <w:jc w:val="left"/>
              <w:rPr>
                <w:rFonts w:ascii="Arial" w:hAnsi="Arial" w:eastAsia="宋体" w:cs="Arial"/>
                <w:szCs w:val="21"/>
              </w:rPr>
            </w:pPr>
          </w:p>
        </w:tc>
      </w:tr>
    </w:tbl>
    <w:p w14:paraId="5A5A6D91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2A39CD">
      <w:pPr>
        <w:widowControl/>
        <w:spacing w:line="480" w:lineRule="auto"/>
        <w:jc w:val="left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 xml:space="preserve">Table S2. </w:t>
      </w:r>
      <w:r>
        <w:rPr>
          <w:rFonts w:ascii="Arial" w:hAnsi="Arial" w:cs="Arial"/>
          <w:b/>
          <w:bCs/>
          <w:szCs w:val="21"/>
        </w:rPr>
        <w:t xml:space="preserve">Characteristics of </w:t>
      </w:r>
      <w:r>
        <w:rPr>
          <w:rFonts w:hint="eastAsia" w:ascii="Arial" w:hAnsi="Arial" w:cs="Arial"/>
          <w:b/>
          <w:bCs/>
          <w:szCs w:val="21"/>
        </w:rPr>
        <w:t>LUAD</w:t>
      </w:r>
      <w:r>
        <w:rPr>
          <w:rFonts w:ascii="Arial" w:hAnsi="Arial" w:cs="Arial"/>
          <w:b/>
          <w:bCs/>
          <w:szCs w:val="21"/>
        </w:rPr>
        <w:t xml:space="preserve"> participants with follow-up </w:t>
      </w:r>
    </w:p>
    <w:tbl>
      <w:tblPr>
        <w:tblStyle w:val="12"/>
        <w:tblW w:w="4998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32" w:type="dxa"/>
          <w:left w:w="64" w:type="dxa"/>
          <w:bottom w:w="32" w:type="dxa"/>
          <w:right w:w="64" w:type="dxa"/>
        </w:tblCellMar>
      </w:tblPr>
      <w:tblGrid>
        <w:gridCol w:w="2732"/>
        <w:gridCol w:w="1343"/>
        <w:gridCol w:w="3007"/>
        <w:gridCol w:w="1349"/>
      </w:tblGrid>
      <w:tr w14:paraId="509BEE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66AAA593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Clinical characteristics</w:t>
            </w:r>
          </w:p>
        </w:tc>
        <w:tc>
          <w:tcPr>
            <w:tcW w:w="796" w:type="pct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3B9EE6D9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bookmarkStart w:id="2" w:name="OLE_LINK6"/>
            <w:r>
              <w:rPr>
                <w:rFonts w:ascii="Arial" w:hAnsi="Arial" w:eastAsia="宋体" w:cs="Arial"/>
                <w:szCs w:val="21"/>
              </w:rPr>
              <w:t>n(%)</w:t>
            </w:r>
            <w:bookmarkEnd w:id="2"/>
          </w:p>
        </w:tc>
        <w:tc>
          <w:tcPr>
            <w:tcW w:w="1783" w:type="pct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5A0AE2A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Clinical characteristics</w:t>
            </w:r>
          </w:p>
        </w:tc>
        <w:tc>
          <w:tcPr>
            <w:tcW w:w="800" w:type="pct"/>
            <w:tcBorders>
              <w:top w:val="single" w:color="auto" w:sz="12" w:space="0"/>
              <w:tl2br w:val="nil"/>
              <w:tr2bl w:val="nil"/>
            </w:tcBorders>
            <w:vAlign w:val="center"/>
          </w:tcPr>
          <w:p w14:paraId="6EA5257C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n(%)</w:t>
            </w:r>
          </w:p>
        </w:tc>
      </w:tr>
      <w:tr w14:paraId="235FFB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op w:val="single" w:color="auto" w:sz="6" w:space="0"/>
              <w:tl2br w:val="nil"/>
              <w:tr2bl w:val="nil"/>
            </w:tcBorders>
            <w:vAlign w:val="center"/>
          </w:tcPr>
          <w:p w14:paraId="469D8BFB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N</w:t>
            </w:r>
            <w:r>
              <w:rPr>
                <w:rFonts w:ascii="Arial" w:hAnsi="Arial" w:eastAsia="宋体" w:cs="Arial"/>
                <w:szCs w:val="21"/>
              </w:rPr>
              <w:t>umber</w:t>
            </w:r>
          </w:p>
        </w:tc>
        <w:tc>
          <w:tcPr>
            <w:tcW w:w="796" w:type="pct"/>
            <w:tcBorders>
              <w:top w:val="single" w:color="auto" w:sz="6" w:space="0"/>
              <w:tl2br w:val="nil"/>
              <w:tr2bl w:val="nil"/>
            </w:tcBorders>
            <w:vAlign w:val="center"/>
          </w:tcPr>
          <w:p w14:paraId="250FE4DE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214</w:t>
            </w:r>
          </w:p>
        </w:tc>
        <w:tc>
          <w:tcPr>
            <w:tcW w:w="1783" w:type="pct"/>
            <w:tcBorders>
              <w:top w:val="single" w:color="auto" w:sz="6" w:space="0"/>
              <w:tl2br w:val="nil"/>
              <w:tr2bl w:val="nil"/>
            </w:tcBorders>
            <w:vAlign w:val="center"/>
          </w:tcPr>
          <w:p w14:paraId="6DCBD377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800" w:type="pct"/>
            <w:tcBorders>
              <w:top w:val="single" w:color="auto" w:sz="6" w:space="0"/>
              <w:tl2br w:val="nil"/>
              <w:tr2bl w:val="nil"/>
            </w:tcBorders>
            <w:vAlign w:val="center"/>
          </w:tcPr>
          <w:p w14:paraId="3F7C6CA0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</w:tr>
      <w:tr w14:paraId="2BA5FE7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3437EC19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S</w:t>
            </w:r>
            <w:r>
              <w:rPr>
                <w:rFonts w:ascii="Arial" w:hAnsi="Arial" w:eastAsia="宋体" w:cs="Arial"/>
                <w:szCs w:val="21"/>
              </w:rPr>
              <w:t>ex, n (%)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606946FC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41D50B76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S</w:t>
            </w:r>
            <w:r>
              <w:rPr>
                <w:rFonts w:ascii="Arial" w:hAnsi="Arial" w:eastAsia="宋体" w:cs="Arial"/>
                <w:szCs w:val="21"/>
              </w:rPr>
              <w:t>urvival Status, n (%)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25258682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</w:tr>
      <w:tr w14:paraId="567D569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1A211CBD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m</w:t>
            </w:r>
            <w:r>
              <w:rPr>
                <w:rFonts w:ascii="Arial" w:hAnsi="Arial" w:eastAsia="宋体" w:cs="Arial"/>
                <w:szCs w:val="21"/>
              </w:rPr>
              <w:t>ale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035846E5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112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52.3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6CA47690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death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7C65551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88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41.1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11ECD79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21701B4D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f</w:t>
            </w:r>
            <w:r>
              <w:rPr>
                <w:rFonts w:ascii="Arial" w:hAnsi="Arial" w:eastAsia="宋体" w:cs="Arial"/>
                <w:szCs w:val="21"/>
              </w:rPr>
              <w:t>emale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64D42C24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102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47.7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3AAE52BF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censoring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4CA931EB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126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58.9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446255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46189AAB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A</w:t>
            </w:r>
            <w:r>
              <w:rPr>
                <w:rFonts w:ascii="Arial" w:hAnsi="Arial" w:eastAsia="宋体" w:cs="Arial"/>
                <w:szCs w:val="21"/>
              </w:rPr>
              <w:t>ge, year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38F27CE5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49AE30D0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S</w:t>
            </w:r>
            <w:r>
              <w:rPr>
                <w:rFonts w:ascii="Arial" w:hAnsi="Arial" w:eastAsia="宋体" w:cs="Arial"/>
                <w:szCs w:val="21"/>
              </w:rPr>
              <w:t>urvival Time, n (%)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3A936A50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</w:tr>
      <w:tr w14:paraId="1E21189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0B6C8DEE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eastAsia="宋体" w:cs="Arial"/>
                      <w:i/>
                      <w:szCs w:val="21"/>
                    </w:rPr>
                  </m:ctrlPr>
                </m:accPr>
                <m:e>
                  <m:r>
                    <m:rPr/>
                    <w:rPr>
                      <w:rFonts w:ascii="Cambria Math" w:hAnsi="Cambria Math" w:eastAsia="宋体" w:cs="Arial"/>
                      <w:szCs w:val="21"/>
                    </w:rPr>
                    <m:t>x</m:t>
                  </m:r>
                  <m:ctrlPr>
                    <w:rPr>
                      <w:rFonts w:ascii="Cambria Math" w:hAnsi="Cambria Math" w:eastAsia="宋体" w:cs="Arial"/>
                      <w:i/>
                      <w:szCs w:val="21"/>
                    </w:rPr>
                  </m:ctrlPr>
                </m:e>
              </m:acc>
            </m:oMath>
            <w:r>
              <w:rPr>
                <w:rFonts w:ascii="Arial" w:hAnsi="Arial" w:eastAsia="宋体" w:cs="Arial"/>
                <w:szCs w:val="21"/>
                <w:vertAlign w:val="superscript"/>
              </w:rPr>
              <w:t xml:space="preserve"> </w:t>
            </w:r>
            <w:r>
              <w:rPr>
                <w:rFonts w:ascii="Arial" w:hAnsi="Arial" w:eastAsia="宋体" w:cs="Arial"/>
                <w:szCs w:val="21"/>
              </w:rPr>
              <w:t xml:space="preserve">± </w:t>
            </w:r>
            <w:r>
              <w:rPr>
                <w:rFonts w:ascii="Arial" w:hAnsi="Arial" w:eastAsia="宋体" w:cs="Arial"/>
                <w:i/>
                <w:iCs/>
                <w:szCs w:val="21"/>
              </w:rPr>
              <w:t>s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5E8DA09A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59±10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7A57162C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≥1000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79FA9B34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136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63.6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20AB2E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76B95F0D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range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40805BC6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31-89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174DA40F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＜1000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189B80DC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78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36.4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7433F8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6219F4CF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C</w:t>
            </w:r>
            <w:r>
              <w:rPr>
                <w:rFonts w:ascii="Arial" w:hAnsi="Arial" w:eastAsia="宋体" w:cs="Arial"/>
                <w:szCs w:val="21"/>
              </w:rPr>
              <w:t>linical stage, n (%)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18D1A5CF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3DD2AC4C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S</w:t>
            </w:r>
            <w:r>
              <w:rPr>
                <w:rFonts w:ascii="Arial" w:hAnsi="Arial" w:eastAsia="宋体" w:cs="Arial"/>
                <w:szCs w:val="21"/>
              </w:rPr>
              <w:t>moking History, n (%)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5628BEFE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</w:tr>
      <w:tr w14:paraId="408570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08DFAB14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stage Ⅰ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07B2E1EE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89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41.6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74921BC2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yes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243FD970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63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29.5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6A4F24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5A2D9463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stage Ⅱ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21A28796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19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8.9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7338555D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no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532FC2C0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146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68.2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320310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792DB529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stage Ⅲ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698BDBE8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28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13.1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3580306B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unknown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11CE4A3F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5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2.3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38922A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3A991E2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stage Ⅳ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1F25A23F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70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32.7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01CDFE97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Drinking</w:t>
            </w:r>
            <w:r>
              <w:rPr>
                <w:rFonts w:ascii="Arial" w:hAnsi="Arial" w:eastAsia="宋体" w:cs="Arial"/>
                <w:szCs w:val="21"/>
              </w:rPr>
              <w:t xml:space="preserve"> history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56ACA71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</w:tr>
      <w:tr w14:paraId="78E60B1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5A77E307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 </w:t>
            </w: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un</w:t>
            </w: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nown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444D6207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8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3.7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67B6824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yes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5FAFDE0A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25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11.7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685B26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2C442296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D</w:t>
            </w:r>
            <w:r>
              <w:rPr>
                <w:rFonts w:ascii="Arial" w:hAnsi="Arial" w:eastAsia="宋体" w:cs="Arial"/>
                <w:szCs w:val="21"/>
              </w:rPr>
              <w:t>iameter, n (%)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4CEF950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1E343044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no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532C5F9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183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85.5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47C4B8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0BE97A60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≤30nm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17086F52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120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56.1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39A36A57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unknown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4D33655E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6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2.8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096F8FF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60DBF37D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＞30nm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7118F69F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44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20.6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65BA2766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T</w:t>
            </w:r>
            <w:r>
              <w:rPr>
                <w:rFonts w:ascii="Arial" w:hAnsi="Arial" w:eastAsia="宋体" w:cs="Arial"/>
                <w:szCs w:val="21"/>
              </w:rPr>
              <w:t>umor history, n (%)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318654CA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</w:tr>
      <w:tr w14:paraId="50A8C1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17F2D49E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unknown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59D37BBA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50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23.3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213E6F9B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yes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734C4966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8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3.7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5B66DFD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75206130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L</w:t>
            </w:r>
            <w:r>
              <w:rPr>
                <w:rFonts w:ascii="Arial" w:hAnsi="Arial" w:eastAsia="宋体" w:cs="Arial"/>
                <w:szCs w:val="21"/>
              </w:rPr>
              <w:t xml:space="preserve">ymph node </w:t>
            </w:r>
          </w:p>
          <w:p w14:paraId="763D6EB6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metastasis, n (%)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2DCD3B1F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3561E99B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no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084BB4E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167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78.1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12C634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14A665F2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yes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4EA1ADC9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99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46.3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2B94CCB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unknown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067D5F85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39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18.2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48AEAC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58CB96E8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no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15691AD9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106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49.5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7C37C521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D</w:t>
            </w:r>
            <w:r>
              <w:rPr>
                <w:rFonts w:ascii="Arial" w:hAnsi="Arial" w:eastAsia="宋体" w:cs="Arial"/>
                <w:szCs w:val="21"/>
              </w:rPr>
              <w:t>istant metastasis, n (%)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02927C14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</w:tr>
      <w:tr w14:paraId="72FF879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70266FBC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unknown</w:t>
            </w: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0D99674D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9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4.2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511CACF2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yes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54238DB0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69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32.2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1577C2F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50022A03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7E1293B9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29BA09DC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no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6118F4E4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131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61.2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  <w:tr w14:paraId="70706B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jc w:val="center"/>
        </w:trPr>
        <w:tc>
          <w:tcPr>
            <w:tcW w:w="1620" w:type="pct"/>
            <w:tcBorders>
              <w:tl2br w:val="nil"/>
              <w:tr2bl w:val="nil"/>
            </w:tcBorders>
            <w:vAlign w:val="center"/>
          </w:tcPr>
          <w:p w14:paraId="2E7F6C67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796" w:type="pct"/>
            <w:tcBorders>
              <w:tl2br w:val="nil"/>
              <w:tr2bl w:val="nil"/>
            </w:tcBorders>
            <w:vAlign w:val="center"/>
          </w:tcPr>
          <w:p w14:paraId="696E69C2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</w:p>
        </w:tc>
        <w:tc>
          <w:tcPr>
            <w:tcW w:w="1783" w:type="pct"/>
            <w:tcBorders>
              <w:tl2br w:val="nil"/>
              <w:tr2bl w:val="nil"/>
            </w:tcBorders>
            <w:vAlign w:val="center"/>
          </w:tcPr>
          <w:p w14:paraId="4BDC161C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unknown</w:t>
            </w:r>
          </w:p>
        </w:tc>
        <w:tc>
          <w:tcPr>
            <w:tcW w:w="800" w:type="pct"/>
            <w:tcBorders>
              <w:tl2br w:val="nil"/>
              <w:tr2bl w:val="nil"/>
            </w:tcBorders>
            <w:vAlign w:val="center"/>
          </w:tcPr>
          <w:p w14:paraId="554919D2">
            <w:pPr>
              <w:snapToGrid w:val="0"/>
              <w:jc w:val="center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14</w:t>
            </w:r>
            <w:r>
              <w:rPr>
                <w:rFonts w:hint="eastAsia" w:ascii="Arial" w:hAnsi="Arial" w:eastAsia="宋体" w:cs="Arial"/>
                <w:szCs w:val="21"/>
              </w:rPr>
              <w:t xml:space="preserve"> (</w:t>
            </w:r>
            <w:r>
              <w:rPr>
                <w:rFonts w:ascii="Arial" w:hAnsi="Arial" w:eastAsia="宋体" w:cs="Arial"/>
                <w:szCs w:val="21"/>
              </w:rPr>
              <w:t>6.6</w:t>
            </w:r>
            <w:r>
              <w:rPr>
                <w:rFonts w:hint="eastAsia" w:ascii="Arial" w:hAnsi="Arial" w:eastAsia="宋体" w:cs="Arial"/>
                <w:szCs w:val="21"/>
              </w:rPr>
              <w:t>)</w:t>
            </w:r>
          </w:p>
        </w:tc>
      </w:tr>
    </w:tbl>
    <w:p w14:paraId="61BB99DA">
      <w:pPr>
        <w:rPr>
          <w:rFonts w:ascii="Arial" w:hAnsi="Arial" w:eastAsia="宋体" w:cs="Arial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Arial" w:hAnsi="Arial" w:eastAsia="宋体" w:cs="Arial"/>
          <w:szCs w:val="21"/>
        </w:rPr>
        <w:t>LUAD</w:t>
      </w:r>
      <w:r>
        <w:rPr>
          <w:rFonts w:hint="eastAsia" w:ascii="Arial" w:hAnsi="Arial" w:eastAsia="宋体" w:cs="Arial"/>
          <w:szCs w:val="21"/>
        </w:rPr>
        <w:t xml:space="preserve">: </w:t>
      </w:r>
      <w:r>
        <w:rPr>
          <w:rFonts w:ascii="Arial" w:hAnsi="Arial" w:eastAsia="宋体" w:cs="Arial"/>
          <w:szCs w:val="21"/>
        </w:rPr>
        <w:t>lung adenocarcinoma;</w:t>
      </w:r>
      <w:r>
        <w:rPr>
          <w:rFonts w:hint="eastAsia" w:ascii="Arial" w:hAnsi="Arial" w:eastAsia="宋体" w:cs="Arial"/>
          <w:szCs w:val="21"/>
        </w:rPr>
        <w:t xml:space="preserve"> </w:t>
      </w:r>
      <m:oMath>
        <m:acc>
          <m:accPr>
            <m:chr m:val="̅"/>
            <m:ctrlPr>
              <w:rPr>
                <w:rFonts w:ascii="Cambria Math" w:hAnsi="Cambria Math" w:eastAsia="宋体" w:cs="Arial"/>
                <w:i/>
                <w:szCs w:val="21"/>
              </w:rPr>
            </m:ctrlPr>
          </m:accPr>
          <m:e>
            <m:r>
              <m:rPr/>
              <w:rPr>
                <w:rFonts w:ascii="Cambria Math" w:hAnsi="Cambria Math" w:eastAsia="宋体" w:cs="Arial"/>
                <w:szCs w:val="21"/>
              </w:rPr>
              <m:t>x</m:t>
            </m:r>
            <m:ctrlPr>
              <w:rPr>
                <w:rFonts w:ascii="Cambria Math" w:hAnsi="Cambria Math" w:eastAsia="宋体" w:cs="Arial"/>
                <w:i/>
                <w:szCs w:val="21"/>
              </w:rPr>
            </m:ctrlPr>
          </m:e>
        </m:acc>
      </m:oMath>
      <w:r>
        <w:rPr>
          <w:rFonts w:ascii="Arial" w:hAnsi="Arial" w:eastAsia="宋体" w:cs="Arial"/>
          <w:color w:val="FF0000"/>
          <w:szCs w:val="21"/>
          <w:vertAlign w:val="superscript"/>
        </w:rPr>
        <w:t xml:space="preserve"> </w:t>
      </w:r>
      <w:r>
        <w:rPr>
          <w:rFonts w:ascii="Arial" w:hAnsi="Arial" w:eastAsia="宋体" w:cs="Arial"/>
          <w:szCs w:val="21"/>
        </w:rPr>
        <w:t xml:space="preserve">± </w:t>
      </w:r>
      <w:r>
        <w:rPr>
          <w:rFonts w:ascii="Arial" w:hAnsi="Arial" w:eastAsia="宋体" w:cs="Arial"/>
          <w:i/>
          <w:iCs/>
          <w:szCs w:val="21"/>
        </w:rPr>
        <w:t>s</w:t>
      </w:r>
      <w:r>
        <w:rPr>
          <w:rFonts w:hint="eastAsia" w:ascii="Arial" w:hAnsi="Arial" w:eastAsia="宋体" w:cs="Arial"/>
          <w:szCs w:val="21"/>
        </w:rPr>
        <w:t xml:space="preserve">: </w:t>
      </w:r>
      <w:r>
        <w:rPr>
          <w:rFonts w:ascii="Arial" w:hAnsi="Arial" w:eastAsia="宋体" w:cs="Arial"/>
          <w:szCs w:val="21"/>
        </w:rPr>
        <w:t xml:space="preserve">mean ± standard deviation </w:t>
      </w:r>
    </w:p>
    <w:p w14:paraId="0A11CA67">
      <w:pPr>
        <w:widowControl/>
        <w:spacing w:line="480" w:lineRule="auto"/>
        <w:jc w:val="left"/>
        <w:rPr>
          <w:rFonts w:ascii="Times New Roman" w:hAnsi="Times New Roman" w:eastAsia="宋体" w:cs="Times New Roman"/>
          <w:sz w:val="24"/>
        </w:rPr>
      </w:pPr>
      <w:r>
        <w:rPr>
          <w:rFonts w:ascii="Arial" w:hAnsi="Arial" w:cs="Arial"/>
          <w:b/>
          <w:bCs/>
          <w:szCs w:val="21"/>
        </w:rPr>
        <w:t>Table S</w:t>
      </w:r>
      <w:r>
        <w:rPr>
          <w:rFonts w:hint="eastAsia" w:ascii="Arial" w:hAnsi="Arial" w:cs="Arial"/>
          <w:b/>
          <w:bCs/>
          <w:szCs w:val="21"/>
          <w:lang w:val="en-US" w:eastAsia="zh-CN"/>
        </w:rPr>
        <w:t>3</w:t>
      </w:r>
      <w:r>
        <w:rPr>
          <w:rFonts w:ascii="Arial" w:hAnsi="Arial" w:cs="Arial"/>
          <w:b/>
          <w:bCs/>
          <w:szCs w:val="21"/>
        </w:rPr>
        <w:t>. Information of primers used in the study.</w:t>
      </w:r>
    </w:p>
    <w:tbl>
      <w:tblPr>
        <w:tblStyle w:val="12"/>
        <w:tblW w:w="0" w:type="auto"/>
        <w:tblInd w:w="0" w:type="dxa"/>
        <w:tblBorders>
          <w:top w:val="single" w:color="auto" w:sz="18" w:space="0"/>
          <w:left w:val="none" w:color="auto" w:sz="0" w:space="0"/>
          <w:bottom w:val="single" w:color="auto" w:sz="1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4610"/>
      </w:tblGrid>
      <w:tr w14:paraId="06872759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86" w:type="dxa"/>
            <w:tcBorders>
              <w:top w:val="single" w:color="auto" w:sz="18" w:space="0"/>
              <w:bottom w:val="single" w:color="auto" w:sz="8" w:space="0"/>
            </w:tcBorders>
          </w:tcPr>
          <w:p w14:paraId="56804E18">
            <w:pPr>
              <w:rPr>
                <w:rFonts w:ascii="Arial" w:hAnsi="Arial" w:eastAsia="宋体" w:cs="Arial"/>
                <w:b/>
                <w:bCs/>
                <w:szCs w:val="21"/>
              </w:rPr>
            </w:pPr>
            <w:r>
              <w:rPr>
                <w:rFonts w:ascii="Arial" w:hAnsi="Arial" w:eastAsia="宋体" w:cs="Arial"/>
                <w:b/>
                <w:bCs/>
                <w:szCs w:val="21"/>
              </w:rPr>
              <w:t>Oligo Name</w:t>
            </w:r>
          </w:p>
        </w:tc>
        <w:tc>
          <w:tcPr>
            <w:tcW w:w="4610" w:type="dxa"/>
            <w:tcBorders>
              <w:top w:val="single" w:color="auto" w:sz="18" w:space="0"/>
              <w:bottom w:val="single" w:color="auto" w:sz="8" w:space="0"/>
            </w:tcBorders>
          </w:tcPr>
          <w:p w14:paraId="741BB7D5">
            <w:pPr>
              <w:rPr>
                <w:rFonts w:ascii="Arial" w:hAnsi="Arial" w:eastAsia="宋体" w:cs="Arial"/>
                <w:b/>
                <w:bCs/>
                <w:szCs w:val="21"/>
              </w:rPr>
            </w:pPr>
            <w:r>
              <w:rPr>
                <w:rFonts w:ascii="Arial" w:hAnsi="Arial" w:eastAsia="宋体" w:cs="Arial"/>
                <w:b/>
                <w:bCs/>
                <w:szCs w:val="21"/>
              </w:rPr>
              <w:t>Sequence (5’-3’)</w:t>
            </w:r>
          </w:p>
        </w:tc>
      </w:tr>
      <w:tr w14:paraId="40F6598E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86" w:type="dxa"/>
            <w:tcBorders>
              <w:top w:val="single" w:color="auto" w:sz="8" w:space="0"/>
              <w:bottom w:val="nil"/>
            </w:tcBorders>
            <w:vAlign w:val="center"/>
          </w:tcPr>
          <w:p w14:paraId="1525FD67">
            <w:pPr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APOC3 qF</w:t>
            </w:r>
          </w:p>
        </w:tc>
        <w:tc>
          <w:tcPr>
            <w:tcW w:w="4610" w:type="dxa"/>
            <w:vMerge w:val="restart"/>
            <w:tcBorders>
              <w:top w:val="single" w:color="auto" w:sz="8" w:space="0"/>
            </w:tcBorders>
            <w:vAlign w:val="center"/>
          </w:tcPr>
          <w:p w14:paraId="66EEBC84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5’-GTACTCCTTGTTGTTGCCCTCCTG-3’</w:t>
            </w:r>
          </w:p>
          <w:p w14:paraId="653CBB4F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5’-CGGTCTTGGTGGCGTGCTTC-3’</w:t>
            </w:r>
          </w:p>
        </w:tc>
      </w:tr>
      <w:tr w14:paraId="672B348F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86" w:type="dxa"/>
            <w:tcBorders>
              <w:top w:val="nil"/>
            </w:tcBorders>
            <w:vAlign w:val="center"/>
          </w:tcPr>
          <w:p w14:paraId="3B7CC2BA">
            <w:pPr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APOC3 qR</w:t>
            </w:r>
          </w:p>
        </w:tc>
        <w:tc>
          <w:tcPr>
            <w:tcW w:w="4610" w:type="dxa"/>
            <w:vMerge w:val="continue"/>
            <w:vAlign w:val="center"/>
          </w:tcPr>
          <w:p w14:paraId="4CB07817">
            <w:pPr>
              <w:jc w:val="left"/>
              <w:rPr>
                <w:rFonts w:ascii="Arial" w:hAnsi="Arial" w:eastAsia="宋体" w:cs="Arial"/>
                <w:szCs w:val="21"/>
              </w:rPr>
            </w:pPr>
          </w:p>
        </w:tc>
      </w:tr>
      <w:tr w14:paraId="621E8565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86" w:type="dxa"/>
            <w:vAlign w:val="center"/>
          </w:tcPr>
          <w:p w14:paraId="1D85EDA8">
            <w:pPr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GAPDH qF</w:t>
            </w:r>
          </w:p>
        </w:tc>
        <w:tc>
          <w:tcPr>
            <w:tcW w:w="4610" w:type="dxa"/>
            <w:vMerge w:val="restart"/>
            <w:vAlign w:val="center"/>
          </w:tcPr>
          <w:p w14:paraId="17DFD1A6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5’-CAGGAGGCATTGCTGATGAT-3’</w:t>
            </w:r>
          </w:p>
          <w:p w14:paraId="2F672597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5’-GAAGGCTGGGGCTCATTT-3’</w:t>
            </w:r>
          </w:p>
        </w:tc>
      </w:tr>
      <w:tr w14:paraId="1C389C97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86" w:type="dxa"/>
            <w:vAlign w:val="center"/>
          </w:tcPr>
          <w:p w14:paraId="6A393B3B">
            <w:pPr>
              <w:jc w:val="left"/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GAPDH qR</w:t>
            </w:r>
          </w:p>
        </w:tc>
        <w:tc>
          <w:tcPr>
            <w:tcW w:w="4610" w:type="dxa"/>
            <w:vMerge w:val="continue"/>
            <w:vAlign w:val="center"/>
          </w:tcPr>
          <w:p w14:paraId="6EE7C5F9">
            <w:pPr>
              <w:jc w:val="left"/>
              <w:rPr>
                <w:rFonts w:ascii="Arial" w:hAnsi="Arial" w:eastAsia="宋体" w:cs="Arial"/>
                <w:szCs w:val="21"/>
              </w:rPr>
            </w:pPr>
          </w:p>
        </w:tc>
      </w:tr>
    </w:tbl>
    <w:p w14:paraId="62EC84E5">
      <w:pPr>
        <w:rPr>
          <w:rFonts w:ascii="Arial" w:hAnsi="Arial" w:eastAsia="宋体" w:cs="Arial"/>
          <w:b/>
          <w:bCs/>
          <w:sz w:val="30"/>
          <w:szCs w:val="30"/>
        </w:rPr>
      </w:pPr>
      <w:r>
        <w:rPr>
          <w:rFonts w:ascii="Arial" w:hAnsi="Arial" w:eastAsia="宋体" w:cs="Arial"/>
          <w:b/>
          <w:bCs/>
          <w:sz w:val="30"/>
          <w:szCs w:val="30"/>
        </w:rPr>
        <w:br w:type="page"/>
      </w:r>
    </w:p>
    <w:p w14:paraId="4B0DFA5B">
      <w:pPr>
        <w:widowControl/>
        <w:spacing w:line="480" w:lineRule="auto"/>
        <w:jc w:val="left"/>
        <w:rPr>
          <w:rFonts w:ascii="Arial" w:hAnsi="Arial" w:cs="Arial"/>
          <w:b/>
          <w:bCs/>
          <w:szCs w:val="21"/>
        </w:rPr>
      </w:pPr>
      <w:r>
        <w:rPr>
          <w:rFonts w:hint="eastAsia" w:ascii="Arial" w:hAnsi="Arial" w:cs="Arial"/>
          <w:b/>
          <w:bCs/>
          <w:szCs w:val="21"/>
        </w:rPr>
        <w:t>Table S</w:t>
      </w:r>
      <w:r>
        <w:rPr>
          <w:rFonts w:hint="eastAsia" w:ascii="Arial" w:hAnsi="Arial" w:cs="Arial"/>
          <w:b/>
          <w:bCs/>
          <w:szCs w:val="21"/>
          <w:lang w:val="en-US" w:eastAsia="zh-CN"/>
        </w:rPr>
        <w:t>4</w:t>
      </w:r>
      <w:r>
        <w:rPr>
          <w:rFonts w:hint="eastAsia" w:ascii="Arial" w:hAnsi="Arial" w:cs="Arial"/>
          <w:b/>
          <w:bCs/>
          <w:szCs w:val="21"/>
        </w:rPr>
        <w:t xml:space="preserve">. </w:t>
      </w:r>
      <w:r>
        <w:rPr>
          <w:rFonts w:ascii="Arial" w:hAnsi="Arial" w:cs="Arial"/>
          <w:b/>
          <w:bCs/>
          <w:szCs w:val="21"/>
        </w:rPr>
        <w:t xml:space="preserve">Information of antibodies used in the study. </w:t>
      </w:r>
    </w:p>
    <w:tbl>
      <w:tblPr>
        <w:tblStyle w:val="12"/>
        <w:tblW w:w="4908" w:type="pct"/>
        <w:tblInd w:w="0" w:type="dxa"/>
        <w:tblBorders>
          <w:top w:val="single" w:color="auto" w:sz="18" w:space="0"/>
          <w:left w:val="none" w:color="auto" w:sz="0" w:space="0"/>
          <w:bottom w:val="single" w:color="auto" w:sz="1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6"/>
        <w:gridCol w:w="3404"/>
        <w:gridCol w:w="1965"/>
      </w:tblGrid>
      <w:tr w14:paraId="487D8410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791" w:type="pct"/>
            <w:tcBorders>
              <w:top w:val="single" w:color="auto" w:sz="18" w:space="0"/>
              <w:bottom w:val="single" w:color="auto" w:sz="8" w:space="0"/>
            </w:tcBorders>
          </w:tcPr>
          <w:p w14:paraId="45FDA6D2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Reagent</w:t>
            </w:r>
          </w:p>
        </w:tc>
        <w:tc>
          <w:tcPr>
            <w:tcW w:w="2034" w:type="pct"/>
            <w:tcBorders>
              <w:top w:val="single" w:color="auto" w:sz="18" w:space="0"/>
              <w:bottom w:val="single" w:color="auto" w:sz="8" w:space="0"/>
            </w:tcBorders>
          </w:tcPr>
          <w:p w14:paraId="07260481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Catalog and Source</w:t>
            </w:r>
          </w:p>
        </w:tc>
        <w:tc>
          <w:tcPr>
            <w:tcW w:w="1174" w:type="pct"/>
            <w:tcBorders>
              <w:top w:val="single" w:color="auto" w:sz="18" w:space="0"/>
              <w:bottom w:val="single" w:color="auto" w:sz="8" w:space="0"/>
            </w:tcBorders>
          </w:tcPr>
          <w:p w14:paraId="52B9DD9D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Dilution</w:t>
            </w:r>
          </w:p>
        </w:tc>
      </w:tr>
      <w:tr w14:paraId="7612F320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791" w:type="pct"/>
            <w:tcBorders>
              <w:top w:val="single" w:color="auto" w:sz="8" w:space="0"/>
            </w:tcBorders>
          </w:tcPr>
          <w:p w14:paraId="0B8DF93C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APOC3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eastAsia="宋体" w:cs="Arial"/>
                <w:szCs w:val="21"/>
              </w:rPr>
              <w:t>（1:5000）</w:t>
            </w:r>
          </w:p>
        </w:tc>
        <w:tc>
          <w:tcPr>
            <w:tcW w:w="2034" w:type="pct"/>
            <w:tcBorders>
              <w:top w:val="single" w:color="auto" w:sz="8" w:space="0"/>
            </w:tcBorders>
          </w:tcPr>
          <w:p w14:paraId="714DFB55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Cat#ab108205; Abcam</w:t>
            </w:r>
          </w:p>
        </w:tc>
        <w:tc>
          <w:tcPr>
            <w:tcW w:w="1174" w:type="pct"/>
            <w:tcBorders>
              <w:top w:val="single" w:color="auto" w:sz="8" w:space="0"/>
            </w:tcBorders>
          </w:tcPr>
          <w:p w14:paraId="5398F692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1:5000</w:t>
            </w:r>
          </w:p>
        </w:tc>
      </w:tr>
      <w:tr w14:paraId="20B85A98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15D23B9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E-cadherin</w:t>
            </w:r>
          </w:p>
        </w:tc>
        <w:tc>
          <w:tcPr>
            <w:tcW w:w="2034" w:type="pct"/>
          </w:tcPr>
          <w:p w14:paraId="01D92B3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Cat#3195; CST</w:t>
            </w:r>
          </w:p>
        </w:tc>
        <w:tc>
          <w:tcPr>
            <w:tcW w:w="1174" w:type="pct"/>
          </w:tcPr>
          <w:p w14:paraId="4AF8B697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6BC7596E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3B23DAC7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N-cadherin</w:t>
            </w:r>
          </w:p>
        </w:tc>
        <w:tc>
          <w:tcPr>
            <w:tcW w:w="2034" w:type="pct"/>
          </w:tcPr>
          <w:p w14:paraId="3D4434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Cat#13116; CST</w:t>
            </w:r>
          </w:p>
        </w:tc>
        <w:tc>
          <w:tcPr>
            <w:tcW w:w="1174" w:type="pct"/>
          </w:tcPr>
          <w:p w14:paraId="3012031B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4D4467B2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272DE55F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Vimentin</w:t>
            </w:r>
          </w:p>
        </w:tc>
        <w:tc>
          <w:tcPr>
            <w:tcW w:w="2034" w:type="pct"/>
          </w:tcPr>
          <w:p w14:paraId="3EAA915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Cat#5741; CST</w:t>
            </w:r>
          </w:p>
        </w:tc>
        <w:tc>
          <w:tcPr>
            <w:tcW w:w="1174" w:type="pct"/>
          </w:tcPr>
          <w:p w14:paraId="2B933226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52354F08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659A7A06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Ki-67</w:t>
            </w:r>
          </w:p>
        </w:tc>
        <w:tc>
          <w:tcPr>
            <w:tcW w:w="2034" w:type="pct"/>
          </w:tcPr>
          <w:p w14:paraId="48E9402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Cat#84192-4-RR</w:t>
            </w:r>
            <w:r>
              <w:rPr>
                <w:rFonts w:hint="eastAsia" w:ascii="Arial" w:hAnsi="Arial" w:cs="Arial"/>
                <w:szCs w:val="21"/>
              </w:rPr>
              <w:t xml:space="preserve">; </w:t>
            </w:r>
            <w:r>
              <w:rPr>
                <w:rFonts w:ascii="Arial" w:hAnsi="Arial" w:eastAsia="宋体" w:cs="Arial"/>
                <w:szCs w:val="21"/>
              </w:rPr>
              <w:t>Proteintech</w:t>
            </w:r>
          </w:p>
        </w:tc>
        <w:tc>
          <w:tcPr>
            <w:tcW w:w="1174" w:type="pct"/>
          </w:tcPr>
          <w:p w14:paraId="6C44333D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1:500</w:t>
            </w:r>
          </w:p>
        </w:tc>
      </w:tr>
      <w:tr w14:paraId="340497CD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31347145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PKA</w:t>
            </w:r>
          </w:p>
        </w:tc>
        <w:tc>
          <w:tcPr>
            <w:tcW w:w="2034" w:type="pct"/>
          </w:tcPr>
          <w:p w14:paraId="3173392A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Cat#4782; CST</w:t>
            </w:r>
          </w:p>
        </w:tc>
        <w:tc>
          <w:tcPr>
            <w:tcW w:w="1174" w:type="pct"/>
          </w:tcPr>
          <w:p w14:paraId="2D4911C9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36F05DD1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7EF2ACF0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p-PKA(Thr197)</w:t>
            </w:r>
          </w:p>
        </w:tc>
        <w:tc>
          <w:tcPr>
            <w:tcW w:w="2034" w:type="pct"/>
          </w:tcPr>
          <w:p w14:paraId="599B98B6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Cat#4781; CST</w:t>
            </w:r>
          </w:p>
        </w:tc>
        <w:tc>
          <w:tcPr>
            <w:tcW w:w="1174" w:type="pct"/>
          </w:tcPr>
          <w:p w14:paraId="411CA150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003B1E6B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1F4D78C9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CREB</w:t>
            </w:r>
          </w:p>
        </w:tc>
        <w:tc>
          <w:tcPr>
            <w:tcW w:w="2034" w:type="pct"/>
          </w:tcPr>
          <w:p w14:paraId="321E0020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Cat#9197; CST</w:t>
            </w:r>
          </w:p>
        </w:tc>
        <w:tc>
          <w:tcPr>
            <w:tcW w:w="1174" w:type="pct"/>
          </w:tcPr>
          <w:p w14:paraId="1EE42E73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33124301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11BC0A79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p-CREB(Ser133)</w:t>
            </w:r>
          </w:p>
        </w:tc>
        <w:tc>
          <w:tcPr>
            <w:tcW w:w="2034" w:type="pct"/>
          </w:tcPr>
          <w:p w14:paraId="3F314DC5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>Cat</w:t>
            </w:r>
            <w:r>
              <w:rPr>
                <w:rFonts w:ascii="Arial" w:hAnsi="Arial" w:eastAsia="宋体" w:cs="Arial"/>
                <w:color w:val="000000"/>
                <w:szCs w:val="21"/>
              </w:rPr>
              <w:t>#9198; CST</w:t>
            </w:r>
          </w:p>
        </w:tc>
        <w:tc>
          <w:tcPr>
            <w:tcW w:w="1174" w:type="pct"/>
          </w:tcPr>
          <w:p w14:paraId="3A3EFF5A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75114750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3A6EE5CD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p-HSL(Ser660)</w:t>
            </w:r>
          </w:p>
        </w:tc>
        <w:tc>
          <w:tcPr>
            <w:tcW w:w="2034" w:type="pct"/>
          </w:tcPr>
          <w:p w14:paraId="575984CD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color w:val="000000"/>
                <w:szCs w:val="21"/>
              </w:rPr>
              <w:t>Cat#45804; CST</w:t>
            </w:r>
          </w:p>
        </w:tc>
        <w:tc>
          <w:tcPr>
            <w:tcW w:w="1174" w:type="pct"/>
          </w:tcPr>
          <w:p w14:paraId="275CD3AD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2D4DEF7E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309D793C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HSL</w:t>
            </w:r>
          </w:p>
        </w:tc>
        <w:tc>
          <w:tcPr>
            <w:tcW w:w="2034" w:type="pct"/>
          </w:tcPr>
          <w:p w14:paraId="41DACDD4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color w:val="000000"/>
                <w:szCs w:val="21"/>
              </w:rPr>
              <w:t>Cat#4107; CST</w:t>
            </w:r>
          </w:p>
        </w:tc>
        <w:tc>
          <w:tcPr>
            <w:tcW w:w="1174" w:type="pct"/>
          </w:tcPr>
          <w:p w14:paraId="013F1F5E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797122EA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5F77FD95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PGC-1α</w:t>
            </w:r>
          </w:p>
        </w:tc>
        <w:tc>
          <w:tcPr>
            <w:tcW w:w="2034" w:type="pct"/>
          </w:tcPr>
          <w:p w14:paraId="312CE1BE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Cat#2178; CST</w:t>
            </w:r>
          </w:p>
        </w:tc>
        <w:tc>
          <w:tcPr>
            <w:tcW w:w="1174" w:type="pct"/>
          </w:tcPr>
          <w:p w14:paraId="4DE5D58E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702B39FB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2AA108B8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CPT1A</w:t>
            </w:r>
          </w:p>
        </w:tc>
        <w:tc>
          <w:tcPr>
            <w:tcW w:w="2034" w:type="pct"/>
          </w:tcPr>
          <w:p w14:paraId="4400D1AA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Cat#12252; CST</w:t>
            </w:r>
          </w:p>
        </w:tc>
        <w:tc>
          <w:tcPr>
            <w:tcW w:w="1174" w:type="pct"/>
          </w:tcPr>
          <w:p w14:paraId="0C8836B6">
            <w:pPr>
              <w:rPr>
                <w:rFonts w:ascii="Arial" w:hAnsi="Arial" w:eastAsia="宋体" w:cs="Arial"/>
                <w:color w:val="000000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1:1000</w:t>
            </w:r>
          </w:p>
        </w:tc>
      </w:tr>
      <w:tr w14:paraId="375A5F6F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791" w:type="pct"/>
          </w:tcPr>
          <w:p w14:paraId="7A1782B6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β-Actin</w:t>
            </w:r>
          </w:p>
        </w:tc>
        <w:tc>
          <w:tcPr>
            <w:tcW w:w="2034" w:type="pct"/>
          </w:tcPr>
          <w:p w14:paraId="42C4552F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 xml:space="preserve">Cat#66009-1-Ig; Proteintech </w:t>
            </w:r>
          </w:p>
        </w:tc>
        <w:tc>
          <w:tcPr>
            <w:tcW w:w="1174" w:type="pct"/>
          </w:tcPr>
          <w:p w14:paraId="18125BBC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</w:t>
            </w:r>
            <w:r>
              <w:rPr>
                <w:rFonts w:hint="eastAsia" w:ascii="Arial" w:hAnsi="Arial" w:eastAsia="宋体" w:cs="Arial"/>
                <w:szCs w:val="21"/>
              </w:rPr>
              <w:t>10</w:t>
            </w:r>
            <w:r>
              <w:rPr>
                <w:rFonts w:ascii="Arial" w:hAnsi="Arial" w:eastAsia="宋体" w:cs="Arial"/>
                <w:szCs w:val="21"/>
              </w:rPr>
              <w:t>000</w:t>
            </w:r>
          </w:p>
        </w:tc>
      </w:tr>
      <w:tr w14:paraId="2C986C64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791" w:type="pct"/>
          </w:tcPr>
          <w:p w14:paraId="5D96B4B8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GAPDH</w:t>
            </w:r>
          </w:p>
        </w:tc>
        <w:tc>
          <w:tcPr>
            <w:tcW w:w="2034" w:type="pct"/>
          </w:tcPr>
          <w:p w14:paraId="4E7E4549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 xml:space="preserve">Cat#60004-1-Ig; Proteintech </w:t>
            </w:r>
          </w:p>
        </w:tc>
        <w:tc>
          <w:tcPr>
            <w:tcW w:w="1174" w:type="pct"/>
          </w:tcPr>
          <w:p w14:paraId="27368DBF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1:20000</w:t>
            </w:r>
          </w:p>
        </w:tc>
      </w:tr>
      <w:tr w14:paraId="6E74D913">
        <w:tblPrEx>
          <w:tblBorders>
            <w:top w:val="single" w:color="auto" w:sz="18" w:space="0"/>
            <w:left w:val="none" w:color="auto" w:sz="0" w:space="0"/>
            <w:bottom w:val="single" w:color="auto" w:sz="1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791" w:type="pct"/>
          </w:tcPr>
          <w:p w14:paraId="313FBA1F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GNAI3</w:t>
            </w:r>
          </w:p>
        </w:tc>
        <w:tc>
          <w:tcPr>
            <w:tcW w:w="2034" w:type="pct"/>
          </w:tcPr>
          <w:p w14:paraId="766DBFF2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ascii="Arial" w:hAnsi="Arial" w:eastAsia="宋体" w:cs="Arial"/>
                <w:szCs w:val="21"/>
              </w:rPr>
              <w:t>Cat#11641-1-AP</w:t>
            </w:r>
            <w:r>
              <w:rPr>
                <w:rFonts w:hint="eastAsia" w:ascii="Arial" w:hAnsi="Arial" w:eastAsia="宋体" w:cs="Arial"/>
                <w:szCs w:val="21"/>
              </w:rPr>
              <w:t>;</w:t>
            </w:r>
            <w:r>
              <w:rPr>
                <w:rFonts w:ascii="Arial" w:hAnsi="Arial" w:eastAsia="宋体" w:cs="Arial"/>
                <w:szCs w:val="21"/>
              </w:rPr>
              <w:t>Proteintech</w:t>
            </w:r>
          </w:p>
        </w:tc>
        <w:tc>
          <w:tcPr>
            <w:tcW w:w="1174" w:type="pct"/>
          </w:tcPr>
          <w:p w14:paraId="0CE005F1">
            <w:pPr>
              <w:rPr>
                <w:rFonts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1:20000</w:t>
            </w:r>
          </w:p>
        </w:tc>
      </w:tr>
    </w:tbl>
    <w:p w14:paraId="53950972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</w:pPr>
    </w:p>
    <w:p w14:paraId="44D6735B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</w:pPr>
    </w:p>
    <w:p w14:paraId="7AC60460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</w:pPr>
    </w:p>
    <w:p w14:paraId="76708255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</w:pPr>
    </w:p>
    <w:p w14:paraId="491B3BB0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</w:pPr>
    </w:p>
    <w:p w14:paraId="53CAA988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</w:pPr>
    </w:p>
    <w:p w14:paraId="16BF885B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</w:pPr>
    </w:p>
    <w:p w14:paraId="65913D4B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</w:pPr>
    </w:p>
    <w:p w14:paraId="30FE36FE">
      <w:pPr>
        <w:widowControl/>
        <w:spacing w:line="480" w:lineRule="auto"/>
        <w:jc w:val="left"/>
        <w:rPr>
          <w:rFonts w:ascii="Arial" w:hAnsi="Arial" w:eastAsia="宋体" w:cs="Arial"/>
          <w:b/>
          <w:bCs/>
          <w:sz w:val="30"/>
          <w:szCs w:val="30"/>
        </w:rPr>
      </w:pPr>
    </w:p>
    <w:p w14:paraId="42F5FFBF">
      <w:pPr>
        <w:widowControl/>
        <w:spacing w:line="480" w:lineRule="auto"/>
        <w:jc w:val="left"/>
        <w:rPr>
          <w:rFonts w:ascii="Arial" w:hAnsi="Arial" w:cs="Arial"/>
          <w:b/>
          <w:bCs/>
          <w:szCs w:val="21"/>
        </w:rPr>
      </w:pPr>
    </w:p>
    <w:p w14:paraId="7945AA09">
      <w:pPr>
        <w:widowControl/>
        <w:spacing w:line="480" w:lineRule="auto"/>
        <w:jc w:val="left"/>
        <w:rPr>
          <w:rFonts w:ascii="Arial" w:hAnsi="Arial" w:cs="Arial"/>
          <w:b/>
          <w:bCs/>
          <w:szCs w:val="21"/>
        </w:rPr>
      </w:pPr>
    </w:p>
    <w:p w14:paraId="670F806F">
      <w:pPr>
        <w:rPr>
          <w:rFonts w:ascii="Arial" w:hAnsi="Arial" w:eastAsia="宋体" w:cs="Arial"/>
          <w:b/>
          <w:bCs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CCBE07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S</w:t>
      </w:r>
      <w:r>
        <w:rPr>
          <w:rFonts w:hint="eastAsia" w:ascii="Arial" w:hAnsi="Arial" w:cs="Arial"/>
          <w:b/>
          <w:bCs/>
          <w:lang w:val="en-US" w:eastAsia="zh-CN"/>
        </w:rPr>
        <w:t>5</w:t>
      </w:r>
      <w:r>
        <w:rPr>
          <w:rFonts w:hint="eastAsia" w:ascii="Arial" w:hAnsi="Arial" w:cs="Arial"/>
          <w:b/>
          <w:bCs/>
        </w:rPr>
        <w:t>. Prognostic impact of APOC3 expression on LUAD patient survival across key clinical subgroups.</w:t>
      </w:r>
    </w:p>
    <w:tbl>
      <w:tblPr>
        <w:tblStyle w:val="12"/>
        <w:tblW w:w="8364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1251"/>
        <w:gridCol w:w="1915"/>
        <w:gridCol w:w="958"/>
        <w:gridCol w:w="1745"/>
        <w:gridCol w:w="971"/>
      </w:tblGrid>
      <w:tr w14:paraId="1E08FF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524" w:type="dxa"/>
            <w:vMerge w:val="restart"/>
            <w:vAlign w:val="center"/>
          </w:tcPr>
          <w:p w14:paraId="246E3302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Characteristic</w:t>
            </w:r>
          </w:p>
        </w:tc>
        <w:tc>
          <w:tcPr>
            <w:tcW w:w="1251" w:type="dxa"/>
            <w:vMerge w:val="restart"/>
            <w:vAlign w:val="center"/>
          </w:tcPr>
          <w:p w14:paraId="32A7930B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Group</w:t>
            </w:r>
          </w:p>
        </w:tc>
        <w:tc>
          <w:tcPr>
            <w:tcW w:w="287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1C0D321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Univariate analysis</w:t>
            </w:r>
          </w:p>
        </w:tc>
        <w:tc>
          <w:tcPr>
            <w:tcW w:w="2716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D70736D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Multivariate analysis</w:t>
            </w:r>
          </w:p>
        </w:tc>
      </w:tr>
      <w:tr w14:paraId="4D43EA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524" w:type="dxa"/>
            <w:vMerge w:val="continue"/>
            <w:tcBorders>
              <w:bottom w:val="single" w:color="auto" w:sz="4" w:space="0"/>
            </w:tcBorders>
            <w:vAlign w:val="center"/>
          </w:tcPr>
          <w:p w14:paraId="5A448873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Merge w:val="continue"/>
            <w:tcBorders>
              <w:bottom w:val="single" w:color="auto" w:sz="4" w:space="0"/>
            </w:tcBorders>
            <w:vAlign w:val="center"/>
          </w:tcPr>
          <w:p w14:paraId="12339B5E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91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DC14BA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HR (95%CI)</w:t>
            </w:r>
          </w:p>
        </w:tc>
        <w:tc>
          <w:tcPr>
            <w:tcW w:w="95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140A85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i/>
                <w:iCs/>
                <w:kern w:val="0"/>
                <w:sz w:val="21"/>
                <w:szCs w:val="21"/>
              </w:rPr>
              <w:t>P</w:t>
            </w: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 xml:space="preserve"> Value</w:t>
            </w:r>
          </w:p>
        </w:tc>
        <w:tc>
          <w:tcPr>
            <w:tcW w:w="174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9E4802E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HR (95%CI)</w:t>
            </w:r>
          </w:p>
        </w:tc>
        <w:tc>
          <w:tcPr>
            <w:tcW w:w="97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166C41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i/>
                <w:iCs/>
                <w:kern w:val="0"/>
                <w:sz w:val="21"/>
                <w:szCs w:val="21"/>
              </w:rPr>
              <w:t>P</w:t>
            </w: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 xml:space="preserve"> Value</w:t>
            </w:r>
          </w:p>
        </w:tc>
      </w:tr>
      <w:tr w14:paraId="6785BA9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tcBorders>
              <w:top w:val="single" w:color="auto" w:sz="4" w:space="0"/>
            </w:tcBorders>
            <w:vAlign w:val="center"/>
          </w:tcPr>
          <w:p w14:paraId="4177F3C2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bookmarkStart w:id="3" w:name="_Hlk192105140"/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APOC3</w:t>
            </w:r>
          </w:p>
        </w:tc>
        <w:tc>
          <w:tcPr>
            <w:tcW w:w="1251" w:type="dxa"/>
            <w:tcBorders>
              <w:top w:val="single" w:color="auto" w:sz="4" w:space="0"/>
            </w:tcBorders>
            <w:vAlign w:val="center"/>
          </w:tcPr>
          <w:p w14:paraId="31CF21EF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High</w:t>
            </w:r>
          </w:p>
        </w:tc>
        <w:tc>
          <w:tcPr>
            <w:tcW w:w="1915" w:type="dxa"/>
            <w:tcBorders>
              <w:top w:val="single" w:color="auto" w:sz="4" w:space="0"/>
            </w:tcBorders>
            <w:vAlign w:val="center"/>
          </w:tcPr>
          <w:p w14:paraId="72559A19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1.00 (Reference)</w:t>
            </w:r>
          </w:p>
        </w:tc>
        <w:tc>
          <w:tcPr>
            <w:tcW w:w="958" w:type="dxa"/>
            <w:tcBorders>
              <w:top w:val="single" w:color="auto" w:sz="4" w:space="0"/>
            </w:tcBorders>
            <w:vAlign w:val="center"/>
          </w:tcPr>
          <w:p w14:paraId="5905ADD6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745" w:type="dxa"/>
            <w:tcBorders>
              <w:top w:val="single" w:color="auto" w:sz="4" w:space="0"/>
            </w:tcBorders>
            <w:vAlign w:val="center"/>
          </w:tcPr>
          <w:p w14:paraId="49EAD53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1.00 (Reference)</w:t>
            </w:r>
          </w:p>
        </w:tc>
        <w:tc>
          <w:tcPr>
            <w:tcW w:w="971" w:type="dxa"/>
            <w:tcBorders>
              <w:top w:val="single" w:color="auto" w:sz="4" w:space="0"/>
            </w:tcBorders>
            <w:vAlign w:val="center"/>
          </w:tcPr>
          <w:p w14:paraId="51027D1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</w:tr>
      <w:tr w14:paraId="10AC17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10540787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02B18343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Low</w:t>
            </w:r>
          </w:p>
        </w:tc>
        <w:tc>
          <w:tcPr>
            <w:tcW w:w="1915" w:type="dxa"/>
            <w:vAlign w:val="center"/>
          </w:tcPr>
          <w:p w14:paraId="6F05642C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0.63(0.41-0.99)</w:t>
            </w:r>
          </w:p>
        </w:tc>
        <w:tc>
          <w:tcPr>
            <w:tcW w:w="958" w:type="dxa"/>
            <w:vAlign w:val="center"/>
          </w:tcPr>
          <w:p w14:paraId="3CE0ED1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0.043</w:t>
            </w:r>
          </w:p>
        </w:tc>
        <w:tc>
          <w:tcPr>
            <w:tcW w:w="1745" w:type="dxa"/>
            <w:vAlign w:val="center"/>
          </w:tcPr>
          <w:p w14:paraId="1BF45490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0.79(0.45-1.38)</w:t>
            </w:r>
          </w:p>
        </w:tc>
        <w:tc>
          <w:tcPr>
            <w:tcW w:w="971" w:type="dxa"/>
            <w:vAlign w:val="center"/>
          </w:tcPr>
          <w:p w14:paraId="075CDD8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0.402</w:t>
            </w:r>
          </w:p>
        </w:tc>
      </w:tr>
      <w:tr w14:paraId="38941C8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350AB890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Sex</w:t>
            </w:r>
          </w:p>
        </w:tc>
        <w:tc>
          <w:tcPr>
            <w:tcW w:w="1251" w:type="dxa"/>
            <w:vAlign w:val="center"/>
          </w:tcPr>
          <w:p w14:paraId="77574699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female</w:t>
            </w:r>
          </w:p>
        </w:tc>
        <w:tc>
          <w:tcPr>
            <w:tcW w:w="1915" w:type="dxa"/>
            <w:vAlign w:val="center"/>
          </w:tcPr>
          <w:p w14:paraId="6A3C5710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58" w:type="dxa"/>
            <w:vAlign w:val="center"/>
          </w:tcPr>
          <w:p w14:paraId="27E4E7D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745" w:type="dxa"/>
            <w:vAlign w:val="center"/>
          </w:tcPr>
          <w:p w14:paraId="139EF395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71" w:type="dxa"/>
            <w:vAlign w:val="center"/>
          </w:tcPr>
          <w:p w14:paraId="53F351C0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</w:tr>
      <w:tr w14:paraId="1C858F4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251812FC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279D0525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male</w:t>
            </w:r>
          </w:p>
        </w:tc>
        <w:tc>
          <w:tcPr>
            <w:tcW w:w="1915" w:type="dxa"/>
            <w:vAlign w:val="center"/>
          </w:tcPr>
          <w:p w14:paraId="4DDB2DB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1.58(1.03-2.42)</w:t>
            </w:r>
          </w:p>
        </w:tc>
        <w:tc>
          <w:tcPr>
            <w:tcW w:w="958" w:type="dxa"/>
            <w:vAlign w:val="center"/>
          </w:tcPr>
          <w:p w14:paraId="6C768892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0.038</w:t>
            </w:r>
          </w:p>
        </w:tc>
        <w:tc>
          <w:tcPr>
            <w:tcW w:w="1745" w:type="dxa"/>
            <w:vAlign w:val="center"/>
          </w:tcPr>
          <w:p w14:paraId="1A622BDF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1.33(0.77-2.30)</w:t>
            </w:r>
          </w:p>
        </w:tc>
        <w:tc>
          <w:tcPr>
            <w:tcW w:w="971" w:type="dxa"/>
            <w:vAlign w:val="center"/>
          </w:tcPr>
          <w:p w14:paraId="4339D3F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0.308</w:t>
            </w:r>
          </w:p>
        </w:tc>
      </w:tr>
      <w:tr w14:paraId="7D8EB3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4AD6B438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Age</w:t>
            </w:r>
          </w:p>
        </w:tc>
        <w:tc>
          <w:tcPr>
            <w:tcW w:w="1251" w:type="dxa"/>
            <w:vAlign w:val="center"/>
          </w:tcPr>
          <w:p w14:paraId="29CC93E0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≤60</w:t>
            </w:r>
          </w:p>
        </w:tc>
        <w:tc>
          <w:tcPr>
            <w:tcW w:w="1915" w:type="dxa"/>
            <w:vAlign w:val="center"/>
          </w:tcPr>
          <w:p w14:paraId="2851AF73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58" w:type="dxa"/>
            <w:vAlign w:val="center"/>
          </w:tcPr>
          <w:p w14:paraId="60C495A8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745" w:type="dxa"/>
            <w:vAlign w:val="center"/>
          </w:tcPr>
          <w:p w14:paraId="70AE47C9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71" w:type="dxa"/>
            <w:vAlign w:val="center"/>
          </w:tcPr>
          <w:p w14:paraId="6904F09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</w:tr>
      <w:tr w14:paraId="1C37FCF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6684B155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0B93F81A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&gt;60</w:t>
            </w:r>
          </w:p>
        </w:tc>
        <w:tc>
          <w:tcPr>
            <w:tcW w:w="1915" w:type="dxa"/>
            <w:vAlign w:val="center"/>
          </w:tcPr>
          <w:p w14:paraId="46A1B85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1.95(1.27-3.00)</w:t>
            </w:r>
          </w:p>
        </w:tc>
        <w:tc>
          <w:tcPr>
            <w:tcW w:w="958" w:type="dxa"/>
            <w:vAlign w:val="center"/>
          </w:tcPr>
          <w:p w14:paraId="4529B29A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0.002</w:t>
            </w:r>
          </w:p>
        </w:tc>
        <w:tc>
          <w:tcPr>
            <w:tcW w:w="1745" w:type="dxa"/>
            <w:vAlign w:val="center"/>
          </w:tcPr>
          <w:p w14:paraId="6BB5A558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1.50(0.87-2.61)</w:t>
            </w:r>
          </w:p>
        </w:tc>
        <w:tc>
          <w:tcPr>
            <w:tcW w:w="971" w:type="dxa"/>
            <w:vAlign w:val="center"/>
          </w:tcPr>
          <w:p w14:paraId="32951449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0.146</w:t>
            </w:r>
          </w:p>
        </w:tc>
      </w:tr>
      <w:tr w14:paraId="5AC308C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2AF0CF19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Stage</w:t>
            </w:r>
          </w:p>
        </w:tc>
        <w:tc>
          <w:tcPr>
            <w:tcW w:w="1251" w:type="dxa"/>
            <w:vAlign w:val="center"/>
          </w:tcPr>
          <w:p w14:paraId="7345C879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StageⅠ/Ⅱ</w:t>
            </w:r>
          </w:p>
        </w:tc>
        <w:tc>
          <w:tcPr>
            <w:tcW w:w="1915" w:type="dxa"/>
            <w:vAlign w:val="center"/>
          </w:tcPr>
          <w:p w14:paraId="5728B45B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58" w:type="dxa"/>
            <w:vAlign w:val="center"/>
          </w:tcPr>
          <w:p w14:paraId="4F9BDE33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745" w:type="dxa"/>
            <w:vAlign w:val="center"/>
          </w:tcPr>
          <w:p w14:paraId="29A82DE2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71" w:type="dxa"/>
            <w:vAlign w:val="center"/>
          </w:tcPr>
          <w:p w14:paraId="33F50B66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</w:tr>
      <w:tr w14:paraId="696456F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07352B31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1DC6A94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StageⅢ/Ⅳ</w:t>
            </w:r>
          </w:p>
        </w:tc>
        <w:tc>
          <w:tcPr>
            <w:tcW w:w="1915" w:type="dxa"/>
            <w:vAlign w:val="center"/>
          </w:tcPr>
          <w:p w14:paraId="6959D925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3.64(2.36-5.63)</w:t>
            </w:r>
          </w:p>
        </w:tc>
        <w:tc>
          <w:tcPr>
            <w:tcW w:w="958" w:type="dxa"/>
            <w:vAlign w:val="center"/>
          </w:tcPr>
          <w:p w14:paraId="36EC490B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&lt;0.001</w:t>
            </w:r>
          </w:p>
        </w:tc>
        <w:tc>
          <w:tcPr>
            <w:tcW w:w="1745" w:type="dxa"/>
            <w:vAlign w:val="center"/>
          </w:tcPr>
          <w:p w14:paraId="21BAF45A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2.14(1.16-3.95)</w:t>
            </w:r>
          </w:p>
        </w:tc>
        <w:tc>
          <w:tcPr>
            <w:tcW w:w="971" w:type="dxa"/>
            <w:vAlign w:val="center"/>
          </w:tcPr>
          <w:p w14:paraId="1C3CF3D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0.015</w:t>
            </w:r>
          </w:p>
        </w:tc>
      </w:tr>
      <w:tr w14:paraId="5C1D089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4968972C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LM</w:t>
            </w:r>
          </w:p>
        </w:tc>
        <w:tc>
          <w:tcPr>
            <w:tcW w:w="1251" w:type="dxa"/>
            <w:vAlign w:val="center"/>
          </w:tcPr>
          <w:p w14:paraId="4C7C463B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LM-</w:t>
            </w:r>
          </w:p>
        </w:tc>
        <w:tc>
          <w:tcPr>
            <w:tcW w:w="1915" w:type="dxa"/>
            <w:vAlign w:val="center"/>
          </w:tcPr>
          <w:p w14:paraId="569F17B4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58" w:type="dxa"/>
            <w:vAlign w:val="center"/>
          </w:tcPr>
          <w:p w14:paraId="305D3F2A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745" w:type="dxa"/>
            <w:vAlign w:val="center"/>
          </w:tcPr>
          <w:p w14:paraId="044D01E2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71" w:type="dxa"/>
            <w:vAlign w:val="center"/>
          </w:tcPr>
          <w:p w14:paraId="194DE37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</w:tr>
      <w:tr w14:paraId="6119D5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60DEEB42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62F4267B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LM+</w:t>
            </w:r>
          </w:p>
        </w:tc>
        <w:tc>
          <w:tcPr>
            <w:tcW w:w="1915" w:type="dxa"/>
            <w:vAlign w:val="center"/>
          </w:tcPr>
          <w:p w14:paraId="4B751EEA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5.38(3.18-9.09)</w:t>
            </w:r>
          </w:p>
        </w:tc>
        <w:tc>
          <w:tcPr>
            <w:tcW w:w="958" w:type="dxa"/>
            <w:vAlign w:val="center"/>
          </w:tcPr>
          <w:p w14:paraId="672FD5DD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&lt;0.001</w:t>
            </w:r>
          </w:p>
        </w:tc>
        <w:tc>
          <w:tcPr>
            <w:tcW w:w="1745" w:type="dxa"/>
            <w:vAlign w:val="center"/>
          </w:tcPr>
          <w:p w14:paraId="312C7DD7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4.07(1.71-9.71)</w:t>
            </w:r>
          </w:p>
        </w:tc>
        <w:tc>
          <w:tcPr>
            <w:tcW w:w="971" w:type="dxa"/>
            <w:vAlign w:val="center"/>
          </w:tcPr>
          <w:p w14:paraId="12E472E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0.002</w:t>
            </w:r>
          </w:p>
        </w:tc>
      </w:tr>
      <w:tr w14:paraId="5CDB83A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371D7C95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bookmarkStart w:id="4" w:name="_Hlk192105421"/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DM</w:t>
            </w:r>
          </w:p>
        </w:tc>
        <w:tc>
          <w:tcPr>
            <w:tcW w:w="1251" w:type="dxa"/>
            <w:vAlign w:val="center"/>
          </w:tcPr>
          <w:p w14:paraId="01412CA3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DM-</w:t>
            </w:r>
          </w:p>
        </w:tc>
        <w:tc>
          <w:tcPr>
            <w:tcW w:w="1915" w:type="dxa"/>
            <w:vAlign w:val="center"/>
          </w:tcPr>
          <w:p w14:paraId="3C5A07C9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58" w:type="dxa"/>
            <w:vAlign w:val="center"/>
          </w:tcPr>
          <w:p w14:paraId="64E9880E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745" w:type="dxa"/>
            <w:vAlign w:val="center"/>
          </w:tcPr>
          <w:p w14:paraId="6E1564D0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71" w:type="dxa"/>
            <w:vAlign w:val="center"/>
          </w:tcPr>
          <w:p w14:paraId="45C976B3">
            <w:pPr>
              <w:widowControl/>
              <w:jc w:val="center"/>
              <w:textAlignment w:val="bottom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</w:tr>
      <w:tr w14:paraId="18D9629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6C5744BC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6AF4C5AC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DM+</w:t>
            </w:r>
          </w:p>
        </w:tc>
        <w:tc>
          <w:tcPr>
            <w:tcW w:w="1915" w:type="dxa"/>
            <w:vAlign w:val="center"/>
          </w:tcPr>
          <w:p w14:paraId="4B504E8C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5.93(3.69-9.51)</w:t>
            </w:r>
          </w:p>
        </w:tc>
        <w:tc>
          <w:tcPr>
            <w:tcW w:w="958" w:type="dxa"/>
            <w:vAlign w:val="center"/>
          </w:tcPr>
          <w:p w14:paraId="62E21C76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&lt;0.001</w:t>
            </w:r>
          </w:p>
        </w:tc>
        <w:tc>
          <w:tcPr>
            <w:tcW w:w="1745" w:type="dxa"/>
            <w:vAlign w:val="center"/>
          </w:tcPr>
          <w:p w14:paraId="176ABF46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2.39(1.18-4.86)</w:t>
            </w:r>
          </w:p>
        </w:tc>
        <w:tc>
          <w:tcPr>
            <w:tcW w:w="971" w:type="dxa"/>
            <w:vAlign w:val="center"/>
          </w:tcPr>
          <w:p w14:paraId="7538A330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0.016</w:t>
            </w:r>
          </w:p>
        </w:tc>
      </w:tr>
      <w:tr w14:paraId="4744288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66A757E0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Smoking</w:t>
            </w:r>
          </w:p>
        </w:tc>
        <w:tc>
          <w:tcPr>
            <w:tcW w:w="1251" w:type="dxa"/>
            <w:vAlign w:val="center"/>
          </w:tcPr>
          <w:p w14:paraId="3CE3083D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No</w:t>
            </w:r>
          </w:p>
        </w:tc>
        <w:tc>
          <w:tcPr>
            <w:tcW w:w="1915" w:type="dxa"/>
            <w:vAlign w:val="center"/>
          </w:tcPr>
          <w:p w14:paraId="6CBFDA28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58" w:type="dxa"/>
            <w:vAlign w:val="center"/>
          </w:tcPr>
          <w:p w14:paraId="1721341C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45" w:type="dxa"/>
            <w:vAlign w:val="center"/>
          </w:tcPr>
          <w:p w14:paraId="6FD8C825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71" w:type="dxa"/>
            <w:vAlign w:val="center"/>
          </w:tcPr>
          <w:p w14:paraId="6A833990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2848BB1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1CD45788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192EB9A0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Yes</w:t>
            </w:r>
          </w:p>
        </w:tc>
        <w:tc>
          <w:tcPr>
            <w:tcW w:w="1915" w:type="dxa"/>
            <w:vAlign w:val="center"/>
          </w:tcPr>
          <w:p w14:paraId="3093F1F6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1.18(0.76-1.85)</w:t>
            </w:r>
          </w:p>
        </w:tc>
        <w:tc>
          <w:tcPr>
            <w:tcW w:w="958" w:type="dxa"/>
            <w:vAlign w:val="center"/>
          </w:tcPr>
          <w:p w14:paraId="36B6451B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0.456</w:t>
            </w:r>
          </w:p>
        </w:tc>
        <w:tc>
          <w:tcPr>
            <w:tcW w:w="1745" w:type="dxa"/>
            <w:vAlign w:val="center"/>
          </w:tcPr>
          <w:p w14:paraId="0985F561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71" w:type="dxa"/>
            <w:vAlign w:val="center"/>
          </w:tcPr>
          <w:p w14:paraId="7323322C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0903BFA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093D6966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Drinking</w:t>
            </w:r>
          </w:p>
        </w:tc>
        <w:tc>
          <w:tcPr>
            <w:tcW w:w="1251" w:type="dxa"/>
            <w:vAlign w:val="center"/>
          </w:tcPr>
          <w:p w14:paraId="140128F4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NO</w:t>
            </w:r>
          </w:p>
        </w:tc>
        <w:tc>
          <w:tcPr>
            <w:tcW w:w="1915" w:type="dxa"/>
            <w:vAlign w:val="center"/>
          </w:tcPr>
          <w:p w14:paraId="0B8CC347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58" w:type="dxa"/>
            <w:vAlign w:val="center"/>
          </w:tcPr>
          <w:p w14:paraId="322C3BD5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45" w:type="dxa"/>
            <w:vAlign w:val="center"/>
          </w:tcPr>
          <w:p w14:paraId="66002754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71" w:type="dxa"/>
            <w:vAlign w:val="center"/>
          </w:tcPr>
          <w:p w14:paraId="2EF1B043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6E0701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6FDC1DD1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6A70C4F2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Yes</w:t>
            </w:r>
          </w:p>
        </w:tc>
        <w:tc>
          <w:tcPr>
            <w:tcW w:w="1915" w:type="dxa"/>
            <w:vAlign w:val="center"/>
          </w:tcPr>
          <w:p w14:paraId="03407905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1.57(0.89-2.79)</w:t>
            </w:r>
          </w:p>
        </w:tc>
        <w:tc>
          <w:tcPr>
            <w:tcW w:w="958" w:type="dxa"/>
            <w:vAlign w:val="center"/>
          </w:tcPr>
          <w:p w14:paraId="5B6F6704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0.123</w:t>
            </w:r>
          </w:p>
        </w:tc>
        <w:tc>
          <w:tcPr>
            <w:tcW w:w="1745" w:type="dxa"/>
            <w:vAlign w:val="center"/>
          </w:tcPr>
          <w:p w14:paraId="5BCFF91E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971" w:type="dxa"/>
            <w:vAlign w:val="center"/>
          </w:tcPr>
          <w:p w14:paraId="5494DD9F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0C41305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1DE15017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  <w:r>
              <w:rPr>
                <w:rFonts w:ascii="Arial" w:hAnsi="Arial" w:eastAsia="宋体" w:cs="Arial"/>
                <w:kern w:val="0"/>
                <w:sz w:val="21"/>
                <w:szCs w:val="21"/>
              </w:rPr>
              <w:t>Size</w:t>
            </w:r>
          </w:p>
        </w:tc>
        <w:tc>
          <w:tcPr>
            <w:tcW w:w="1251" w:type="dxa"/>
            <w:vAlign w:val="center"/>
          </w:tcPr>
          <w:p w14:paraId="67CA535A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≤30</w:t>
            </w:r>
          </w:p>
        </w:tc>
        <w:tc>
          <w:tcPr>
            <w:tcW w:w="1915" w:type="dxa"/>
            <w:vAlign w:val="center"/>
          </w:tcPr>
          <w:p w14:paraId="57EC8B18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58" w:type="dxa"/>
            <w:vAlign w:val="center"/>
          </w:tcPr>
          <w:p w14:paraId="28A10B09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1745" w:type="dxa"/>
            <w:vAlign w:val="center"/>
          </w:tcPr>
          <w:p w14:paraId="453120A6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1.00 (Reference)</w:t>
            </w:r>
          </w:p>
        </w:tc>
        <w:tc>
          <w:tcPr>
            <w:tcW w:w="971" w:type="dxa"/>
            <w:vAlign w:val="center"/>
          </w:tcPr>
          <w:p w14:paraId="08BE6BFB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 w14:paraId="020B51B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3BE816E7">
            <w:pPr>
              <w:spacing w:line="360" w:lineRule="auto"/>
              <w:jc w:val="center"/>
              <w:rPr>
                <w:rFonts w:ascii="Arial" w:hAnsi="Arial" w:eastAsia="宋体" w:cs="Arial"/>
                <w:kern w:val="0"/>
                <w:sz w:val="21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51C37695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&gt;30</w:t>
            </w:r>
          </w:p>
        </w:tc>
        <w:tc>
          <w:tcPr>
            <w:tcW w:w="1915" w:type="dxa"/>
            <w:vAlign w:val="center"/>
          </w:tcPr>
          <w:p w14:paraId="52A903BA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2.02(1.21-3.37)</w:t>
            </w:r>
          </w:p>
        </w:tc>
        <w:tc>
          <w:tcPr>
            <w:tcW w:w="958" w:type="dxa"/>
            <w:vAlign w:val="center"/>
          </w:tcPr>
          <w:p w14:paraId="3900C8FE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0.008</w:t>
            </w:r>
          </w:p>
        </w:tc>
        <w:tc>
          <w:tcPr>
            <w:tcW w:w="1745" w:type="dxa"/>
            <w:vAlign w:val="center"/>
          </w:tcPr>
          <w:p w14:paraId="6E2B8A9E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0.59(0.33-1.05)</w:t>
            </w:r>
          </w:p>
        </w:tc>
        <w:tc>
          <w:tcPr>
            <w:tcW w:w="971" w:type="dxa"/>
            <w:vAlign w:val="center"/>
          </w:tcPr>
          <w:p w14:paraId="1771C124">
            <w:pPr>
              <w:widowControl/>
              <w:jc w:val="center"/>
              <w:textAlignment w:val="bottom"/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1"/>
                <w:szCs w:val="21"/>
                <w:lang w:bidi="ar"/>
              </w:rPr>
              <w:t>0.073</w:t>
            </w:r>
          </w:p>
        </w:tc>
      </w:tr>
      <w:bookmarkEnd w:id="3"/>
      <w:bookmarkEnd w:id="4"/>
    </w:tbl>
    <w:p w14:paraId="074B29A3">
      <w:pPr>
        <w:rPr>
          <w:rFonts w:ascii="Arial" w:hAnsi="Arial" w:eastAsia="宋体" w:cs="Arial"/>
          <w:b/>
          <w:bCs/>
          <w:sz w:val="30"/>
          <w:szCs w:val="30"/>
        </w:rPr>
      </w:pPr>
      <w:r>
        <w:rPr>
          <w:rFonts w:hint="eastAsia" w:ascii="Arial" w:hAnsi="Arial" w:cs="Arial"/>
        </w:rPr>
        <w:t>LM,lymph node metastasis DM,distant metastases HR,Hazards ratio CI,Confidence Interval</w:t>
      </w:r>
      <w:r>
        <w:rPr>
          <w:rFonts w:ascii="Arial" w:hAnsi="Arial" w:eastAsia="宋体" w:cs="Arial"/>
          <w:b/>
          <w:bCs/>
          <w:sz w:val="30"/>
          <w:szCs w:val="30"/>
        </w:rPr>
        <w:br w:type="page"/>
      </w:r>
    </w:p>
    <w:bookmarkEnd w:id="0"/>
    <w:bookmarkEnd w:id="1"/>
    <w:p w14:paraId="1FD764B6">
      <w:pPr>
        <w:spacing w:before="120" w:after="120"/>
        <w:jc w:val="left"/>
        <w:rPr>
          <w:rFonts w:ascii="Arial" w:hAnsi="Arial" w:cs="Arial"/>
        </w:rPr>
      </w:pPr>
      <w:r>
        <w:rPr>
          <w:rFonts w:ascii="Arial" w:hAnsi="Arial" w:eastAsia="宋体" w:cs="Arial"/>
          <w:b/>
          <w:bCs/>
          <w:sz w:val="30"/>
          <w:szCs w:val="30"/>
        </w:rPr>
        <w:t>Supplementary Figures</w:t>
      </w:r>
    </w:p>
    <w:p w14:paraId="253F69C5">
      <w:pPr>
        <w:spacing w:line="360" w:lineRule="auto"/>
        <w:rPr>
          <w:rFonts w:ascii="Arial" w:hAnsi="Arial" w:cs="Arial"/>
          <w:iCs/>
          <w:sz w:val="24"/>
        </w:rPr>
      </w:pPr>
      <w:r>
        <w:rPr>
          <w:rFonts w:ascii="Arial" w:hAnsi="Arial" w:cs="Arial"/>
          <w:iCs/>
          <w:sz w:val="24"/>
        </w:rPr>
        <w:drawing>
          <wp:inline distT="0" distB="0" distL="114300" distR="114300">
            <wp:extent cx="5380990" cy="7390765"/>
            <wp:effectExtent l="0" t="0" r="0" b="0"/>
            <wp:docPr id="7" name="图片 7" descr="figure S1-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1-1_画板 1"/>
                    <pic:cNvPicPr>
                      <a:picLocks noChangeAspect="1"/>
                    </pic:cNvPicPr>
                  </pic:nvPicPr>
                  <pic:blipFill>
                    <a:blip r:embed="rId4"/>
                    <a:srcRect r="831" b="31899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6144">
      <w:pPr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</w:rPr>
        <w:t>Figure S1. APOC3 expression and its prognostic value across clinicopathological characteristics in LUAD.</w:t>
      </w:r>
    </w:p>
    <w:p w14:paraId="24A5381C">
      <w:pPr>
        <w:rPr>
          <w:rFonts w:ascii="Arial" w:hAnsi="Arial" w:cs="Arial"/>
          <w:szCs w:val="21"/>
        </w:rPr>
      </w:pPr>
      <w:r>
        <w:rPr>
          <w:rFonts w:hint="eastAsia" w:ascii="Arial" w:hAnsi="Arial" w:cs="Arial"/>
          <w:b/>
          <w:bCs/>
          <w:szCs w:val="21"/>
        </w:rPr>
        <w:t xml:space="preserve">A-I </w:t>
      </w:r>
      <w:r>
        <w:rPr>
          <w:rFonts w:ascii="Arial" w:hAnsi="Arial" w:cs="Arial"/>
          <w:szCs w:val="21"/>
        </w:rPr>
        <w:t>The high expression rate of APOC3 in LUAD patients with different clinical characteristics.</w:t>
      </w:r>
      <w:r>
        <w:rPr>
          <w:rFonts w:hint="eastAsia" w:ascii="Arial" w:hAnsi="Arial" w:cs="Arial"/>
          <w:szCs w:val="21"/>
        </w:rPr>
        <w:t xml:space="preserve"> </w:t>
      </w:r>
      <w:r>
        <w:rPr>
          <w:rFonts w:hint="eastAsia" w:ascii="Arial" w:hAnsi="Arial" w:cs="Arial"/>
          <w:b/>
          <w:bCs/>
          <w:szCs w:val="21"/>
        </w:rPr>
        <w:t>J-X</w:t>
      </w:r>
      <w:r>
        <w:rPr>
          <w:rFonts w:hint="eastAsia" w:ascii="Arial" w:hAnsi="Arial" w:cs="Arial"/>
          <w:szCs w:val="21"/>
        </w:rPr>
        <w:t xml:space="preserve"> Kaplan-Meier curves stratified by APOC3 expression and clinical features.</w:t>
      </w:r>
    </w:p>
    <w:p w14:paraId="71664BCE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PDL1: Programmed death receptor 1; EGFR: Epidermal growth factor receptor; ALK: Anaplastic lymphoma kinase;</w:t>
      </w:r>
      <w:r>
        <w:rPr>
          <w:rFonts w:hint="eastAsia" w:ascii="Arial" w:hAnsi="Arial" w:cs="Arial"/>
          <w:szCs w:val="21"/>
        </w:rPr>
        <w:t xml:space="preserve"> </w:t>
      </w:r>
      <w:r>
        <w:rPr>
          <w:rFonts w:hint="eastAsia" w:ascii="Arial" w:hAnsi="Arial" w:cs="Arial"/>
        </w:rPr>
        <w:t xml:space="preserve">LM: lymph node metastasis; DM: distant metastases; HR: Hazards ratio; CI: Confidence Interval. </w:t>
      </w:r>
      <w:r>
        <w:rPr>
          <w:rFonts w:ascii="Arial" w:hAnsi="Arial" w:cs="Arial"/>
          <w:szCs w:val="21"/>
        </w:rPr>
        <w:t>*</w:t>
      </w:r>
      <w:r>
        <w:rPr>
          <w:rFonts w:ascii="Arial" w:hAnsi="Arial" w:cs="Arial"/>
          <w:i/>
          <w:iCs/>
          <w:szCs w:val="21"/>
        </w:rPr>
        <w:t>P</w:t>
      </w:r>
      <w:r>
        <w:rPr>
          <w:rFonts w:ascii="Arial" w:hAnsi="Arial" w:cs="Arial"/>
          <w:szCs w:val="21"/>
        </w:rPr>
        <w:t>&lt;0.05，**</w:t>
      </w:r>
      <w:r>
        <w:rPr>
          <w:rFonts w:ascii="Arial" w:hAnsi="Arial" w:cs="Arial"/>
          <w:i/>
          <w:iCs/>
          <w:szCs w:val="21"/>
        </w:rPr>
        <w:t>P</w:t>
      </w:r>
      <w:r>
        <w:rPr>
          <w:rFonts w:ascii="Arial" w:hAnsi="Arial" w:cs="Arial"/>
          <w:szCs w:val="21"/>
        </w:rPr>
        <w:t>&lt;0.01，***</w:t>
      </w:r>
      <w:r>
        <w:rPr>
          <w:rFonts w:ascii="Arial" w:hAnsi="Arial" w:cs="Arial"/>
          <w:i/>
          <w:iCs/>
          <w:szCs w:val="21"/>
        </w:rPr>
        <w:t>P</w:t>
      </w:r>
      <w:r>
        <w:rPr>
          <w:rFonts w:ascii="Arial" w:hAnsi="Arial" w:cs="Arial"/>
          <w:szCs w:val="21"/>
        </w:rPr>
        <w:t>&lt;0.001</w:t>
      </w:r>
    </w:p>
    <w:p w14:paraId="7C772288">
      <w:pPr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szCs w:val="21"/>
        </w:rPr>
        <w:br w:type="page"/>
      </w:r>
    </w:p>
    <w:p w14:paraId="0174AFA0">
      <w:pPr>
        <w:jc w:val="center"/>
        <w:rPr>
          <w:rFonts w:ascii="Arial" w:hAnsi="Arial" w:eastAsia="黑体" w:cs="Arial"/>
          <w:sz w:val="24"/>
        </w:rPr>
      </w:pPr>
      <w:r>
        <w:rPr>
          <w:rFonts w:ascii="Arial" w:hAnsi="Arial" w:cs="Arial"/>
        </w:rPr>
        <w:drawing>
          <wp:inline distT="0" distB="0" distL="114300" distR="114300">
            <wp:extent cx="5271135" cy="6933565"/>
            <wp:effectExtent l="0" t="0" r="0" b="0"/>
            <wp:docPr id="2" name="图片 2" descr="附图-终-加粗版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图-终-加粗版_画板 1"/>
                    <pic:cNvPicPr>
                      <a:picLocks noChangeAspect="1"/>
                    </pic:cNvPicPr>
                  </pic:nvPicPr>
                  <pic:blipFill>
                    <a:blip r:embed="rId5"/>
                    <a:srcRect t="2948" b="40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361C">
      <w:pPr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szCs w:val="21"/>
        </w:rPr>
        <w:t>Figure S</w:t>
      </w:r>
      <w:r>
        <w:rPr>
          <w:rFonts w:hint="eastAsia" w:ascii="Arial" w:hAnsi="Arial" w:cs="Arial"/>
          <w:b/>
          <w:bCs/>
          <w:szCs w:val="21"/>
        </w:rPr>
        <w:t>2</w:t>
      </w:r>
      <w:r>
        <w:rPr>
          <w:rFonts w:ascii="Arial" w:hAnsi="Arial" w:cs="Arial"/>
          <w:b/>
          <w:bCs/>
          <w:szCs w:val="21"/>
        </w:rPr>
        <w:t>. APOC3 enhances the proliferation, migration, invasion, and EMT of LUAD cells. A</w:t>
      </w:r>
      <w:r>
        <w:rPr>
          <w:rFonts w:ascii="Arial" w:hAnsi="Arial" w:cs="Arial"/>
          <w:szCs w:val="21"/>
        </w:rPr>
        <w:t xml:space="preserve"> Western blot analysis of APOC</w:t>
      </w:r>
      <w:r>
        <w:rPr>
          <w:rFonts w:hint="eastAsia" w:ascii="Arial" w:hAnsi="Arial" w:cs="Arial"/>
          <w:szCs w:val="21"/>
        </w:rPr>
        <w:t>3</w:t>
      </w:r>
      <w:r>
        <w:rPr>
          <w:rFonts w:ascii="Arial" w:hAnsi="Arial" w:cs="Arial"/>
          <w:szCs w:val="21"/>
        </w:rPr>
        <w:t xml:space="preserve"> protein levels in various </w:t>
      </w:r>
      <w:r>
        <w:rPr>
          <w:rFonts w:hint="eastAsia" w:ascii="Arial" w:hAnsi="Arial" w:cs="Arial"/>
          <w:szCs w:val="21"/>
        </w:rPr>
        <w:t>LUAD</w:t>
      </w:r>
      <w:r>
        <w:rPr>
          <w:rFonts w:ascii="Arial" w:hAnsi="Arial" w:cs="Arial"/>
          <w:szCs w:val="21"/>
        </w:rPr>
        <w:t xml:space="preserve"> cell lines and normal</w:t>
      </w:r>
      <w:r>
        <w:rPr>
          <w:rFonts w:hint="eastAsia"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pulmonary epithelial cell line </w:t>
      </w:r>
      <w:r>
        <w:rPr>
          <w:rFonts w:hint="eastAsia" w:ascii="Arial" w:hAnsi="Arial" w:cs="Arial"/>
          <w:szCs w:val="21"/>
        </w:rPr>
        <w:t>BASE-2B</w:t>
      </w:r>
      <w:r>
        <w:rPr>
          <w:rFonts w:ascii="Arial" w:hAnsi="Arial" w:cs="Arial"/>
          <w:szCs w:val="21"/>
        </w:rPr>
        <w:t>.</w:t>
      </w:r>
      <w:r>
        <w:rPr>
          <w:rFonts w:hint="eastAsia" w:ascii="Arial" w:hAnsi="Arial" w:cs="Arial"/>
          <w:szCs w:val="21"/>
        </w:rPr>
        <w:t xml:space="preserve"> </w:t>
      </w:r>
      <w:r>
        <w:rPr>
          <w:rFonts w:ascii="Arial" w:hAnsi="Arial" w:cs="Arial"/>
          <w:b/>
          <w:bCs/>
          <w:szCs w:val="21"/>
        </w:rPr>
        <w:t>B</w:t>
      </w:r>
      <w:r>
        <w:rPr>
          <w:rFonts w:ascii="Arial" w:hAnsi="Arial" w:cs="Arial"/>
          <w:szCs w:val="21"/>
        </w:rPr>
        <w:t xml:space="preserve"> Validation of APOC3 knockdown efficiency in PC9 cells at the protein levels by Western blot. </w:t>
      </w:r>
      <w:r>
        <w:rPr>
          <w:rFonts w:hint="eastAsia" w:ascii="Arial" w:hAnsi="Arial" w:cs="Arial"/>
          <w:b/>
          <w:bCs/>
          <w:szCs w:val="21"/>
          <w:lang w:val="en-US" w:eastAsia="zh-CN"/>
        </w:rPr>
        <w:t>C</w:t>
      </w:r>
      <w:r>
        <w:rPr>
          <w:rFonts w:ascii="Arial" w:hAnsi="Arial" w:cs="Arial"/>
          <w:b/>
          <w:bCs/>
          <w:szCs w:val="21"/>
        </w:rPr>
        <w:t>-</w:t>
      </w:r>
      <w:r>
        <w:rPr>
          <w:rFonts w:hint="eastAsia" w:ascii="Arial" w:hAnsi="Arial" w:cs="Arial"/>
          <w:b/>
          <w:bCs/>
          <w:szCs w:val="21"/>
          <w:lang w:val="en-US" w:eastAsia="zh-CN"/>
        </w:rPr>
        <w:t>E</w:t>
      </w:r>
      <w:r>
        <w:rPr>
          <w:rFonts w:ascii="Arial" w:hAnsi="Arial" w:cs="Arial"/>
          <w:szCs w:val="21"/>
        </w:rPr>
        <w:t xml:space="preserve"> CCK-8 assays assessing the proliferative capacity of A549, H1975, and PC-9 cells upon APOC3 modulation. </w:t>
      </w:r>
      <w:r>
        <w:rPr>
          <w:rFonts w:hint="eastAsia" w:ascii="Arial" w:hAnsi="Arial" w:cs="Arial"/>
          <w:b/>
          <w:bCs/>
          <w:szCs w:val="21"/>
          <w:lang w:val="en-US" w:eastAsia="zh-CN"/>
        </w:rPr>
        <w:t>F</w:t>
      </w:r>
      <w:r>
        <w:rPr>
          <w:rFonts w:ascii="Arial" w:hAnsi="Arial" w:cs="Arial"/>
          <w:szCs w:val="21"/>
        </w:rPr>
        <w:t xml:space="preserve"> Colony formation assays demonstrating the effect of APOC3 knockdown on the clonogenic survival of PC-9 cells. </w:t>
      </w:r>
      <w:r>
        <w:rPr>
          <w:rFonts w:hint="eastAsia" w:ascii="Arial" w:hAnsi="Arial" w:cs="Arial"/>
          <w:b/>
          <w:bCs/>
          <w:szCs w:val="21"/>
          <w:lang w:val="en-US" w:eastAsia="zh-CN"/>
        </w:rPr>
        <w:t>G</w:t>
      </w:r>
      <w:r>
        <w:rPr>
          <w:rFonts w:ascii="Arial" w:hAnsi="Arial" w:cs="Arial"/>
          <w:szCs w:val="21"/>
        </w:rPr>
        <w:t xml:space="preserve"> Wound healing assays measuring the lateral migration of PC-9 cells influenced by APOC3 expression.</w:t>
      </w:r>
      <w:r>
        <w:rPr>
          <w:rFonts w:hint="eastAsia" w:ascii="Arial" w:hAnsi="Arial" w:cs="Arial"/>
          <w:szCs w:val="21"/>
          <w:lang w:val="en-US" w:eastAsia="zh-CN"/>
        </w:rPr>
        <w:t xml:space="preserve"> </w:t>
      </w:r>
      <w:r>
        <w:rPr>
          <w:rFonts w:hint="eastAsia" w:ascii="Arial" w:hAnsi="Arial" w:cs="Arial"/>
          <w:b/>
          <w:bCs/>
          <w:szCs w:val="21"/>
          <w:lang w:val="en-US" w:eastAsia="zh-CN"/>
        </w:rPr>
        <w:t>H-J</w:t>
      </w:r>
      <w:r>
        <w:rPr>
          <w:rFonts w:hint="eastAsia" w:ascii="Arial" w:hAnsi="Arial" w:cs="Arial"/>
          <w:szCs w:val="21"/>
          <w:lang w:val="en-US" w:eastAsia="zh-CN"/>
        </w:rPr>
        <w:t xml:space="preserve"> </w:t>
      </w:r>
      <w:r>
        <w:rPr>
          <w:rFonts w:ascii="Arial" w:hAnsi="Arial" w:cs="Arial"/>
          <w:szCs w:val="21"/>
        </w:rPr>
        <w:t xml:space="preserve">Transwell assays evaluating the invasive and migratory capacities of PC-9 cells after APOC3 knockdown. </w:t>
      </w:r>
      <w:r>
        <w:rPr>
          <w:rFonts w:ascii="Arial" w:hAnsi="Arial" w:cs="Arial"/>
          <w:b/>
          <w:bCs/>
          <w:szCs w:val="21"/>
        </w:rPr>
        <w:t>K</w:t>
      </w:r>
      <w:r>
        <w:rPr>
          <w:rFonts w:ascii="Arial" w:hAnsi="Arial" w:cs="Arial"/>
          <w:szCs w:val="21"/>
        </w:rPr>
        <w:t xml:space="preserve"> Western blot analysis of epithelial-mesenchymal transition (EMT) marker expression in PC-9 cells following APOC3 knockdown. </w:t>
      </w:r>
      <w:r>
        <w:rPr>
          <w:rFonts w:ascii="Arial" w:hAnsi="Arial" w:cs="Arial"/>
          <w:b/>
          <w:bCs/>
          <w:szCs w:val="21"/>
        </w:rPr>
        <w:t>L</w:t>
      </w:r>
      <w:r>
        <w:rPr>
          <w:rFonts w:ascii="Arial" w:hAnsi="Arial" w:cs="Arial"/>
          <w:szCs w:val="21"/>
        </w:rPr>
        <w:t xml:space="preserve"> Representative H&amp;E-stained lung sections showing metastatic nodules formed by A549 cells with APOC3 overexpression in vivo.</w:t>
      </w:r>
      <w:r>
        <w:rPr>
          <w:rFonts w:ascii="Arial" w:hAnsi="Arial" w:cs="Arial"/>
          <w:szCs w:val="21"/>
        </w:rPr>
        <w:br w:type="page"/>
      </w:r>
    </w:p>
    <w:p w14:paraId="4262B7B9">
      <w:pPr>
        <w:jc w:val="center"/>
        <w:rPr>
          <w:rFonts w:hint="eastAsia" w:ascii="Arial" w:hAnsi="Arial" w:cs="Arial" w:eastAsiaTheme="minorEastAsia"/>
          <w:szCs w:val="21"/>
          <w:lang w:eastAsia="zh-CN"/>
        </w:rPr>
      </w:pPr>
      <w:r>
        <w:rPr>
          <w:rFonts w:hint="eastAsia" w:ascii="Arial" w:hAnsi="Arial" w:cs="Arial" w:eastAsiaTheme="minorEastAsia"/>
          <w:szCs w:val="21"/>
          <w:lang w:eastAsia="zh-CN"/>
        </w:rPr>
        <w:drawing>
          <wp:inline distT="0" distB="0" distL="114300" distR="114300">
            <wp:extent cx="5271135" cy="4521835"/>
            <wp:effectExtent l="0" t="0" r="0" b="0"/>
            <wp:docPr id="4" name="图片 4" descr="附图-1-加粗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图-1-加粗_画板 1"/>
                    <pic:cNvPicPr>
                      <a:picLocks noChangeAspect="1"/>
                    </pic:cNvPicPr>
                  </pic:nvPicPr>
                  <pic:blipFill>
                    <a:blip r:embed="rId6"/>
                    <a:srcRect t="1934" b="3738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1AA2">
      <w:pPr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</w:rPr>
        <w:t>Fig. S</w:t>
      </w:r>
      <w:r>
        <w:rPr>
          <w:rFonts w:hint="eastAsia"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 APOC3 inhibits fatty acid metabolism in lung adenocarcinoma. A. </w:t>
      </w:r>
      <w:r>
        <w:rPr>
          <w:rFonts w:ascii="Arial" w:hAnsi="Arial" w:cs="Arial"/>
        </w:rPr>
        <w:t>Representative images of Oil Red O staining showing lipid droplets in A549 and H1975 cells transfected with APOC3 or empty vector.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B-C</w:t>
      </w:r>
      <w:r>
        <w:rPr>
          <w:rFonts w:ascii="Arial" w:hAnsi="Arial" w:cs="Arial"/>
        </w:rPr>
        <w:t>. Quantification of Oil Red O staining intensity in A549</w:t>
      </w:r>
      <w:r>
        <w:rPr>
          <w:rFonts w:ascii="Arial" w:hAnsi="Arial" w:cs="Arial"/>
          <w:b/>
          <w:bCs/>
        </w:rPr>
        <w:t> (B) </w:t>
      </w:r>
      <w:r>
        <w:rPr>
          <w:rFonts w:ascii="Arial" w:hAnsi="Arial" w:cs="Arial"/>
        </w:rPr>
        <w:t>and H1975</w:t>
      </w:r>
      <w:r>
        <w:rPr>
          <w:rFonts w:ascii="Arial" w:hAnsi="Arial" w:cs="Arial"/>
          <w:b/>
          <w:bCs/>
        </w:rPr>
        <w:t> (C) </w:t>
      </w:r>
      <w:r>
        <w:rPr>
          <w:rFonts w:ascii="Arial" w:hAnsi="Arial" w:cs="Arial"/>
        </w:rPr>
        <w:t>cells from panel</w:t>
      </w:r>
      <w:r>
        <w:rPr>
          <w:rFonts w:ascii="Arial" w:hAnsi="Arial" w:cs="Arial"/>
          <w:b/>
          <w:bCs/>
        </w:rPr>
        <w:t xml:space="preserve"> A.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D. </w:t>
      </w:r>
      <w:r>
        <w:rPr>
          <w:rFonts w:ascii="Arial" w:hAnsi="Arial" w:cs="Arial"/>
        </w:rPr>
        <w:t>Intracellular lipid droplet content assessed by Nile Red staining upon APOC3 knockdown</w:t>
      </w:r>
      <w:r>
        <w:rPr>
          <w:rFonts w:ascii="Arial" w:hAnsi="Arial" w:cs="Arial"/>
          <w:b/>
          <w:bCs/>
        </w:rPr>
        <w:t>.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E. </w:t>
      </w:r>
      <w:r>
        <w:rPr>
          <w:rFonts w:ascii="Arial" w:hAnsi="Arial" w:cs="Arial"/>
        </w:rPr>
        <w:t>Mitochondrial activity measured by MitoTracker probe following APOC3 knockdown</w:t>
      </w:r>
      <w:r>
        <w:rPr>
          <w:rFonts w:ascii="Arial" w:hAnsi="Arial" w:cs="Arial"/>
          <w:b/>
          <w:bCs/>
        </w:rPr>
        <w:t>.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F. </w:t>
      </w:r>
      <w:r>
        <w:rPr>
          <w:rFonts w:ascii="Arial" w:hAnsi="Arial" w:cs="Arial"/>
        </w:rPr>
        <w:t>Intracellular free fatty acid (FFA) levels after APOC3 knockdown, as determined by a commercial assay kit.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G. </w:t>
      </w:r>
      <w:r>
        <w:rPr>
          <w:rFonts w:ascii="Arial" w:hAnsi="Arial" w:cs="Arial"/>
        </w:rPr>
        <w:t>Fatty acid oxidation</w:t>
      </w:r>
      <w:r>
        <w:rPr>
          <w:rFonts w:ascii="Arial" w:hAnsi="Arial" w:cs="Arial"/>
          <w:b/>
          <w:bCs/>
        </w:rPr>
        <w:t xml:space="preserve"> (FAO) </w:t>
      </w:r>
      <w:r>
        <w:rPr>
          <w:rFonts w:ascii="Arial" w:hAnsi="Arial" w:cs="Arial"/>
        </w:rPr>
        <w:t>capacity in PC-9 cells with APOC3 knockdown.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H. </w:t>
      </w:r>
      <w:r>
        <w:rPr>
          <w:rFonts w:ascii="Arial" w:hAnsi="Arial" w:cs="Arial"/>
        </w:rPr>
        <w:t>Western blot analysis of CPT1A protein expression after APOC3 knockdown.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I. </w:t>
      </w:r>
      <w:r>
        <w:rPr>
          <w:rFonts w:ascii="Arial" w:hAnsi="Arial" w:cs="Arial"/>
        </w:rPr>
        <w:t>Intracellular ATP levels measured upon APOC3 knockdown.</w:t>
      </w:r>
      <w:r>
        <w:rPr>
          <w:rFonts w:ascii="Arial" w:hAnsi="Arial" w:cs="Arial"/>
          <w:szCs w:val="21"/>
        </w:rPr>
        <w:br w:type="page"/>
      </w:r>
    </w:p>
    <w:p w14:paraId="0A1D9E4F">
      <w:pPr>
        <w:jc w:val="center"/>
        <w:rPr>
          <w:rFonts w:ascii="Arial" w:hAnsi="Arial" w:cs="Arial"/>
          <w:szCs w:val="21"/>
        </w:rPr>
      </w:pPr>
      <w:bookmarkStart w:id="5" w:name="_GoBack"/>
      <w:bookmarkEnd w:id="5"/>
      <w:r>
        <w:rPr>
          <w:rFonts w:ascii="Arial" w:hAnsi="Arial" w:cs="Arial"/>
          <w:szCs w:val="21"/>
        </w:rPr>
        <w:drawing>
          <wp:inline distT="0" distB="0" distL="114300" distR="114300">
            <wp:extent cx="5271135" cy="3698875"/>
            <wp:effectExtent l="0" t="0" r="0" b="0"/>
            <wp:docPr id="6" name="图片 6" descr="附图-加粗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图-加粗_画板 1"/>
                    <pic:cNvPicPr>
                      <a:picLocks noChangeAspect="1"/>
                    </pic:cNvPicPr>
                  </pic:nvPicPr>
                  <pic:blipFill>
                    <a:blip r:embed="rId7"/>
                    <a:srcRect t="6493" b="438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EDE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Fig. S</w:t>
      </w:r>
      <w:r>
        <w:rPr>
          <w:rFonts w:hint="eastAsia"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 xml:space="preserve"> APOC3 inhibits fatty acid metabolism through the cAMP/PKA signaling pathway.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Heatmap showing the expression of indicated target genes in APOC3-overexpressing (OE) and negative control (NC) cells.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B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Intracellular cAMP levels in H1975 cells after APOC3 overexpression.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C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</w:rPr>
        <w:t>Western blot analysis of key proteins in the cAMP/PKA signaling pathway following APOC3 overexpression in H1975 cells.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D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Intracellular free fatty acid (FFA) levels in APOC3-OE H1975 cells.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E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Fatty acid oxidation (FAO) enzyme activity in H1975 cells upon APOC3 overexpression.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> Intracellular ATP levels in H1975 cells with APOC3 overexpression.</w:t>
      </w:r>
    </w:p>
    <w:p w14:paraId="480A83E6">
      <w:pPr>
        <w:rPr>
          <w:rFonts w:ascii="Arial" w:hAnsi="Arial" w:cs="Arial"/>
          <w:b/>
          <w:bCs/>
        </w:rPr>
      </w:pPr>
    </w:p>
    <w:p w14:paraId="5672F07C">
      <w:pPr>
        <w:rPr>
          <w:rFonts w:ascii="Arial" w:hAnsi="Arial" w:cs="Arial"/>
          <w:szCs w:val="21"/>
        </w:rPr>
      </w:pPr>
    </w:p>
    <w:p w14:paraId="1280AE66">
      <w:pPr>
        <w:rPr>
          <w:rFonts w:ascii="Arial" w:hAnsi="Arial" w:eastAsia="宋体" w:cs="Arial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MzZDQ2MDllODI4Yzg5OTRiYzA4NGYyZGEzMzM4MTIifQ=="/>
  </w:docVars>
  <w:rsids>
    <w:rsidRoot w:val="00C56B94"/>
    <w:rsid w:val="0025287C"/>
    <w:rsid w:val="002E24B4"/>
    <w:rsid w:val="002F4B00"/>
    <w:rsid w:val="0041014C"/>
    <w:rsid w:val="0056346C"/>
    <w:rsid w:val="00645905"/>
    <w:rsid w:val="006B1B18"/>
    <w:rsid w:val="00790214"/>
    <w:rsid w:val="0093292B"/>
    <w:rsid w:val="00A80373"/>
    <w:rsid w:val="00AC25BD"/>
    <w:rsid w:val="00C56B94"/>
    <w:rsid w:val="00C57CE5"/>
    <w:rsid w:val="00C67A0E"/>
    <w:rsid w:val="00D07250"/>
    <w:rsid w:val="00EA7769"/>
    <w:rsid w:val="00F7447A"/>
    <w:rsid w:val="00FF6FA5"/>
    <w:rsid w:val="018E35DD"/>
    <w:rsid w:val="07222CE0"/>
    <w:rsid w:val="08931228"/>
    <w:rsid w:val="0A2B4575"/>
    <w:rsid w:val="0B9A2898"/>
    <w:rsid w:val="0BE072E6"/>
    <w:rsid w:val="146111FA"/>
    <w:rsid w:val="15762BFF"/>
    <w:rsid w:val="15954573"/>
    <w:rsid w:val="16187FD4"/>
    <w:rsid w:val="185A63E3"/>
    <w:rsid w:val="1AEF1070"/>
    <w:rsid w:val="1D350989"/>
    <w:rsid w:val="202B4C10"/>
    <w:rsid w:val="21104793"/>
    <w:rsid w:val="24DB7870"/>
    <w:rsid w:val="2A60483F"/>
    <w:rsid w:val="2DD77BAA"/>
    <w:rsid w:val="2E314855"/>
    <w:rsid w:val="2EDF00EA"/>
    <w:rsid w:val="30BC6928"/>
    <w:rsid w:val="33036BB7"/>
    <w:rsid w:val="374F2671"/>
    <w:rsid w:val="3B46053A"/>
    <w:rsid w:val="3BE02ED0"/>
    <w:rsid w:val="3C4E2E6C"/>
    <w:rsid w:val="3E0944AC"/>
    <w:rsid w:val="3EAD7D44"/>
    <w:rsid w:val="3FC1112D"/>
    <w:rsid w:val="40CE10C3"/>
    <w:rsid w:val="423F1381"/>
    <w:rsid w:val="44352E99"/>
    <w:rsid w:val="48670FF2"/>
    <w:rsid w:val="4CBF7DFD"/>
    <w:rsid w:val="4D6E71AB"/>
    <w:rsid w:val="4E7E05C7"/>
    <w:rsid w:val="5046043F"/>
    <w:rsid w:val="51D62269"/>
    <w:rsid w:val="52427D57"/>
    <w:rsid w:val="532C45EF"/>
    <w:rsid w:val="5662620E"/>
    <w:rsid w:val="577D76E6"/>
    <w:rsid w:val="58AF7FBB"/>
    <w:rsid w:val="5ABC62D5"/>
    <w:rsid w:val="5B33106F"/>
    <w:rsid w:val="613260F9"/>
    <w:rsid w:val="62DD42DF"/>
    <w:rsid w:val="631C1886"/>
    <w:rsid w:val="6A521846"/>
    <w:rsid w:val="6BD56A3E"/>
    <w:rsid w:val="6D8F4B19"/>
    <w:rsid w:val="71774A76"/>
    <w:rsid w:val="749E3F47"/>
    <w:rsid w:val="74C07CAE"/>
    <w:rsid w:val="77DE7E91"/>
    <w:rsid w:val="7C5F637E"/>
    <w:rsid w:val="7FAC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0"/>
    <w:qFormat/>
    <w:uiPriority w:val="0"/>
    <w:pPr>
      <w:jc w:val="left"/>
    </w:pPr>
  </w:style>
  <w:style w:type="paragraph" w:styleId="6">
    <w:name w:val="Balloon Text"/>
    <w:basedOn w:val="1"/>
    <w:link w:val="22"/>
    <w:qFormat/>
    <w:uiPriority w:val="0"/>
    <w:rPr>
      <w:sz w:val="18"/>
      <w:szCs w:val="18"/>
    </w:rPr>
  </w:style>
  <w:style w:type="paragraph" w:styleId="7">
    <w:name w:val="footer"/>
    <w:basedOn w:val="1"/>
    <w:link w:val="1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paragraph" w:styleId="10">
    <w:name w:val="annotation subject"/>
    <w:basedOn w:val="5"/>
    <w:next w:val="5"/>
    <w:link w:val="21"/>
    <w:qFormat/>
    <w:uiPriority w:val="0"/>
    <w:rPr>
      <w:b/>
      <w:bCs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Hyperlink"/>
    <w:basedOn w:val="13"/>
    <w:qFormat/>
    <w:uiPriority w:val="0"/>
    <w:rPr>
      <w:color w:val="0000FF"/>
      <w:u w:val="single"/>
    </w:rPr>
  </w:style>
  <w:style w:type="character" w:styleId="17">
    <w:name w:val="annotation reference"/>
    <w:basedOn w:val="13"/>
    <w:qFormat/>
    <w:uiPriority w:val="0"/>
    <w:rPr>
      <w:sz w:val="21"/>
      <w:szCs w:val="21"/>
    </w:rPr>
  </w:style>
  <w:style w:type="character" w:customStyle="1" w:styleId="18">
    <w:name w:val="页眉 字符"/>
    <w:basedOn w:val="13"/>
    <w:link w:val="8"/>
    <w:autoRedefine/>
    <w:qFormat/>
    <w:uiPriority w:val="0"/>
    <w:rPr>
      <w:kern w:val="2"/>
      <w:sz w:val="18"/>
      <w:szCs w:val="18"/>
    </w:rPr>
  </w:style>
  <w:style w:type="character" w:customStyle="1" w:styleId="19">
    <w:name w:val="页脚 字符"/>
    <w:basedOn w:val="13"/>
    <w:link w:val="7"/>
    <w:qFormat/>
    <w:uiPriority w:val="0"/>
    <w:rPr>
      <w:kern w:val="2"/>
      <w:sz w:val="18"/>
      <w:szCs w:val="18"/>
    </w:rPr>
  </w:style>
  <w:style w:type="character" w:customStyle="1" w:styleId="20">
    <w:name w:val="批注文字 字符"/>
    <w:basedOn w:val="13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1">
    <w:name w:val="批注主题 字符"/>
    <w:basedOn w:val="20"/>
    <w:link w:val="10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2">
    <w:name w:val="批注框文本 字符"/>
    <w:basedOn w:val="13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3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150</Words>
  <Characters>729</Characters>
  <Lines>491</Lines>
  <Paragraphs>364</Paragraphs>
  <TotalTime>2</TotalTime>
  <ScaleCrop>false</ScaleCrop>
  <LinksUpToDate>false</LinksUpToDate>
  <CharactersWithSpaces>804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2025-08-27T01:56:00Z</dcterms:created>
  <dc:creator>lenovo</dc:creator>
  <cp:lastModifiedBy>杜若</cp:lastModifiedBy>
  <dcterms:modified xsi:type="dcterms:W3CDTF">2025-12-02T15:33:16Z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D2245264918142BB83D414EF6AB27F6B_13</vt:lpwstr>
  </property>
  <property fmtid="{D5CDD505-2E9C-101B-9397-08002B2CF9AE}" pid="4" name="KSOTemplateDocerSaveRecord">
    <vt:lpwstr>eyJoZGlkIjoiZWQ5MTFmMzUyNTA2OWU0NjgwYjFiZDA5MGI2YWM4NjUiLCJ1c2VySWQiOiIzMTYyNDQwMTgifQ==</vt:lpwstr>
  </property>
  <property fmtid="{D5CDD505-2E9C-101B-9397-08002B2CF9AE}" pid="5" name="GrammarlyDocumentId">
    <vt:lpwstr>ae0df7ce-a3ee-4ab3-a180-1ff4a8d8b497</vt:lpwstr>
  </property>
</Properties>
</file>