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5B4353F">
      <w:pPr>
        <w:jc w:val="both"/>
        <w:rPr>
          <w:rFonts w:ascii="Times New Roman" w:hAnsi="Times New Roman"/>
          <w:b/>
          <w:bCs/>
          <w:color w:val="000000" w:themeColor="text1"/>
          <w:sz w:val="24"/>
          <w:szCs w:val="24"/>
          <w14:textFill>
            <w14:solidFill>
              <w14:schemeClr w14:val="tx1"/>
            </w14:solidFill>
          </w14:textFill>
        </w:rPr>
      </w:pPr>
      <w:r>
        <w:rPr>
          <w:rFonts w:ascii="Times New Roman" w:hAnsi="Times New Roman"/>
          <w:b/>
          <w:bCs/>
          <w:color w:val="000000" w:themeColor="text1"/>
          <w:sz w:val="24"/>
          <w:szCs w:val="24"/>
          <w14:textFill>
            <w14:solidFill>
              <w14:schemeClr w14:val="tx1"/>
            </w14:solidFill>
          </w14:textFill>
        </w:rPr>
        <w:t xml:space="preserve">A nanoscale intertwined architecture </w:t>
      </w:r>
      <w:r>
        <w:rPr>
          <w:rFonts w:hint="eastAsia" w:ascii="Times New Roman" w:hAnsi="Times New Roman"/>
          <w:b/>
          <w:bCs/>
          <w:color w:val="000000" w:themeColor="text1"/>
          <w:sz w:val="24"/>
          <w:szCs w:val="24"/>
          <w:lang w:val="en-US" w:eastAsia="zh-CN"/>
          <w14:textFill>
            <w14:solidFill>
              <w14:schemeClr w14:val="tx1"/>
            </w14:solidFill>
          </w14:textFill>
        </w:rPr>
        <w:t>with</w:t>
      </w:r>
      <w:r>
        <w:rPr>
          <w:rFonts w:ascii="Times New Roman" w:hAnsi="Times New Roman"/>
          <w:b/>
          <w:bCs/>
          <w:color w:val="000000" w:themeColor="text1"/>
          <w:sz w:val="24"/>
          <w:szCs w:val="24"/>
          <w14:textFill>
            <w14:solidFill>
              <w14:schemeClr w14:val="tx1"/>
            </w14:solidFill>
          </w14:textFill>
        </w:rPr>
        <w:t xml:space="preserve">in </w:t>
      </w:r>
      <w:r>
        <w:rPr>
          <w:rFonts w:hint="eastAsia" w:ascii="Times New Roman" w:hAnsi="Times New Roman"/>
          <w:b/>
          <w:bCs/>
          <w:color w:val="000000" w:themeColor="text1"/>
          <w:sz w:val="24"/>
          <w:szCs w:val="24"/>
          <w14:textFill>
            <w14:solidFill>
              <w14:schemeClr w14:val="tx1"/>
            </w14:solidFill>
          </w14:textFill>
        </w:rPr>
        <w:t xml:space="preserve">chloroplast </w:t>
      </w:r>
      <w:r>
        <w:rPr>
          <w:rFonts w:hint="eastAsia" w:ascii="Times New Roman" w:hAnsi="Times New Roman"/>
          <w:b/>
          <w:bCs/>
          <w:color w:val="000000" w:themeColor="text1"/>
          <w:sz w:val="24"/>
          <w:szCs w:val="24"/>
          <w:lang w:val="en-US" w:eastAsia="zh-CN"/>
          <w14:textFill>
            <w14:solidFill>
              <w14:schemeClr w14:val="tx1"/>
            </w14:solidFill>
          </w14:textFill>
        </w:rPr>
        <w:t>of</w:t>
      </w:r>
      <w:r>
        <w:rPr>
          <w:rFonts w:hint="eastAsia" w:ascii="Times New Roman" w:hAnsi="Times New Roman"/>
          <w:b/>
          <w:bCs/>
          <w:color w:val="000000" w:themeColor="text1"/>
          <w:sz w:val="24"/>
          <w:szCs w:val="24"/>
          <w14:textFill>
            <w14:solidFill>
              <w14:schemeClr w14:val="tx1"/>
            </w14:solidFill>
          </w14:textFill>
        </w:rPr>
        <w:t xml:space="preserve"> live </w:t>
      </w:r>
      <w:r>
        <w:rPr>
          <w:rFonts w:hint="eastAsia" w:ascii="Times New Roman" w:hAnsi="Times New Roman"/>
          <w:b/>
          <w:bCs/>
          <w:i/>
          <w:iCs/>
          <w:color w:val="000000" w:themeColor="text1"/>
          <w:sz w:val="24"/>
          <w:szCs w:val="24"/>
          <w14:textFill>
            <w14:solidFill>
              <w14:schemeClr w14:val="tx1"/>
            </w14:solidFill>
          </w14:textFill>
        </w:rPr>
        <w:t>Chlorella</w:t>
      </w:r>
    </w:p>
    <w:p w14:paraId="7B9C0E57">
      <w:pP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Xiaomin Zheng</w:t>
      </w:r>
      <w:r>
        <w:rPr>
          <w:rFonts w:hint="eastAsia" w:ascii="Times New Roman" w:hAnsi="Times New Roman"/>
          <w:color w:val="000000" w:themeColor="text1"/>
          <w:vertAlign w:val="superscript"/>
          <w14:textFill>
            <w14:solidFill>
              <w14:schemeClr w14:val="tx1"/>
            </w14:solidFill>
          </w14:textFill>
        </w:rPr>
        <w:t>1,2</w:t>
      </w:r>
      <w:r>
        <w:rPr>
          <w:rFonts w:hint="eastAsia" w:ascii="Times New Roman" w:hAnsi="Times New Roman"/>
          <w:color w:val="000000" w:themeColor="text1"/>
          <w14:textFill>
            <w14:solidFill>
              <w14:schemeClr w14:val="tx1"/>
            </w14:solidFill>
          </w14:textFill>
        </w:rPr>
        <w:t>, Bofei Gong</w:t>
      </w:r>
      <w:r>
        <w:rPr>
          <w:rFonts w:hint="eastAsia" w:ascii="Times New Roman" w:hAnsi="Times New Roman"/>
          <w:color w:val="000000" w:themeColor="text1"/>
          <w:vertAlign w:val="superscript"/>
          <w14:textFill>
            <w14:solidFill>
              <w14:schemeClr w14:val="tx1"/>
            </w14:solidFill>
          </w14:textFill>
        </w:rPr>
        <w:t>1</w:t>
      </w:r>
      <w:r>
        <w:rPr>
          <w:rFonts w:hint="eastAsia" w:ascii="Times New Roman" w:hAnsi="Times New Roman"/>
          <w:color w:val="000000" w:themeColor="text1"/>
          <w14:textFill>
            <w14:solidFill>
              <w14:schemeClr w14:val="tx1"/>
            </w14:solidFill>
          </w14:textFill>
        </w:rPr>
        <w:t>, Yifeng Deng</w:t>
      </w:r>
      <w:r>
        <w:rPr>
          <w:rFonts w:hint="eastAsia" w:ascii="Times New Roman" w:hAnsi="Times New Roman"/>
          <w:color w:val="000000" w:themeColor="text1"/>
          <w:vertAlign w:val="superscript"/>
          <w14:textFill>
            <w14:solidFill>
              <w14:schemeClr w14:val="tx1"/>
            </w14:solidFill>
          </w14:textFill>
        </w:rPr>
        <w:t>1</w:t>
      </w:r>
      <w:r>
        <w:rPr>
          <w:rFonts w:hint="eastAsia" w:ascii="Times New Roman" w:hAnsi="Times New Roman"/>
          <w:color w:val="000000" w:themeColor="text1"/>
          <w14:textFill>
            <w14:solidFill>
              <w14:schemeClr w14:val="tx1"/>
            </w14:solidFill>
          </w14:textFill>
        </w:rPr>
        <w:t>, Ying Long</w:t>
      </w:r>
      <w:r>
        <w:rPr>
          <w:rFonts w:hint="eastAsia" w:ascii="Times New Roman" w:hAnsi="Times New Roman"/>
          <w:color w:val="000000" w:themeColor="text1"/>
          <w:vertAlign w:val="superscript"/>
          <w14:textFill>
            <w14:solidFill>
              <w14:schemeClr w14:val="tx1"/>
            </w14:solidFill>
          </w14:textFill>
        </w:rPr>
        <w:t>1</w:t>
      </w:r>
      <w:r>
        <w:rPr>
          <w:rFonts w:hint="eastAsia" w:ascii="Times New Roman" w:hAnsi="Times New Roman"/>
          <w:color w:val="000000" w:themeColor="text1"/>
          <w14:textFill>
            <w14:solidFill>
              <w14:schemeClr w14:val="tx1"/>
            </w14:solidFill>
          </w14:textFill>
        </w:rPr>
        <w:t>, Jiajie Chen</w:t>
      </w:r>
      <w:r>
        <w:rPr>
          <w:rFonts w:hint="eastAsia" w:ascii="Times New Roman" w:hAnsi="Times New Roman"/>
          <w:color w:val="000000" w:themeColor="text1"/>
          <w:vertAlign w:val="superscript"/>
          <w14:textFill>
            <w14:solidFill>
              <w14:schemeClr w14:val="tx1"/>
            </w14:solidFill>
          </w14:textFill>
        </w:rPr>
        <w:t>1</w:t>
      </w:r>
      <w:r>
        <w:rPr>
          <w:rFonts w:hint="eastAsia" w:ascii="Times New Roman" w:hAnsi="Times New Roman"/>
          <w:color w:val="000000" w:themeColor="text1"/>
          <w14:textFill>
            <w14:solidFill>
              <w14:schemeClr w14:val="tx1"/>
            </w14:solidFill>
          </w14:textFill>
        </w:rPr>
        <w:t>, Junle Qu</w:t>
      </w:r>
      <w:r>
        <w:rPr>
          <w:rFonts w:hint="eastAsia" w:ascii="Times New Roman" w:hAnsi="Times New Roman"/>
          <w:color w:val="000000" w:themeColor="text1"/>
          <w:vertAlign w:val="superscript"/>
          <w14:textFill>
            <w14:solidFill>
              <w14:schemeClr w14:val="tx1"/>
            </w14:solidFill>
          </w14:textFill>
        </w:rPr>
        <w:t>1</w:t>
      </w:r>
      <w:r>
        <w:rPr>
          <w:rFonts w:hint="eastAsia" w:ascii="Times New Roman" w:hAnsi="Times New Roman"/>
          <w:color w:val="000000" w:themeColor="text1"/>
          <w14:textFill>
            <w14:solidFill>
              <w14:schemeClr w14:val="tx1"/>
            </w14:solidFill>
          </w14:textFill>
        </w:rPr>
        <w:t>, Gaixia Xu</w:t>
      </w:r>
      <w:r>
        <w:rPr>
          <w:rFonts w:hint="eastAsia" w:ascii="Times New Roman" w:hAnsi="Times New Roman"/>
          <w:color w:val="000000" w:themeColor="text1"/>
          <w:vertAlign w:val="superscript"/>
          <w14:textFill>
            <w14:solidFill>
              <w14:schemeClr w14:val="tx1"/>
            </w14:solidFill>
          </w14:textFill>
        </w:rPr>
        <w:t>2</w:t>
      </w:r>
      <w:r>
        <w:rPr>
          <w:rFonts w:hint="eastAsia" w:ascii="Times New Roman" w:hAnsi="Times New Roman"/>
          <w:color w:val="000000" w:themeColor="text1"/>
          <w14:textFill>
            <w14:solidFill>
              <w14:schemeClr w14:val="tx1"/>
            </w14:solidFill>
          </w14:textFill>
        </w:rPr>
        <w:t>, Yuye Wang</w:t>
      </w:r>
      <w:r>
        <w:rPr>
          <w:rFonts w:ascii="Times New Roman" w:hAnsi="Times New Roman"/>
          <w:color w:val="000000" w:themeColor="text1"/>
          <w:vertAlign w:val="superscript"/>
          <w14:textFill>
            <w14:solidFill>
              <w14:schemeClr w14:val="tx1"/>
            </w14:solidFill>
          </w14:textFill>
        </w:rPr>
        <w:t>1, *</w:t>
      </w:r>
      <w:r>
        <w:rPr>
          <w:rFonts w:hint="eastAsia" w:ascii="Times New Roman" w:hAnsi="Times New Roman"/>
          <w:color w:val="000000" w:themeColor="text1"/>
          <w14:textFill>
            <w14:solidFill>
              <w14:schemeClr w14:val="tx1"/>
            </w14:solidFill>
          </w14:textFill>
        </w:rPr>
        <w:t>, Xiao Peng</w:t>
      </w:r>
      <w:r>
        <w:rPr>
          <w:rFonts w:ascii="Times New Roman" w:hAnsi="Times New Roman"/>
          <w:color w:val="000000" w:themeColor="text1"/>
          <w:vertAlign w:val="superscript"/>
          <w14:textFill>
            <w14:solidFill>
              <w14:schemeClr w14:val="tx1"/>
            </w14:solidFill>
          </w14:textFill>
        </w:rPr>
        <w:t>1, *</w:t>
      </w:r>
      <w:r>
        <w:rPr>
          <w:rFonts w:hint="eastAsia" w:ascii="Times New Roman" w:hAnsi="Times New Roman"/>
          <w:color w:val="000000" w:themeColor="text1"/>
          <w14:textFill>
            <w14:solidFill>
              <w14:schemeClr w14:val="tx1"/>
            </w14:solidFill>
          </w14:textFill>
        </w:rPr>
        <w:t>, and Yonghong Shao</w:t>
      </w:r>
      <w:r>
        <w:rPr>
          <w:rFonts w:ascii="Times New Roman" w:hAnsi="Times New Roman"/>
          <w:color w:val="000000" w:themeColor="text1"/>
          <w:vertAlign w:val="superscript"/>
          <w14:textFill>
            <w14:solidFill>
              <w14:schemeClr w14:val="tx1"/>
            </w14:solidFill>
          </w14:textFill>
        </w:rPr>
        <w:t>1, *</w:t>
      </w:r>
    </w:p>
    <w:p w14:paraId="3ED15E34">
      <w:pP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1College of Physics and Optoelectronic Engineering, Key Laboratory of Optoelectronic Devices and Systems of Ministry of Education and Guangdong Province, Shenzhen University, Shenzhen 518060, China.</w:t>
      </w:r>
    </w:p>
    <w:p w14:paraId="119F4F4C">
      <w:pP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2Guangdong Key Laboratory for Biomedical Measurements and Ultrasound Imaging, National-Regional Key Technology Engineering Laboratory for Medical Ultrasound, School of Biomedical Engineering, Shenzhen University Medical School, Shenzhen 518060, China</w:t>
      </w:r>
    </w:p>
    <w:p w14:paraId="5AC7608E">
      <w:pPr>
        <w:rPr>
          <w:rFonts w:ascii="Times New Roman" w:hAnsi="Times New Roman"/>
          <w:iCs/>
          <w:color w:val="000000" w:themeColor="text1"/>
          <w14:textFill>
            <w14:solidFill>
              <w14:schemeClr w14:val="tx1"/>
            </w14:solidFill>
          </w14:textFill>
        </w:rPr>
      </w:pPr>
      <w:r>
        <w:rPr>
          <w:rFonts w:ascii="Times New Roman" w:hAnsi="Times New Roman"/>
          <w:iCs/>
          <w:color w:val="000000" w:themeColor="text1"/>
          <w14:textFill>
            <w14:solidFill>
              <w14:schemeClr w14:val="tx1"/>
            </w14:solidFill>
          </w14:textFill>
        </w:rPr>
        <w:t xml:space="preserve">* </w:t>
      </w:r>
      <w:r>
        <w:rPr>
          <w:rFonts w:hint="eastAsia" w:ascii="Times New Roman" w:hAnsi="Times New Roman"/>
          <w:iCs/>
          <w:color w:val="000000" w:themeColor="text1"/>
          <w14:textFill>
            <w14:solidFill>
              <w14:schemeClr w14:val="tx1"/>
            </w14:solidFill>
          </w14:textFill>
        </w:rPr>
        <w:t>c</w:t>
      </w:r>
      <w:r>
        <w:rPr>
          <w:rFonts w:ascii="Times New Roman" w:hAnsi="Times New Roman"/>
          <w:iCs/>
          <w:color w:val="000000" w:themeColor="text1"/>
          <w14:textFill>
            <w14:solidFill>
              <w14:schemeClr w14:val="tx1"/>
            </w14:solidFill>
          </w14:textFill>
        </w:rPr>
        <w:t>orresponding author</w:t>
      </w:r>
      <w:r>
        <w:rPr>
          <w:rFonts w:hint="eastAsia" w:ascii="Times New Roman" w:hAnsi="Times New Roman"/>
          <w:iCs/>
          <w:color w:val="000000" w:themeColor="text1"/>
          <w14:textFill>
            <w14:solidFill>
              <w14:schemeClr w14:val="tx1"/>
            </w14:solidFill>
          </w14:textFill>
        </w:rPr>
        <w:t>:</w:t>
      </w:r>
      <w:r>
        <w:rPr>
          <w:rFonts w:ascii="Times New Roman" w:hAnsi="Times New Roman"/>
          <w:iCs/>
          <w:color w:val="000000" w:themeColor="text1"/>
          <w14:textFill>
            <w14:solidFill>
              <w14:schemeClr w14:val="tx1"/>
            </w14:solidFill>
          </w14:textFill>
        </w:rPr>
        <w:t xml:space="preserve"> pengxiao_px@szu.edu.cn, yuyewang@szu.edu.cn, shaoyh@szu.edu.cn</w:t>
      </w:r>
    </w:p>
    <w:p w14:paraId="733A4069">
      <w:pPr>
        <w:rPr>
          <w:rFonts w:ascii="Times New Roman" w:hAnsi="Times New Roman"/>
          <w:color w:val="000000" w:themeColor="text1"/>
          <w14:textFill>
            <w14:solidFill>
              <w14:schemeClr w14:val="tx1"/>
            </w14:solidFill>
          </w14:textFill>
        </w:rPr>
      </w:pPr>
    </w:p>
    <w:p w14:paraId="581F9F96">
      <w:pPr>
        <w:widowControl/>
        <w:jc w:val="left"/>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br w:type="page"/>
      </w:r>
    </w:p>
    <w:p w14:paraId="1D7CC66E">
      <w:pPr>
        <w:rPr>
          <w:rFonts w:ascii="Times New Roman" w:hAnsi="Times New Roman"/>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Supplementary Note 1</w:t>
      </w:r>
    </w:p>
    <w:p w14:paraId="58776A47">
      <w:pPr>
        <w:ind w:firstLine="42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Fluorescence microscopy, while widely used for live-cell imaging, has a spatial resolution limited to ~200 nm by optical diffraction. This is insufficient for resolving fine intracellular structures. To break the diffraction barrier, super-resolution techniques like stimulated emission depletion microscopy (STED)</w:t>
      </w:r>
      <w:r>
        <w:rPr>
          <w:rFonts w:ascii="Times New Roman" w:hAnsi="Times New Roman"/>
          <w:color w:val="000000" w:themeColor="text1"/>
          <w14:textFill>
            <w14:solidFill>
              <w14:schemeClr w14:val="tx1"/>
            </w14:solidFill>
          </w14:textFill>
        </w:rPr>
        <w:fldChar w:fldCharType="begin"/>
      </w:r>
      <w:r>
        <w:rPr>
          <w:rFonts w:ascii="Times New Roman" w:hAnsi="Times New Roman"/>
          <w:color w:val="000000" w:themeColor="text1"/>
          <w14:textFill>
            <w14:solidFill>
              <w14:schemeClr w14:val="tx1"/>
            </w14:solidFill>
          </w14:textFill>
        </w:rPr>
        <w:instrText xml:space="preserve"> ADDIN EN.CITE &lt;EndNote&gt;&lt;Cite&gt;&lt;Author&gt;Hell&lt;/Author&gt;&lt;Year&gt;1994&lt;/Year&gt;&lt;RecNum&gt;272&lt;/RecNum&gt;&lt;DisplayText&gt;&lt;style face="superscript"&gt;1&lt;/style&gt;&lt;/DisplayText&gt;&lt;record&gt;&lt;rec-number&gt;272&lt;/rec-number&gt;&lt;foreign-keys&gt;&lt;key app="EN" db-id="552tp0z28x0rthe0p0uvs5xpxze9sxfpxapw" timestamp="1597988441"&gt;272&lt;/key&gt;&lt;/foreign-keys&gt;&lt;ref-type name="Journal Article"&gt;17&lt;/ref-type&gt;&lt;contributors&gt;&lt;authors&gt;&lt;author&gt;Hell, S. W.&lt;/author&gt;&lt;author&gt;Wichmann, J.&lt;/author&gt;&lt;/authors&gt;&lt;/contributors&gt;&lt;titles&gt;&lt;title&gt;Breaking the diffraction resolution limit by stimulated-emission-stimulated-emission-depletion fluorescence microscopy&lt;/title&gt;&lt;secondary-title&gt;Optics Letters&lt;/secondary-title&gt;&lt;/titles&gt;&lt;periodical&gt;&lt;full-title&gt;Optics Letters&lt;/full-title&gt;&lt;abbr-1&gt;Opt. Lett.&lt;/abbr-1&gt;&lt;abbr-2&gt;Opt Lett&lt;/abbr-2&gt;&lt;/periodical&gt;&lt;pages&gt;780-782&lt;/pages&gt;&lt;volume&gt;19&lt;/volume&gt;&lt;number&gt;11&lt;/number&gt;&lt;dates&gt;&lt;year&gt;1994&lt;/year&gt;&lt;pub-dates&gt;&lt;date&gt;Jun&lt;/date&gt;&lt;/pub-dates&gt;&lt;/dates&gt;&lt;isbn&gt;0146-9592&lt;/isbn&gt;&lt;accession-num&gt;WOS:A1994NN29400005&lt;/accession-num&gt;&lt;urls&gt;&lt;related-urls&gt;&lt;url&gt;&lt;style face="underline" font="default" size="100%"&gt;&amp;lt;Go to ISI&amp;gt;://WOS:A1994NN29400005&lt;/style&gt;&lt;/url&gt;&lt;/related-urls&gt;&lt;/urls&gt;&lt;electronic-resource-num&gt;10.1364/ol.19.000780&lt;/electronic-resource-num&gt;&lt;/record&gt;&lt;/Cite&gt;&lt;/EndNote&gt;</w:instrText>
      </w:r>
      <w:r>
        <w:rPr>
          <w:rFonts w:ascii="Times New Roman" w:hAnsi="Times New Roman"/>
          <w:color w:val="000000" w:themeColor="text1"/>
          <w14:textFill>
            <w14:solidFill>
              <w14:schemeClr w14:val="tx1"/>
            </w14:solidFill>
          </w14:textFill>
        </w:rPr>
        <w:fldChar w:fldCharType="separate"/>
      </w:r>
      <w:r>
        <w:rPr>
          <w:rFonts w:ascii="Times New Roman" w:hAnsi="Times New Roman"/>
          <w:color w:val="000000" w:themeColor="text1"/>
          <w:vertAlign w:val="superscript"/>
          <w14:textFill>
            <w14:solidFill>
              <w14:schemeClr w14:val="tx1"/>
            </w14:solidFill>
          </w14:textFill>
        </w:rPr>
        <w:t>1</w: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t>, stochastic optical reconstruction microscopy (STORM)</w:t>
      </w:r>
      <w:r>
        <w:rPr>
          <w:rFonts w:ascii="Times New Roman" w:hAnsi="Times New Roman"/>
          <w:color w:val="000000" w:themeColor="text1"/>
          <w14:textFill>
            <w14:solidFill>
              <w14:schemeClr w14:val="tx1"/>
            </w14:solidFill>
          </w14:textFill>
        </w:rPr>
        <w:fldChar w:fldCharType="begin"/>
      </w:r>
      <w:r>
        <w:rPr>
          <w:rFonts w:ascii="Times New Roman" w:hAnsi="Times New Roman"/>
          <w:color w:val="000000" w:themeColor="text1"/>
          <w14:textFill>
            <w14:solidFill>
              <w14:schemeClr w14:val="tx1"/>
            </w14:solidFill>
          </w14:textFill>
        </w:rPr>
        <w:instrText xml:space="preserve"> ADDIN EN.CITE &lt;EndNote&gt;&lt;Cite&gt;&lt;Author&gt;Rust&lt;/Author&gt;&lt;Year&gt;2006&lt;/Year&gt;&lt;RecNum&gt;143&lt;/RecNum&gt;&lt;DisplayText&gt;&lt;style face="superscript"&gt;2&lt;/style&gt;&lt;/DisplayText&gt;&lt;record&gt;&lt;rec-number&gt;143&lt;/rec-number&gt;&lt;foreign-keys&gt;&lt;key app="EN" db-id="552tp0z28x0rthe0p0uvs5xpxze9sxfpxapw" timestamp="1597918623"&gt;143&lt;/key&gt;&lt;key app="ENWeb" db-id=""&gt;0&lt;/key&gt;&lt;/foreign-keys&gt;&lt;ref-type name="Journal Article"&gt;17&lt;/ref-type&gt;&lt;contributors&gt;&lt;authors&gt;&lt;author&gt;Rust, M. J.&lt;/author&gt;&lt;author&gt;Bates, M.&lt;/author&gt;&lt;author&gt;Zhuang, X.&lt;/author&gt;&lt;/authors&gt;&lt;/contributors&gt;&lt;auth-address&gt;Department of Physics, Harvard University, 12 Oxford Street, Cambridge, Massachusetts 02138, USA.&lt;/auth-address&gt;&lt;titles&gt;&lt;title&gt;Sub-diffraction-limit imaging by stochastic optical reconstruction microscopy (STORM)&lt;/title&gt;&lt;secondary-title&gt;Nat Methods&lt;/secondary-title&gt;&lt;/titles&gt;&lt;periodical&gt;&lt;full-title&gt;Nature Methods&lt;/full-title&gt;&lt;abbr-1&gt;Nat. Methods&lt;/abbr-1&gt;&lt;abbr-2&gt;Nat Methods&lt;/abbr-2&gt;&lt;/periodical&gt;&lt;pages&gt;793-5&lt;/pages&gt;&lt;volume&gt;3&lt;/volume&gt;&lt;number&gt;10&lt;/number&gt;&lt;edition&gt;2006/08/10&lt;/edition&gt;&lt;keywords&gt;&lt;keyword&gt;DNA/chemistry&lt;/keyword&gt;&lt;keyword&gt;Fluorescent Dyes/*chemistry&lt;/keyword&gt;&lt;keyword&gt;Image Interpretation, Computer-Assisted/*methods&lt;/keyword&gt;&lt;keyword&gt;Microscopy, Fluorescence/methods&lt;/keyword&gt;&lt;keyword&gt;Nanotechnology/methods&lt;/keyword&gt;&lt;keyword&gt;Stochastic Processes&lt;/keyword&gt;&lt;/keywords&gt;&lt;dates&gt;&lt;year&gt;2006&lt;/year&gt;&lt;pub-dates&gt;&lt;date&gt;Oct&lt;/date&gt;&lt;/pub-dates&gt;&lt;/dates&gt;&lt;isbn&gt;1548-7091 (Print)&amp;#xD;1548-7091 (Linking)&lt;/isbn&gt;&lt;accession-num&gt;16896339&lt;/accession-num&gt;&lt;urls&gt;&lt;related-urls&gt;&lt;url&gt;https://www.ncbi.nlm.nih.gov/pubmed/16896339&lt;/url&gt;&lt;/related-urls&gt;&lt;/urls&gt;&lt;custom2&gt;PMC2700296&lt;/custom2&gt;&lt;electronic-resource-num&gt;10.1038/nmeth929&lt;/electronic-resource-num&gt;&lt;/record&gt;&lt;/Cite&gt;&lt;/EndNote&gt;</w:instrText>
      </w:r>
      <w:r>
        <w:rPr>
          <w:rFonts w:ascii="Times New Roman" w:hAnsi="Times New Roman"/>
          <w:color w:val="000000" w:themeColor="text1"/>
          <w14:textFill>
            <w14:solidFill>
              <w14:schemeClr w14:val="tx1"/>
            </w14:solidFill>
          </w14:textFill>
        </w:rPr>
        <w:fldChar w:fldCharType="separate"/>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t>, and structured illumination microscopy (SIM)</w:t>
      </w:r>
      <w:r>
        <w:rPr>
          <w:rFonts w:ascii="Times New Roman" w:hAnsi="Times New Roman"/>
          <w:color w:val="000000" w:themeColor="text1"/>
          <w14:textFill>
            <w14:solidFill>
              <w14:schemeClr w14:val="tx1"/>
            </w14:solidFill>
          </w14:textFill>
        </w:rPr>
        <w:fldChar w:fldCharType="begin"/>
      </w:r>
      <w:r>
        <w:rPr>
          <w:rFonts w:ascii="Times New Roman" w:hAnsi="Times New Roman"/>
          <w:color w:val="000000" w:themeColor="text1"/>
          <w14:textFill>
            <w14:solidFill>
              <w14:schemeClr w14:val="tx1"/>
            </w14:solidFill>
          </w14:textFill>
        </w:rPr>
        <w:instrText xml:space="preserve"> ADDIN EN.CITE &lt;EndNote&gt;&lt;Cite&gt;&lt;Author&gt;Cogswell&lt;/Author&gt;&lt;Year&gt;2000&lt;/Year&gt;&lt;RecNum&gt;21&lt;/RecNum&gt;&lt;DisplayText&gt;&lt;style face="superscript"&gt;3&lt;/style&gt;&lt;/DisplayText&gt;&lt;record&gt;&lt;rec-number&gt;21&lt;/rec-number&gt;&lt;foreign-keys&gt;&lt;key app="EN" db-id="552tp0z28x0rthe0p0uvs5xpxze9sxfpxapw" timestamp="1597666346"&gt;21&lt;/key&gt;&lt;/foreign-keys&gt;&lt;ref-type name="Journal Article"&gt;17&lt;/ref-type&gt;&lt;contributors&gt;&lt;authors&gt;&lt;author&gt;Cogswell, Carol J.&lt;/author&gt;&lt;/authors&gt;&lt;/contributors&gt;&lt;titles&gt;&lt;title&gt;Doubling the lateral resolution of wide-field fluorescence microscopy using structured illumination&lt;/title&gt;&lt;secondary-title&gt;Proceedings of SPIE - The International Society for Optical Engineering&lt;/secondary-title&gt;&lt;/titles&gt;&lt;periodical&gt;&lt;full-title&gt;Proceedings of SPIE - The International Society for Optical Engineering&lt;/full-title&gt;&lt;/periodical&gt;&lt;pages&gt;141-150&lt;/pages&gt;&lt;volume&gt;3919&lt;/volume&gt;&lt;dates&gt;&lt;year&gt;2000&lt;/year&gt;&lt;/dates&gt;&lt;urls&gt;&lt;/urls&gt;&lt;/record&gt;&lt;/Cite&gt;&lt;/EndNote&gt;</w:instrText>
      </w:r>
      <w:r>
        <w:rPr>
          <w:rFonts w:ascii="Times New Roman" w:hAnsi="Times New Roman"/>
          <w:color w:val="000000" w:themeColor="text1"/>
          <w14:textFill>
            <w14:solidFill>
              <w14:schemeClr w14:val="tx1"/>
            </w14:solidFill>
          </w14:textFill>
        </w:rPr>
        <w:fldChar w:fldCharType="separate"/>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t>, were developed.</w:t>
      </w:r>
      <w:r>
        <w:rPr>
          <w:rFonts w:hint="eastAsia" w:ascii="Times New Roman" w:hAnsi="Times New Roman"/>
          <w:color w:val="000000" w:themeColor="text1"/>
          <w14:textFill>
            <w14:solidFill>
              <w14:schemeClr w14:val="tx1"/>
            </w14:solidFill>
          </w14:textFill>
        </w:rPr>
        <w:t xml:space="preserve"> </w:t>
      </w:r>
    </w:p>
    <w:p w14:paraId="797FB85A">
      <w:pPr>
        <w:ind w:firstLine="42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STED offers high resolution (tens of nm) but its high-power lasers induce significant phototoxicity, making it unsuitable for live-cell dynamics. Furthermore, specific fluorescence dyes are required for STED, making it incompatible for autofluorescence super-resolution imaging.</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STORM provides excellent resolution (&lt;20 nm) but requires reconstructing tens of thousands of frames, limiting its speed, and relies on specific photoswitchable probes.</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SIM (~100 nm resolution) is ideal for live-cell imaging due to its high speed, low phototoxicity, and compatibility with standard fluorophores, including autofluorescent molecules.</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However, conventional SIM only doubles the resolution and, as a wide-field technique, suffers from low contrast and signal-to-noise ratio (SNR) due to out-of-focus light.</w:t>
      </w:r>
    </w:p>
    <w:p w14:paraId="78B2B572">
      <w:pPr>
        <w:ind w:firstLine="42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Researchers have long sought to enhance SIM's capabilities. Gustafsson's group developed nonlinear (NL-SIM) and saturated (SSIM) techniques, reaching ~50 nm resolution but at the cost of high phototoxicity or the need for specialized proteins</w:t>
      </w:r>
      <w:r>
        <w:rPr>
          <w:rFonts w:ascii="Times New Roman" w:hAnsi="Times New Roman"/>
          <w:color w:val="000000" w:themeColor="text1"/>
          <w14:textFill>
            <w14:solidFill>
              <w14:schemeClr w14:val="tx1"/>
            </w14:solidFill>
          </w14:textFill>
        </w:rPr>
        <w:fldChar w:fldCharType="begin">
          <w:fldData xml:space="preserve">PEVuZE5vdGU+PENpdGU+PEF1dGhvcj5HdXN0YWZzc29uPC9BdXRob3I+PFllYXI+MjAwNTwvWWVh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</w:fldData>
        </w:fldChar>
      </w:r>
      <w:r>
        <w:rPr>
          <w:rFonts w:ascii="Times New Roman" w:hAnsi="Times New Roman"/>
          <w:color w:val="000000" w:themeColor="text1"/>
          <w14:textFill>
            <w14:solidFill>
              <w14:schemeClr w14:val="tx1"/>
            </w14:solidFill>
          </w14:textFill>
        </w:rPr>
        <w:instrText xml:space="preserve"> ADDIN EN.CITE </w:instrText>
      </w:r>
      <w:r>
        <w:rPr>
          <w:rFonts w:ascii="Times New Roman" w:hAnsi="Times New Roman"/>
          <w:color w:val="000000" w:themeColor="text1"/>
          <w14:textFill>
            <w14:solidFill>
              <w14:schemeClr w14:val="tx1"/>
            </w14:solidFill>
          </w14:textFill>
        </w:rPr>
        <w:fldChar w:fldCharType="begin">
          <w:fldData xml:space="preserve">PEVuZE5vdGU+PENpdGU+PEF1dGhvcj5HdXN0YWZzc29uPC9BdXRob3I+PFllYXI+MjAwNTwvWWVh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</w:fldData>
        </w:fldChar>
      </w:r>
      <w:r>
        <w:rPr>
          <w:rFonts w:ascii="Times New Roman" w:hAnsi="Times New Roman"/>
          <w:color w:val="000000" w:themeColor="text1"/>
          <w14:textFill>
            <w14:solidFill>
              <w14:schemeClr w14:val="tx1"/>
            </w14:solidFill>
          </w14:textFill>
        </w:rPr>
        <w:instrText xml:space="preserve"> ADDIN EN.CITE.DATA </w:instrTex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fldChar w:fldCharType="separate"/>
      </w:r>
      <w:r>
        <w:rPr>
          <w:rFonts w:ascii="Times New Roman" w:hAnsi="Times New Roman"/>
          <w:color w:val="000000" w:themeColor="text1"/>
          <w:vertAlign w:val="superscript"/>
          <w14:textFill>
            <w14:solidFill>
              <w14:schemeClr w14:val="tx1"/>
            </w14:solidFill>
          </w14:textFill>
        </w:rPr>
        <w:t>4, 5</w: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t xml:space="preserve">. Other approaches used near-field surface plasmon interference (Wei et al.) </w:t>
      </w:r>
      <w:r>
        <w:rPr>
          <w:rFonts w:ascii="Times New Roman" w:hAnsi="Times New Roman"/>
          <w:color w:val="000000" w:themeColor="text1"/>
          <w14:textFill>
            <w14:solidFill>
              <w14:schemeClr w14:val="tx1"/>
            </w14:solidFill>
          </w14:textFill>
        </w:rPr>
        <w:fldChar w:fldCharType="begin">
          <w:fldData xml:space="preserve">PEVuZE5vdGU+PENpdGU+PEF1dGhvcj5XZWk8L0F1dGhvcj48WWVhcj4yMDE0PC9ZZWFyPjxSZWNO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</w:fldData>
        </w:fldChar>
      </w:r>
      <w:r>
        <w:rPr>
          <w:rFonts w:ascii="Times New Roman" w:hAnsi="Times New Roman"/>
          <w:color w:val="000000" w:themeColor="text1"/>
          <w14:textFill>
            <w14:solidFill>
              <w14:schemeClr w14:val="tx1"/>
            </w14:solidFill>
          </w14:textFill>
        </w:rPr>
        <w:instrText xml:space="preserve"> ADDIN EN.CITE </w:instrText>
      </w:r>
      <w:r>
        <w:rPr>
          <w:rFonts w:ascii="Times New Roman" w:hAnsi="Times New Roman"/>
          <w:color w:val="000000" w:themeColor="text1"/>
          <w14:textFill>
            <w14:solidFill>
              <w14:schemeClr w14:val="tx1"/>
            </w14:solidFill>
          </w14:textFill>
        </w:rPr>
        <w:fldChar w:fldCharType="begin">
          <w:fldData xml:space="preserve">PEVuZE5vdGU+PENpdGU+PEF1dGhvcj5XZWk8L0F1dGhvcj48WWVhcj4yMDE0PC9ZZWFyPjxSZWNO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</w:fldData>
        </w:fldChar>
      </w:r>
      <w:r>
        <w:rPr>
          <w:rFonts w:ascii="Times New Roman" w:hAnsi="Times New Roman"/>
          <w:color w:val="000000" w:themeColor="text1"/>
          <w14:textFill>
            <w14:solidFill>
              <w14:schemeClr w14:val="tx1"/>
            </w14:solidFill>
          </w14:textFill>
        </w:rPr>
        <w:instrText xml:space="preserve"> ADDIN EN.CITE.DATA </w:instrTex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fldChar w:fldCharType="separate"/>
      </w:r>
      <w:r>
        <w:rPr>
          <w:rFonts w:ascii="Times New Roman" w:hAnsi="Times New Roman"/>
          <w:color w:val="000000" w:themeColor="text1"/>
          <w:vertAlign w:val="superscript"/>
          <w14:textFill>
            <w14:solidFill>
              <w14:schemeClr w14:val="tx1"/>
            </w14:solidFill>
          </w14:textFill>
        </w:rPr>
        <w:t>6, 7</w: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t>or photonic chips (Helle's group)</w:t>
      </w:r>
      <w:r>
        <w:rPr>
          <w:rFonts w:ascii="Times New Roman" w:hAnsi="Times New Roman"/>
          <w:color w:val="000000" w:themeColor="text1"/>
          <w14:textFill>
            <w14:solidFill>
              <w14:schemeClr w14:val="tx1"/>
            </w14:solidFill>
          </w14:textFill>
        </w:rPr>
        <w:fldChar w:fldCharType="begin"/>
      </w:r>
      <w:r>
        <w:rPr>
          <w:rFonts w:ascii="Times New Roman" w:hAnsi="Times New Roman"/>
          <w:color w:val="000000" w:themeColor="text1"/>
          <w14:textFill>
            <w14:solidFill>
              <w14:schemeClr w14:val="tx1"/>
            </w14:solidFill>
          </w14:textFill>
        </w:rPr>
        <w:instrText xml:space="preserve"> ADDIN EN.CITE &lt;EndNote&gt;&lt;Cite&gt;&lt;Author&gt;Helle&lt;/Author&gt;&lt;Year&gt;2020&lt;/Year&gt;&lt;RecNum&gt;10&lt;/RecNum&gt;&lt;DisplayText&gt;&lt;style face="superscript"&gt;8&lt;/style&gt;&lt;/DisplayText&gt;&lt;record&gt;&lt;rec-number&gt;10&lt;/rec-number&gt;&lt;foreign-keys&gt;&lt;key app="EN" db-id="552tp0z28x0rthe0p0uvs5xpxze9sxfpxapw" timestamp="1597665505"&gt;10&lt;/key&gt;&lt;/foreign-keys&gt;&lt;ref-type name="Journal Article"&gt;17&lt;/ref-type&gt;&lt;contributors&gt;&lt;authors&gt;&lt;author&gt;Helle, O. I.&lt;/author&gt;&lt;author&gt;Dullo, F. T.&lt;/author&gt;&lt;author&gt;Lahrberg, M.&lt;/author&gt;&lt;author&gt;Tinguely, J. C.&lt;/author&gt;&lt;author&gt;Helleso, O. G.&lt;/author&gt;&lt;author&gt;Ahluwalia, B. S.&lt;/author&gt;&lt;/authors&gt;&lt;/contributors&gt;&lt;titles&gt;&lt;title&gt;Structured illumination microscopy using a photonic chip&lt;/title&gt;&lt;secondary-title&gt;Nature Photonics&lt;/secondary-title&gt;&lt;/titles&gt;&lt;periodical&gt;&lt;full-title&gt;Nature Photonics&lt;/full-title&gt;&lt;abbr-1&gt;Nat. Photonics&lt;/abbr-1&gt;&lt;/periodical&gt;&lt;pages&gt;431-438&lt;/pages&gt;&lt;volume&gt;14&lt;/volume&gt;&lt;number&gt;7&lt;/number&gt;&lt;dates&gt;&lt;year&gt;2020&lt;/year&gt;&lt;pub-dates&gt;&lt;date&gt;Jul&lt;/date&gt;&lt;/pub-dates&gt;&lt;/dates&gt;&lt;isbn&gt;1749-4885&lt;/isbn&gt;&lt;accession-num&gt;WOS:000531766200001&lt;/accession-num&gt;&lt;urls&gt;&lt;related-urls&gt;&lt;url&gt;&lt;style face="underline" font="default" size="100%"&gt;&amp;lt;Go to ISI&amp;gt;://WOS:000531766200001&lt;/style&gt;&lt;/url&gt;&lt;/related-urls&gt;&lt;/urls&gt;&lt;electronic-resource-num&gt;10.1038/s41566-020-0620-2&lt;/electronic-resource-num&gt;&lt;/record&gt;&lt;/Cite&gt;&lt;/EndNote&gt;</w:instrText>
      </w:r>
      <w:r>
        <w:rPr>
          <w:rFonts w:ascii="Times New Roman" w:hAnsi="Times New Roman"/>
          <w:color w:val="000000" w:themeColor="text1"/>
          <w14:textFill>
            <w14:solidFill>
              <w14:schemeClr w14:val="tx1"/>
            </w14:solidFill>
          </w14:textFill>
        </w:rPr>
        <w:fldChar w:fldCharType="separate"/>
      </w:r>
      <w:r>
        <w:rPr>
          <w:rFonts w:ascii="Times New Roman" w:hAnsi="Times New Roman"/>
          <w:color w:val="000000" w:themeColor="text1"/>
          <w:vertAlign w:val="superscript"/>
          <w14:textFill>
            <w14:solidFill>
              <w14:schemeClr w14:val="tx1"/>
            </w14:solidFill>
          </w14:textFill>
        </w:rPr>
        <w:t>8</w: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t xml:space="preserve"> to achieve higher-frequency patterns, but these methods suffer from limited practical application in biology due to complex sample preparation or specialized hardware.</w:t>
      </w:r>
    </w:p>
    <w:p w14:paraId="0D63877B">
      <w:pPr>
        <w:ind w:firstLine="42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A key drawback of traditional SIM is that it is a wide-field technique, resulting in low contrast and poor SNR, restricting it to the application on thin samples. Point-scanning techniques (like confocal microscopy) excel in this regard, offering superior contrast and optical sectioning.</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Combining SIM with point-scanning has been a promising direction. Based on this, our team proposed a confocal-based SIM, termed laser scanning structured illumination microscopy (LSSIM), and demonstrated a 3-fold resolution enhancement (79 nm)</w:t>
      </w:r>
      <w:r>
        <w:rPr>
          <w:rFonts w:ascii="Times New Roman" w:hAnsi="Times New Roman"/>
          <w:color w:val="000000" w:themeColor="text1"/>
          <w14:textFill>
            <w14:solidFill>
              <w14:schemeClr w14:val="tx1"/>
            </w14:solidFill>
          </w14:textFill>
        </w:rPr>
        <w:fldChar w:fldCharType="begin"/>
      </w:r>
      <w:r>
        <w:rPr>
          <w:rFonts w:ascii="Times New Roman" w:hAnsi="Times New Roman"/>
          <w:color w:val="000000" w:themeColor="text1"/>
          <w14:textFill>
            <w14:solidFill>
              <w14:schemeClr w14:val="tx1"/>
            </w14:solidFill>
          </w14:textFill>
        </w:rPr>
        <w:instrText xml:space="preserve"> ADDIN EN.CITE &lt;EndNote&gt;&lt;Cite&gt;&lt;Author&gt;Zheng&lt;/Author&gt;&lt;Year&gt;2023&lt;/Year&gt;&lt;RecNum&gt;605&lt;/RecNum&gt;&lt;DisplayText&gt;&lt;style face="superscript"&gt;9&lt;/style&gt;&lt;/DisplayText&gt;&lt;record&gt;&lt;rec-number&gt;605&lt;/rec-number&gt;&lt;foreign-keys&gt;&lt;key app="EN" db-id="552tp0z28x0rthe0p0uvs5xpxze9sxfpxapw" timestamp="1683966534"&gt;605&lt;/key&gt;&lt;/foreign-keys&gt;&lt;ref-type name="Journal Article"&gt;17&lt;/ref-type&gt;&lt;contributors&gt;&lt;authors&gt;&lt;author&gt;Zheng, Xiaomin&lt;/author&gt;&lt;author&gt;Wang, Lei&lt;/author&gt;&lt;author&gt;Wang, Meiting&lt;/author&gt;&lt;author&gt;Wu, Wenshuai&lt;/author&gt;&lt;author&gt;Chen, Jiajie&lt;/author&gt;&lt;author&gt;Qu, Junle&lt;/author&gt;&lt;author&gt;Gao, Bruce Zhi&lt;/author&gt;&lt;author&gt;Shao, Yonghong&lt;/author&gt;&lt;/authors&gt;&lt;/contributors&gt;&lt;titles&gt;&lt;title&gt;Resolution improvement of structured illumination microscopy using non-diffraction-limited point-scanned fluorescence fringe&lt;/title&gt;&lt;secondary-title&gt;Laser &amp;amp; Photonics Reviews&lt;/secondary-title&gt;&lt;/titles&gt;&lt;periodical&gt;&lt;full-title&gt;Laser &amp;amp; Photonics Reviews&lt;/full-title&gt;&lt;abbr-1&gt;Laser Photon. Rev.&lt;/abbr-1&gt;&lt;/periodical&gt;&lt;pages&gt;2200796&lt;/pages&gt;&lt;volume&gt;17&lt;/volume&gt;&lt;number&gt;7&lt;/number&gt;&lt;dates&gt;&lt;year&gt;2023&lt;/year&gt;&lt;/dates&gt;&lt;isbn&gt;1863-8880&lt;/isbn&gt;&lt;urls&gt;&lt;related-urls&gt;&lt;url&gt;https://onlinelibrary.wiley.com/doi/abs/10.1002/lpor.202200796&lt;/url&gt;&lt;/related-urls&gt;&lt;/urls&gt;&lt;electronic-resource-num&gt;https://doi.org/10.1002/lpor.202200796&lt;/electronic-resource-num&gt;&lt;/record&gt;&lt;/Cite&gt;&lt;/EndNote&gt;</w:instrText>
      </w:r>
      <w:r>
        <w:rPr>
          <w:rFonts w:ascii="Times New Roman" w:hAnsi="Times New Roman"/>
          <w:color w:val="000000" w:themeColor="text1"/>
          <w14:textFill>
            <w14:solidFill>
              <w14:schemeClr w14:val="tx1"/>
            </w14:solidFill>
          </w14:textFill>
        </w:rPr>
        <w:fldChar w:fldCharType="separate"/>
      </w:r>
      <w:r>
        <w:rPr>
          <w:rFonts w:ascii="Times New Roman" w:hAnsi="Times New Roman"/>
          <w:color w:val="000000" w:themeColor="text1"/>
          <w:vertAlign w:val="superscript"/>
          <w14:textFill>
            <w14:solidFill>
              <w14:schemeClr w14:val="tx1"/>
            </w14:solidFill>
          </w14:textFill>
        </w:rPr>
        <w:t>9</w:t>
      </w:r>
      <w:r>
        <w:rPr>
          <w:rFonts w:ascii="Times New Roman" w:hAnsi="Times New Roman"/>
          <w:color w:val="000000" w:themeColor="text1"/>
          <w14:textFill>
            <w14:solidFill>
              <w14:schemeClr w14:val="tx1"/>
            </w14:solidFill>
          </w14:textFill>
        </w:rPr>
        <w:fldChar w:fldCharType="end"/>
      </w:r>
      <w:r>
        <w:rPr>
          <w:rFonts w:ascii="Times New Roman" w:hAnsi="Times New Roman"/>
          <w:color w:val="000000" w:themeColor="text1"/>
          <w14:textFill>
            <w14:solidFill>
              <w14:schemeClr w14:val="tx1"/>
            </w14:solidFill>
          </w14:textFill>
        </w:rPr>
        <w:t>. LSSIM is compatible for autofluorescence super-resolution imaging with a resolution of ~80</w:t>
      </w:r>
      <w:r>
        <w:rPr>
          <w:rFonts w:hint="eastAsia" w:ascii="Times New Roman" w:hAnsi="Times New Roman"/>
          <w:color w:val="000000" w:themeColor="text1"/>
          <w:lang w:val="en-US" w:eastAsia="zh-CN"/>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nm, while it can improve the SNR of the raw data due to the optical sectioning brought by the confocal microscopy design.</w:t>
      </w:r>
    </w:p>
    <w:p w14:paraId="65405428">
      <w:pPr>
        <w:ind w:firstLine="42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In conclusion, our LSSIM is one of the most suitable techniques for the live cell super-resolution imaging for microalgae. LSSIM enables the dual-color autofluorescence super-resolution observation of live microalgae or higher plants, and therefore providing a precise view to observe the nanoscale spatial relationship of different pigment or other complex.</w:t>
      </w:r>
    </w:p>
    <w:p w14:paraId="46ECB811">
      <w:pPr>
        <w:rPr>
          <w:rFonts w:ascii="Times New Roman" w:hAnsi="Times New Roman"/>
          <w:color w:val="000000" w:themeColor="text1"/>
          <w14:textFill>
            <w14:solidFill>
              <w14:schemeClr w14:val="tx1"/>
            </w14:solidFill>
          </w14:textFill>
        </w:rPr>
      </w:pPr>
    </w:p>
    <w:p w14:paraId="40D2C55E">
      <w:pPr>
        <w:rPr>
          <w:rFonts w:ascii="Times New Roman" w:hAnsi="Times New Roman"/>
          <w:color w:val="000000" w:themeColor="text1"/>
          <w14:textFill>
            <w14:solidFill>
              <w14:schemeClr w14:val="tx1"/>
            </w14:solidFill>
          </w14:textFill>
        </w:rPr>
      </w:pPr>
    </w:p>
    <w:p w14:paraId="319AE8E4">
      <w:pPr>
        <w:rPr>
          <w:rFonts w:ascii="Times New Roman" w:hAnsi="Times New Roman"/>
          <w:color w:val="000000" w:themeColor="text1"/>
          <w14:textFill>
            <w14:solidFill>
              <w14:schemeClr w14:val="tx1"/>
            </w14:solidFill>
          </w14:textFill>
        </w:rPr>
      </w:pPr>
    </w:p>
    <w:p w14:paraId="346D2C6B">
      <w:pPr>
        <w:rPr>
          <w:rFonts w:ascii="Times New Roman" w:hAnsi="Times New Roman"/>
          <w:color w:val="000000" w:themeColor="text1"/>
          <w14:textFill>
            <w14:solidFill>
              <w14:schemeClr w14:val="tx1"/>
            </w14:solidFill>
          </w14:textFill>
        </w:rPr>
      </w:pPr>
    </w:p>
    <w:p w14:paraId="48812659">
      <w:pPr>
        <w:rPr>
          <w:rFonts w:ascii="Times New Roman" w:hAnsi="Times New Roman"/>
          <w:color w:val="000000" w:themeColor="text1"/>
          <w14:textFill>
            <w14:solidFill>
              <w14:schemeClr w14:val="tx1"/>
            </w14:solidFill>
          </w14:textFill>
        </w:rPr>
      </w:pPr>
    </w:p>
    <w:p w14:paraId="7BADBB49">
      <w:pPr>
        <w:rPr>
          <w:rFonts w:ascii="Times New Roman" w:hAnsi="Times New Roman"/>
          <w:color w:val="000000" w:themeColor="text1"/>
          <w14:textFill>
            <w14:solidFill>
              <w14:schemeClr w14:val="tx1"/>
            </w14:solidFill>
          </w14:textFill>
        </w:rPr>
      </w:pPr>
    </w:p>
    <w:p w14:paraId="603652EC">
      <w:pPr>
        <w:rPr>
          <w:rFonts w:ascii="Times New Roman" w:hAnsi="Times New Roman"/>
          <w:color w:val="000000" w:themeColor="text1"/>
          <w14:textFill>
            <w14:solidFill>
              <w14:schemeClr w14:val="tx1"/>
            </w14:solidFill>
          </w14:textFill>
        </w:rPr>
      </w:pPr>
    </w:p>
    <w:p w14:paraId="22AC3EDB">
      <w:pPr>
        <w:rPr>
          <w:rFonts w:ascii="Times New Roman" w:hAnsi="Times New Roman"/>
          <w:color w:val="000000" w:themeColor="text1"/>
          <w14:textFill>
            <w14:solidFill>
              <w14:schemeClr w14:val="tx1"/>
            </w14:solidFill>
          </w14:textFill>
        </w:rPr>
      </w:pPr>
    </w:p>
    <w:p w14:paraId="16406E96">
      <w:pPr>
        <w:rPr>
          <w:rFonts w:ascii="Times New Roman" w:hAnsi="Times New Roman"/>
          <w:color w:val="000000" w:themeColor="text1"/>
          <w14:textFill>
            <w14:solidFill>
              <w14:schemeClr w14:val="tx1"/>
            </w14:solidFill>
          </w14:textFill>
        </w:rPr>
      </w:pPr>
    </w:p>
    <w:p w14:paraId="514D7FCD">
      <w:pPr>
        <w:rPr>
          <w:rFonts w:ascii="Times New Roman" w:hAnsi="Times New Roman"/>
          <w:color w:val="000000" w:themeColor="text1"/>
          <w14:textFill>
            <w14:solidFill>
              <w14:schemeClr w14:val="tx1"/>
            </w14:solidFill>
          </w14:textFill>
        </w:rPr>
      </w:pPr>
    </w:p>
    <w:p w14:paraId="358559AD">
      <w:pPr>
        <w:rPr>
          <w:rFonts w:ascii="Times New Roman" w:hAnsi="Times New Roman"/>
          <w:color w:val="000000" w:themeColor="text1"/>
          <w14:textFill>
            <w14:solidFill>
              <w14:schemeClr w14:val="tx1"/>
            </w14:solidFill>
          </w14:textFill>
        </w:rPr>
      </w:pPr>
    </w:p>
    <w:p w14:paraId="37A6AD65">
      <w:pPr>
        <w:widowControl/>
        <w:jc w:val="left"/>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Supplementary Note 2</w:t>
      </w:r>
    </w:p>
    <w:p w14:paraId="467AD7E7">
      <w:pPr>
        <w:ind w:firstLine="420" w:firstLineChars="200"/>
      </w:pPr>
      <w:r>
        <w:rPr>
          <w:rFonts w:hint="eastAsia" w:ascii="Times New Roman" w:hAnsi="Times New Roman"/>
          <w:color w:val="000000" w:themeColor="text1"/>
          <w14:textFill>
            <w14:solidFill>
              <w14:schemeClr w14:val="tx1"/>
            </w14:solidFill>
          </w14:textFill>
        </w:rPr>
        <w:t>W</w:t>
      </w:r>
      <w:r>
        <w:rPr>
          <w:rFonts w:ascii="Times New Roman" w:hAnsi="Times New Roman"/>
          <w:color w:val="000000" w:themeColor="text1"/>
          <w14:textFill>
            <w14:solidFill>
              <w14:schemeClr w14:val="tx1"/>
            </w14:solidFill>
          </w14:textFill>
        </w:rPr>
        <w:t xml:space="preserve">e constructed our LSSIM setup based on the optical path design illustrated in Figure </w:t>
      </w:r>
      <w:r>
        <w:rPr>
          <w:rFonts w:hint="eastAsia" w:ascii="Times New Roman" w:hAnsi="Times New Roman"/>
          <w:color w:val="000000" w:themeColor="text1"/>
          <w14:textFill>
            <w14:solidFill>
              <w14:schemeClr w14:val="tx1"/>
            </w14:solidFill>
          </w14:textFill>
        </w:rPr>
        <w:t>S</w:t>
      </w:r>
      <w:r>
        <w:rPr>
          <w:rFonts w:ascii="Times New Roman" w:hAnsi="Times New Roman"/>
          <w:color w:val="000000" w:themeColor="text1"/>
          <w14:textFill>
            <w14:solidFill>
              <w14:schemeClr w14:val="tx1"/>
            </w14:solidFill>
          </w14:textFill>
        </w:rPr>
        <w:t>1. Light from a 488 nm semiconductor laser was first coupled into an approximately 3.5 µm diameter single-mode fiber. This light was then collimated into a parallel beam using a collimating lens. The beam subsequently passed through a half-wave plate and an electro-optic modulator (EOM), where its intensity was modulated point-by-point in a time series according to our designed nonlinear cosine function. Following modulation, the light was reflected by a dichroic mirror (DM1</w:t>
      </w:r>
      <w:r>
        <w:rPr>
          <w:rFonts w:hint="eastAsia"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 xml:space="preserve"> ZT405/488/561/647rpc, Chroma) onto a two-dimensional galvo scanner. It was then converged by a 60 mm focal length scanning lens, whose back focal plane coincided with the front focal plane of the tube lens within an inverted microscope.</w:t>
      </w:r>
      <w:r>
        <w:rPr>
          <w:rFonts w:ascii="Times New Roman" w:hAnsi="Times New Roman"/>
          <w:color w:val="FF0000"/>
        </w:rPr>
        <w:t xml:space="preserve"> </w:t>
      </w:r>
      <w:r>
        <w:rPr>
          <w:rFonts w:ascii="Times New Roman" w:hAnsi="Times New Roman"/>
          <w:color w:val="000000" w:themeColor="text1"/>
          <w14:textFill>
            <w14:solidFill>
              <w14:schemeClr w14:val="tx1"/>
            </w14:solidFill>
          </w14:textFill>
        </w:rPr>
        <w:t>The laser was subsequently focused onto the sample, mounted on an electrical control XY stage, by a 100</w:t>
      </w:r>
      <m:oMath>
        <m:r>
          <m:rPr>
            <m:sty m:val="p"/>
          </m:rPr>
          <w:rPr>
            <w:rFonts w:ascii="Cambria Math" w:hAnsi="Cambria Math"/>
            <w:color w:val="000000" w:themeColor="text1"/>
            <w14:textFill>
              <w14:solidFill>
                <w14:schemeClr w14:val="tx1"/>
              </w14:solidFill>
            </w14:textFill>
          </w:rPr>
          <m:t>×</m:t>
        </m:r>
      </m:oMath>
      <w:r>
        <w:rPr>
          <w:rFonts w:ascii="Times New Roman" w:hAnsi="Times New Roman"/>
          <w:color w:val="000000" w:themeColor="text1"/>
          <w14:textFill>
            <w14:solidFill>
              <w14:schemeClr w14:val="tx1"/>
            </w14:solidFill>
          </w14:textFill>
        </w:rPr>
        <w:t>oil-immersion objective lens</w:t>
      </w:r>
      <w:r>
        <w:rPr>
          <w:rFonts w:hint="eastAsia" w:ascii="Times New Roman" w:hAnsi="Times New Roman"/>
          <w:color w:val="000000" w:themeColor="text1"/>
          <w14:textFill>
            <w14:solidFill>
              <w14:schemeClr w14:val="tx1"/>
            </w14:solidFill>
          </w14:textFill>
        </w:rPr>
        <w:t xml:space="preserve"> (NA, 1.45)</w:t>
      </w:r>
      <w:r>
        <w:rPr>
          <w:rFonts w:ascii="Times New Roman" w:hAnsi="Times New Roman"/>
          <w:color w:val="000000" w:themeColor="text1"/>
          <w14:textFill>
            <w14:solidFill>
              <w14:schemeClr w14:val="tx1"/>
            </w14:solidFill>
          </w14:textFill>
        </w:rPr>
        <w:t xml:space="preserve"> mounted on a piezoelectric ceramic axial displacer. </w:t>
      </w:r>
      <w:r>
        <w:rPr>
          <w:rFonts w:hint="eastAsia" w:ascii="Times New Roman" w:hAnsi="Times New Roman"/>
          <w:color w:val="000000" w:themeColor="text1"/>
          <w14:textFill>
            <w14:solidFill>
              <w14:schemeClr w14:val="tx1"/>
            </w14:solidFill>
          </w14:textFill>
        </w:rPr>
        <w:t>Autof</w:t>
      </w:r>
      <w:r>
        <w:rPr>
          <w:rFonts w:ascii="Times New Roman" w:hAnsi="Times New Roman"/>
          <w:color w:val="000000" w:themeColor="text1"/>
          <w14:textFill>
            <w14:solidFill>
              <w14:schemeClr w14:val="tx1"/>
            </w14:solidFill>
          </w14:textFill>
        </w:rPr>
        <w:t xml:space="preserve">luorescent molecules excited by the laser emitted </w:t>
      </w:r>
      <w:r>
        <w:rPr>
          <w:rFonts w:hint="eastAsia" w:ascii="Times New Roman" w:hAnsi="Times New Roman"/>
          <w:color w:val="000000" w:themeColor="text1"/>
          <w14:textFill>
            <w14:solidFill>
              <w14:schemeClr w14:val="tx1"/>
            </w14:solidFill>
          </w14:textFill>
        </w:rPr>
        <w:t>auto</w:t>
      </w:r>
      <w:r>
        <w:rPr>
          <w:rFonts w:ascii="Times New Roman" w:hAnsi="Times New Roman"/>
          <w:color w:val="000000" w:themeColor="text1"/>
          <w14:textFill>
            <w14:solidFill>
              <w14:schemeClr w14:val="tx1"/>
            </w14:solidFill>
          </w14:textFill>
        </w:rPr>
        <w:t>fluorescence, which passed through the DM1 and was converged by a 100 mm focal length lens onto an electrically controlled pin-hole, effectively blocking most out-of-focus fluorescence originating from outside the objective's focal plane. Subsequently, the autofluorescence was separated into two beams by the DM2 (T570lpxr, Chroma). The separated fluorescence was filtered by filter</w:t>
      </w:r>
      <w:r>
        <w:rPr>
          <w:rFonts w:hint="eastAsia" w:ascii="Times New Roman" w:hAnsi="Times New Roman"/>
          <w:color w:val="000000" w:themeColor="text1"/>
          <w:lang w:val="en-US" w:eastAsia="zh-CN"/>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1 (519</w:t>
      </w:r>
      <w:r>
        <w:rPr>
          <w:rFonts w:hint="eastAsia"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26, Chroma) and filter</w:t>
      </w:r>
      <w:r>
        <w:rPr>
          <w:rFonts w:hint="eastAsia" w:ascii="Times New Roman" w:hAnsi="Times New Roman"/>
          <w:color w:val="000000" w:themeColor="text1"/>
          <w:lang w:val="en-US" w:eastAsia="zh-CN"/>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2</w:t>
      </w:r>
      <w:r>
        <w:rPr>
          <w:rFonts w:hint="eastAsia" w:ascii="Times New Roman" w:hAnsi="Times New Roman"/>
          <w:color w:val="000000" w:themeColor="text1"/>
          <w:lang w:val="en-US" w:eastAsia="zh-CN"/>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(650/40, Thorlabs), respectively. Finally, the two beams of autofluorescence signal w</w:t>
      </w:r>
      <w:r>
        <w:rPr>
          <w:rFonts w:hint="eastAsia" w:ascii="Times New Roman" w:hAnsi="Times New Roman"/>
          <w:color w:val="000000" w:themeColor="text1"/>
          <w:lang w:val="en-US" w:eastAsia="zh-CN"/>
          <w14:textFill>
            <w14:solidFill>
              <w14:schemeClr w14:val="tx1"/>
            </w14:solidFill>
          </w14:textFill>
        </w:rPr>
        <w:t>ere</w:t>
      </w:r>
      <w:r>
        <w:rPr>
          <w:rFonts w:ascii="Times New Roman" w:hAnsi="Times New Roman"/>
          <w:color w:val="000000" w:themeColor="text1"/>
          <w14:textFill>
            <w14:solidFill>
              <w14:schemeClr w14:val="tx1"/>
            </w14:solidFill>
          </w14:textFill>
        </w:rPr>
        <w:t xml:space="preserve"> collected and recorded by a photomultiplier tube (PMT) at the same time, enabling point-by-point image reconstruction on a personal computer (PC).</w:t>
      </w:r>
    </w:p>
    <w:p w14:paraId="09DC55FC">
      <w:pPr>
        <w:ind w:firstLine="600" w:firstLineChars="300"/>
        <w:rPr>
          <w:rFonts w:ascii="Times New Roman" w:hAnsi="Times New Roman"/>
          <w:sz w:val="20"/>
          <w:szCs w:val="20"/>
        </w:rPr>
      </w:pPr>
      <w:r>
        <w:rPr>
          <w:rFonts w:ascii="Times New Roman" w:hAnsi="Times New Roman"/>
          <w:sz w:val="20"/>
          <w:szCs w:val="20"/>
        </w:rPr>
        <w:drawing>
          <wp:anchor distT="0" distB="0" distL="114300" distR="114300" simplePos="0" relativeHeight="251659264" behindDoc="0" locked="0" layoutInCell="1" allowOverlap="1">
            <wp:simplePos x="0" y="0"/>
            <wp:positionH relativeFrom="column">
              <wp:posOffset>562610</wp:posOffset>
            </wp:positionH>
            <wp:positionV relativeFrom="paragraph">
              <wp:posOffset>195580</wp:posOffset>
            </wp:positionV>
            <wp:extent cx="4427855" cy="3542030"/>
            <wp:effectExtent l="0" t="0" r="0" b="1270"/>
            <wp:wrapTopAndBottom/>
            <wp:docPr id="1" name="图片 1" descr="C:\Users\Administrator\Desktop\小球藻论文\New\单光子共聚焦SIM光路图-2025-05-20-V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小球藻论文\New\单光子共聚焦SIM光路图-2025-05-20-V1.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4427855" cy="3542030"/>
                    </a:xfrm>
                    <a:prstGeom prst="rect">
                      <a:avLst/>
                    </a:prstGeom>
                    <a:noFill/>
                    <a:ln>
                      <a:noFill/>
                    </a:ln>
                  </pic:spPr>
                </pic:pic>
              </a:graphicData>
            </a:graphic>
          </wp:anchor>
        </w:drawing>
      </w:r>
    </w:p>
    <w:p w14:paraId="7D66758F">
      <w:pPr>
        <w:ind w:firstLine="540" w:firstLineChars="300"/>
        <w:jc w:val="center"/>
        <w:rPr>
          <w:rFonts w:ascii="Times New Roman" w:hAnsi="Times New Roman"/>
          <w:sz w:val="18"/>
          <w:szCs w:val="20"/>
        </w:rPr>
      </w:pPr>
      <w:r>
        <w:rPr>
          <w:rFonts w:hint="eastAsia" w:ascii="Times New Roman" w:hAnsi="Times New Roman"/>
          <w:sz w:val="18"/>
          <w:szCs w:val="20"/>
        </w:rPr>
        <w:t>F</w:t>
      </w:r>
      <w:r>
        <w:rPr>
          <w:rFonts w:ascii="Times New Roman" w:hAnsi="Times New Roman"/>
          <w:sz w:val="18"/>
          <w:szCs w:val="20"/>
        </w:rPr>
        <w:t>igure</w:t>
      </w:r>
      <w:r>
        <w:rPr>
          <w:rFonts w:hint="eastAsia" w:ascii="Times New Roman" w:hAnsi="Times New Roman"/>
          <w:sz w:val="18"/>
          <w:szCs w:val="20"/>
          <w:lang w:val="en-US" w:eastAsia="zh-CN"/>
        </w:rPr>
        <w:t xml:space="preserve"> </w:t>
      </w:r>
      <w:r>
        <w:rPr>
          <w:rFonts w:ascii="Times New Roman" w:hAnsi="Times New Roman"/>
          <w:sz w:val="18"/>
          <w:szCs w:val="20"/>
        </w:rPr>
        <w:t>S1 The setup of LSSIM</w:t>
      </w:r>
    </w:p>
    <w:p w14:paraId="19A9C1EF">
      <w:pPr>
        <w:ind w:firstLine="600" w:firstLineChars="300"/>
        <w:rPr>
          <w:rFonts w:ascii="Times New Roman" w:hAnsi="Times New Roman"/>
          <w:sz w:val="20"/>
          <w:szCs w:val="20"/>
        </w:rPr>
      </w:pPr>
      <w:r>
        <w:rPr>
          <w:rFonts w:ascii="Times New Roman" w:hAnsi="Times New Roman"/>
          <w:sz w:val="20"/>
          <w:szCs w:val="20"/>
        </w:rPr>
        <w:t>In the LSSIM system, a PC controls three key devices—the EOM, 2D galvo scanner, and PMT—all interfaced through a single National Instruments PCIe-6363 data acquisition (DAQ) card. Synchronous operation of these devices is managed by a custom LabVIEW program. Prior to digitization by the DAQ card, the PMT output signal was amplified using a Stanford Research Systems SR570 low-noise preamplifier. The EOM's modulation was precisely synchronized with the galvo scanner motion using a line trigger signal. During experiments, the image acquisition rate was set to 1.6fps (800</w:t>
      </w:r>
      <m:oMath>
        <m:r>
          <m:rPr>
            <m:sty m:val="p"/>
          </m:rPr>
          <w:rPr>
            <w:rFonts w:ascii="Cambria Math" w:hAnsi="Cambria Math"/>
            <w:sz w:val="20"/>
            <w:szCs w:val="20"/>
          </w:rPr>
          <m:t>×</m:t>
        </m:r>
      </m:oMath>
      <w:r>
        <w:rPr>
          <w:rFonts w:ascii="Times New Roman" w:hAnsi="Times New Roman"/>
          <w:sz w:val="20"/>
          <w:szCs w:val="20"/>
        </w:rPr>
        <w:t>800 pixels).</w:t>
      </w:r>
    </w:p>
    <w:p w14:paraId="055155FA"/>
    <w:p w14:paraId="6D672647">
      <w:pPr>
        <w:widowControl/>
        <w:jc w:val="left"/>
      </w:pPr>
      <w:r>
        <w:br w:type="page"/>
      </w:r>
    </w:p>
    <w:p w14:paraId="75BF8985">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Supplementary Note 3</w:t>
      </w:r>
    </w:p>
    <w:p w14:paraId="5543AE1C">
      <w:pPr>
        <w:ind w:firstLine="420" w:firstLineChars="200"/>
      </w:pPr>
      <w:r>
        <w:rPr>
          <w:rFonts w:ascii="Times New Roman" w:hAnsi="Times New Roman"/>
        </w:rPr>
        <w:t xml:space="preserve">We assessed the resolving power of our LSSIM using 70±5 nm fluorescent nanorulers (GATTA-SIM, 70B) as the test sample. As demonstrated in the right region of Figure S2, LSSIM achieved a resolution of 76 nm, where it successfully distinguished two dots spaced 76 nm apart. </w:t>
      </w:r>
    </w:p>
    <w:p w14:paraId="1A988533">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drawing>
          <wp:anchor distT="0" distB="0" distL="114300" distR="114300" simplePos="0" relativeHeight="251660288" behindDoc="0" locked="0" layoutInCell="1" allowOverlap="1">
            <wp:simplePos x="0" y="0"/>
            <wp:positionH relativeFrom="column">
              <wp:posOffset>519430</wp:posOffset>
            </wp:positionH>
            <wp:positionV relativeFrom="paragraph">
              <wp:posOffset>320040</wp:posOffset>
            </wp:positionV>
            <wp:extent cx="3780155" cy="4146550"/>
            <wp:effectExtent l="0" t="0" r="7620" b="0"/>
            <wp:wrapTopAndBottom/>
            <wp:docPr id="4" name="图片 4" descr="C:\Users\Administrator\Desktop\小球藻论文\New\分辨率标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小球藻论文\New\分辨率标定.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3780000" cy="4146625"/>
                    </a:xfrm>
                    <a:prstGeom prst="rect">
                      <a:avLst/>
                    </a:prstGeom>
                    <a:noFill/>
                    <a:ln>
                      <a:noFill/>
                    </a:ln>
                  </pic:spPr>
                </pic:pic>
              </a:graphicData>
            </a:graphic>
          </wp:anchor>
        </w:drawing>
      </w:r>
    </w:p>
    <w:p w14:paraId="1057EFEB">
      <w:pPr>
        <w:rPr>
          <w:rFonts w:ascii="Times New Roman" w:hAnsi="Times New Roman"/>
          <w:color w:val="000000" w:themeColor="text1"/>
          <w:sz w:val="18"/>
          <w14:textFill>
            <w14:solidFill>
              <w14:schemeClr w14:val="tx1"/>
            </w14:solidFill>
          </w14:textFill>
        </w:rPr>
      </w:pPr>
      <w:r>
        <w:rPr>
          <w:rFonts w:ascii="Times New Roman" w:hAnsi="Times New Roman"/>
          <w:color w:val="000000" w:themeColor="text1"/>
          <w:sz w:val="18"/>
          <w14:textFill>
            <w14:solidFill>
              <w14:schemeClr w14:val="tx1"/>
            </w14:solidFill>
          </w14:textFill>
        </w:rPr>
        <w:t>Figure</w:t>
      </w:r>
      <w:r>
        <w:rPr>
          <w:rFonts w:hint="eastAsia" w:ascii="Times New Roman" w:hAnsi="Times New Roman"/>
          <w:color w:val="000000" w:themeColor="text1"/>
          <w:sz w:val="18"/>
          <w:lang w:val="en-US" w:eastAsia="zh-CN"/>
          <w14:textFill>
            <w14:solidFill>
              <w14:schemeClr w14:val="tx1"/>
            </w14:solidFill>
          </w14:textFill>
        </w:rPr>
        <w:t xml:space="preserve"> </w:t>
      </w:r>
      <w:r>
        <w:rPr>
          <w:rFonts w:ascii="Times New Roman" w:hAnsi="Times New Roman"/>
          <w:color w:val="000000" w:themeColor="text1"/>
          <w:sz w:val="18"/>
          <w14:textFill>
            <w14:solidFill>
              <w14:schemeClr w14:val="tx1"/>
            </w14:solidFill>
          </w14:textFill>
        </w:rPr>
        <w:t>S2 Comparison between the confocal microscopy and LSSIM in the imaging of the 70±5 nm fluorescent nanorulers.</w:t>
      </w:r>
    </w:p>
    <w:p w14:paraId="04E4DD6A">
      <w:pPr>
        <w:rPr>
          <w:rFonts w:ascii="Times New Roman" w:hAnsi="Times New Roman"/>
          <w:b/>
          <w:color w:val="000000" w:themeColor="text1"/>
          <w14:textFill>
            <w14:solidFill>
              <w14:schemeClr w14:val="tx1"/>
            </w14:solidFill>
          </w14:textFill>
        </w:rPr>
      </w:pPr>
    </w:p>
    <w:p w14:paraId="24B2447F">
      <w:pPr>
        <w:widowControl/>
        <w:jc w:val="left"/>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br w:type="page"/>
      </w:r>
    </w:p>
    <w:p w14:paraId="7FEA5A53">
      <w:pPr>
        <w:rPr>
          <w:rFonts w:ascii="Times New Roman" w:hAnsi="Times New Roman"/>
          <w:b/>
          <w:color w:val="000000" w:themeColor="text1"/>
          <w14:textFill>
            <w14:solidFill>
              <w14:schemeClr w14:val="tx1"/>
            </w14:solidFill>
          </w14:textFill>
        </w:rPr>
      </w:pPr>
      <w:r>
        <w:drawing>
          <wp:anchor distT="0" distB="0" distL="114300" distR="114300" simplePos="0" relativeHeight="251661312" behindDoc="0" locked="0" layoutInCell="1" allowOverlap="1">
            <wp:simplePos x="0" y="0"/>
            <wp:positionH relativeFrom="column">
              <wp:posOffset>-135255</wp:posOffset>
            </wp:positionH>
            <wp:positionV relativeFrom="paragraph">
              <wp:posOffset>316230</wp:posOffset>
            </wp:positionV>
            <wp:extent cx="5486400" cy="3397885"/>
            <wp:effectExtent l="0" t="0" r="0" b="0"/>
            <wp:wrapTopAndBottom/>
            <wp:docPr id="6" name="图片 6" descr="C:\Users\Administrator\Desktop\小球藻论文\New\光谱数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小球藻论文\New\光谱数据.jpg"/>
                    <pic:cNvPicPr>
                      <a:picLocks noChangeAspect="1" noChangeArrowheads="1"/>
                    </pic:cNvPicPr>
                  </pic:nvPicPr>
                  <pic:blipFill>
                    <a:blip r:embed="rId6">
                      <a:extLst>
                        <a:ext uri="{28A0092B-C50C-407E-A947-70E740481C1C}">
                          <a14:useLocalDpi xmlns:a14="http://schemas.microsoft.com/office/drawing/2010/main" val="0"/>
                        </a:ext>
                      </a:extLst>
                    </a:blip>
                    <a:srcRect t="9449" b="7952"/>
                    <a:stretch>
                      <a:fillRect/>
                    </a:stretch>
                  </pic:blipFill>
                  <pic:spPr>
                    <a:xfrm>
                      <a:off x="0" y="0"/>
                      <a:ext cx="5486400" cy="3397885"/>
                    </a:xfrm>
                    <a:prstGeom prst="rect">
                      <a:avLst/>
                    </a:prstGeom>
                    <a:noFill/>
                    <a:ln>
                      <a:noFill/>
                    </a:ln>
                  </pic:spPr>
                </pic:pic>
              </a:graphicData>
            </a:graphic>
          </wp:anchor>
        </w:drawing>
      </w:r>
      <w:r>
        <w:rPr>
          <w:rFonts w:ascii="Times New Roman" w:hAnsi="Times New Roman"/>
          <w:b/>
          <w:color w:val="000000" w:themeColor="text1"/>
          <w14:textFill>
            <w14:solidFill>
              <w14:schemeClr w14:val="tx1"/>
            </w14:solidFill>
          </w14:textFill>
        </w:rPr>
        <w:t>Supplementary Note 4</w:t>
      </w:r>
    </w:p>
    <w:p w14:paraId="33FFF094">
      <w:pPr>
        <w:jc w:val="center"/>
        <w:rPr>
          <w:rFonts w:ascii="Times New Roman" w:hAnsi="Times New Roman"/>
          <w:color w:val="000000" w:themeColor="text1"/>
          <w:sz w:val="18"/>
          <w14:textFill>
            <w14:solidFill>
              <w14:schemeClr w14:val="tx1"/>
            </w14:solidFill>
          </w14:textFill>
        </w:rPr>
      </w:pPr>
      <w:r>
        <w:rPr>
          <w:rFonts w:ascii="Times New Roman" w:hAnsi="Times New Roman"/>
          <w:color w:val="000000" w:themeColor="text1"/>
          <w:sz w:val="18"/>
          <w14:textFill>
            <w14:solidFill>
              <w14:schemeClr w14:val="tx1"/>
            </w14:solidFill>
          </w14:textFill>
        </w:rPr>
        <w:t>Figure</w:t>
      </w:r>
      <w:r>
        <w:rPr>
          <w:rFonts w:hint="eastAsia" w:ascii="Times New Roman" w:hAnsi="Times New Roman"/>
          <w:color w:val="000000" w:themeColor="text1"/>
          <w:sz w:val="18"/>
          <w:lang w:val="en-US" w:eastAsia="zh-CN"/>
          <w14:textFill>
            <w14:solidFill>
              <w14:schemeClr w14:val="tx1"/>
            </w14:solidFill>
          </w14:textFill>
        </w:rPr>
        <w:t xml:space="preserve"> </w:t>
      </w:r>
      <w:r>
        <w:rPr>
          <w:rFonts w:ascii="Times New Roman" w:hAnsi="Times New Roman"/>
          <w:color w:val="000000" w:themeColor="text1"/>
          <w:sz w:val="18"/>
          <w14:textFill>
            <w14:solidFill>
              <w14:schemeClr w14:val="tx1"/>
            </w14:solidFill>
          </w14:textFill>
        </w:rPr>
        <w:t xml:space="preserve">S3 The autofluorescence images of live </w:t>
      </w:r>
      <w:r>
        <w:rPr>
          <w:rFonts w:ascii="Times New Roman" w:hAnsi="Times New Roman"/>
          <w:i/>
          <w:color w:val="000000" w:themeColor="text1"/>
          <w:sz w:val="18"/>
          <w14:textFill>
            <w14:solidFill>
              <w14:schemeClr w14:val="tx1"/>
            </w14:solidFill>
          </w14:textFill>
        </w:rPr>
        <w:t>Chlorella</w:t>
      </w:r>
      <w:r>
        <w:rPr>
          <w:rFonts w:ascii="Times New Roman" w:hAnsi="Times New Roman"/>
          <w:color w:val="000000" w:themeColor="text1"/>
          <w:sz w:val="18"/>
          <w14:textFill>
            <w14:solidFill>
              <w14:schemeClr w14:val="tx1"/>
            </w14:solidFill>
          </w14:textFill>
        </w:rPr>
        <w:t xml:space="preserve"> captured by SP8 in different detection band under 488nm excitation </w:t>
      </w:r>
    </w:p>
    <w:p w14:paraId="33469BC6">
      <w:pPr>
        <w:widowControl/>
        <w:jc w:val="left"/>
      </w:pPr>
      <w:r>
        <w:br w:type="page"/>
      </w:r>
    </w:p>
    <w:p w14:paraId="002C4009">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Supplementary Note 5</w:t>
      </w:r>
    </w:p>
    <w:p w14:paraId="6705401C">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w:t>
      </w:r>
      <w:r>
        <w:rPr>
          <w:rFonts w:ascii="Times New Roman" w:hAnsi="Times New Roman"/>
          <w:b/>
        </w:rPr>
        <w:t>uper-resolution image reconstruction process</w:t>
      </w:r>
    </w:p>
    <w:p w14:paraId="6BDF6795">
      <w:pPr>
        <w:widowControl/>
        <w:ind w:firstLine="420" w:firstLineChars="200"/>
        <w:rPr>
          <w:rFonts w:ascii="Times New Roman" w:hAnsi="Times New Roman"/>
          <w:b/>
          <w:color w:val="000000" w:themeColor="text1"/>
          <w14:textFill>
            <w14:solidFill>
              <w14:schemeClr w14:val="tx1"/>
            </w14:solidFill>
          </w14:textFill>
        </w:rPr>
      </w:pPr>
      <w:r>
        <w:rPr>
          <w:rFonts w:ascii="Times New Roman" w:hAnsi="Times New Roman"/>
        </w:rPr>
        <w:t>Super-resolution image reconstruction was performed using the LSSIM algorithm, implemented in a custom MATLAB program. The process began with background subtraction from the raw data. The LSSIM algorithm then extracted low- and high-frequency components</w:t>
      </w:r>
      <w:r>
        <w:rPr>
          <w:rFonts w:ascii="Times New Roman" w:hAnsi="Times New Roman"/>
          <w:vertAlign w:val="superscript"/>
        </w:rPr>
        <w:t>9</w:t>
      </w:r>
      <w:r>
        <w:rPr>
          <w:rFonts w:ascii="Times New Roman" w:hAnsi="Times New Roman"/>
        </w:rPr>
        <w:t xml:space="preserve">. Following Gaussian filtering, these components were shifted back to their original positions in the frequency domain. Subsequently, each component was multiplied by a calculated phase value to correct for initial phase shifts. Then, the processed components were linearly combined using adjustable weights to generate the super-resolution image. Finally, the reconstructed images </w:t>
      </w:r>
      <w:r>
        <w:rPr>
          <w:rFonts w:hint="eastAsia" w:ascii="Times New Roman" w:hAnsi="Times New Roman"/>
          <w:lang w:val="en-US" w:eastAsia="zh-CN"/>
        </w:rPr>
        <w:t>were</w:t>
      </w:r>
      <w:r>
        <w:rPr>
          <w:rFonts w:ascii="Times New Roman" w:hAnsi="Times New Roman"/>
        </w:rPr>
        <w:t xml:space="preserve"> processed by the BM3D algorithm (an image denoising algorithm) to remove the noise </w:t>
      </w:r>
      <w:r>
        <w:rPr>
          <w:rFonts w:hint="eastAsia" w:ascii="Times New Roman" w:hAnsi="Times New Roman"/>
        </w:rPr>
        <w:t>to a certain extent</w:t>
      </w:r>
      <w:r>
        <w:rPr>
          <w:rFonts w:ascii="Times New Roman" w:hAnsi="Times New Roman"/>
        </w:rPr>
        <w:t>.</w:t>
      </w:r>
      <w:r>
        <w:rPr>
          <w:rFonts w:ascii="Times New Roman" w:hAnsi="Times New Roman"/>
          <w:b/>
          <w:color w:val="000000" w:themeColor="text1"/>
          <w14:textFill>
            <w14:solidFill>
              <w14:schemeClr w14:val="tx1"/>
            </w14:solidFill>
          </w14:textFill>
        </w:rPr>
        <w:br w:type="page"/>
      </w:r>
    </w:p>
    <w:p w14:paraId="63695BD1">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Supplementary Note 6</w:t>
      </w:r>
    </w:p>
    <w:p w14:paraId="29CFEFBC">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sz w:val="20"/>
          <w14:textFill>
            <w14:solidFill>
              <w14:schemeClr w14:val="tx1"/>
            </w14:solidFill>
          </w14:textFill>
        </w:rPr>
        <w:t>Comparison between the resolve capability of the commercial SIM and LSSIM</w:t>
      </w:r>
      <w:r>
        <w:rPr>
          <w:rFonts w:ascii="Times New Roman" w:hAnsi="Times New Roman"/>
          <w:b/>
          <w:color w:val="000000" w:themeColor="text1"/>
          <w14:textFill>
            <w14:solidFill>
              <w14:schemeClr w14:val="tx1"/>
            </w14:solidFill>
          </w14:textFill>
        </w:rPr>
        <w:t xml:space="preserve"> </w:t>
      </w:r>
    </w:p>
    <w:p w14:paraId="47F52EF3">
      <w:pPr>
        <w:rPr>
          <w:rFonts w:ascii="Times New Roman" w:hAnsi="Times New Roman"/>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drawing>
          <wp:anchor distT="0" distB="0" distL="114300" distR="114300" simplePos="0" relativeHeight="251662336" behindDoc="0" locked="0" layoutInCell="1" allowOverlap="1">
            <wp:simplePos x="0" y="0"/>
            <wp:positionH relativeFrom="column">
              <wp:posOffset>382905</wp:posOffset>
            </wp:positionH>
            <wp:positionV relativeFrom="paragraph">
              <wp:posOffset>862330</wp:posOffset>
            </wp:positionV>
            <wp:extent cx="4476115" cy="3527425"/>
            <wp:effectExtent l="0" t="0" r="635" b="0"/>
            <wp:wrapTopAndBottom/>
            <wp:docPr id="8" name="图片 8" descr="C:\Users\Administrator\Desktop\小球藻论文\New\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小球藻论文\New\FS.jpg"/>
                    <pic:cNvPicPr>
                      <a:picLocks noChangeAspect="1" noChangeArrowheads="1"/>
                    </pic:cNvPicPr>
                  </pic:nvPicPr>
                  <pic:blipFill>
                    <a:blip r:embed="rId7">
                      <a:extLst>
                        <a:ext uri="{28A0092B-C50C-407E-A947-70E740481C1C}">
                          <a14:useLocalDpi xmlns:a14="http://schemas.microsoft.com/office/drawing/2010/main" val="0"/>
                        </a:ext>
                      </a:extLst>
                    </a:blip>
                    <a:srcRect l="12598" t="1926" r="12462" b="19331"/>
                    <a:stretch>
                      <a:fillRect/>
                    </a:stretch>
                  </pic:blipFill>
                  <pic:spPr>
                    <a:xfrm>
                      <a:off x="0" y="0"/>
                      <a:ext cx="4476115" cy="3527425"/>
                    </a:xfrm>
                    <a:prstGeom prst="rect">
                      <a:avLst/>
                    </a:prstGeom>
                    <a:noFill/>
                    <a:ln>
                      <a:noFill/>
                    </a:ln>
                  </pic:spPr>
                </pic:pic>
              </a:graphicData>
            </a:graphic>
          </wp:anchor>
        </w:drawing>
      </w:r>
      <w:r>
        <w:rPr>
          <w:rFonts w:ascii="Times New Roman" w:hAnsi="Times New Roman"/>
          <w:b/>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 xml:space="preserve">We selected the powerful commercial SIM (Multi-SIM X, Beijing NAXI) to image the live </w:t>
      </w:r>
      <w:r>
        <w:rPr>
          <w:rFonts w:ascii="Times New Roman" w:hAnsi="Times New Roman"/>
          <w:i/>
          <w:color w:val="000000" w:themeColor="text1"/>
          <w14:textFill>
            <w14:solidFill>
              <w14:schemeClr w14:val="tx1"/>
            </w14:solidFill>
          </w14:textFill>
        </w:rPr>
        <w:t xml:space="preserve">Chlorella </w:t>
      </w:r>
      <w:r>
        <w:rPr>
          <w:rFonts w:ascii="Times New Roman" w:hAnsi="Times New Roman"/>
          <w:color w:val="000000" w:themeColor="text1"/>
          <w14:textFill>
            <w14:solidFill>
              <w14:schemeClr w14:val="tx1"/>
            </w14:solidFill>
          </w14:textFill>
        </w:rPr>
        <w:t>and therefore to compare the resolv</w:t>
      </w:r>
      <w:r>
        <w:rPr>
          <w:rFonts w:hint="eastAsia" w:ascii="Times New Roman" w:hAnsi="Times New Roman"/>
          <w:color w:val="000000" w:themeColor="text1"/>
          <w:lang w:val="en-US" w:eastAsia="zh-CN"/>
          <w14:textFill>
            <w14:solidFill>
              <w14:schemeClr w14:val="tx1"/>
            </w14:solidFill>
          </w14:textFill>
        </w:rPr>
        <w:t>ing</w:t>
      </w:r>
      <w:r>
        <w:rPr>
          <w:rFonts w:ascii="Times New Roman" w:hAnsi="Times New Roman"/>
          <w:color w:val="000000" w:themeColor="text1"/>
          <w14:textFill>
            <w14:solidFill>
              <w14:schemeClr w14:val="tx1"/>
            </w14:solidFill>
          </w14:textFill>
        </w:rPr>
        <w:t xml:space="preserve"> power between Multi-SIM X and our home-built LSSIM. As is shown in Figure S4, our LSSIM </w:t>
      </w:r>
      <w:r>
        <w:rPr>
          <w:rFonts w:hint="eastAsia" w:ascii="Times New Roman" w:hAnsi="Times New Roman"/>
          <w:color w:val="000000" w:themeColor="text1"/>
          <w14:textFill>
            <w14:solidFill>
              <w14:schemeClr w14:val="tx1"/>
            </w14:solidFill>
          </w14:textFill>
        </w:rPr>
        <w:t>depicted</w:t>
      </w:r>
      <w:r>
        <w:rPr>
          <w:rFonts w:ascii="Times New Roman" w:hAnsi="Times New Roman"/>
          <w:color w:val="000000" w:themeColor="text1"/>
          <w14:textFill>
            <w14:solidFill>
              <w14:schemeClr w14:val="tx1"/>
            </w14:solidFill>
          </w14:textFill>
        </w:rPr>
        <w:t xml:space="preserve"> a more detailed nanoscale intertwined architecture than Multi-SIM X</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did.</w:t>
      </w:r>
    </w:p>
    <w:p w14:paraId="658A4BE5">
      <w:pPr>
        <w:rPr>
          <w:rFonts w:ascii="Times New Roman" w:hAnsi="Times New Roman"/>
          <w:color w:val="000000" w:themeColor="text1"/>
          <w:sz w:val="18"/>
          <w14:textFill>
            <w14:solidFill>
              <w14:schemeClr w14:val="tx1"/>
            </w14:solidFill>
          </w14:textFill>
        </w:rPr>
      </w:pPr>
      <w:r>
        <w:rPr>
          <w:rFonts w:ascii="Times New Roman" w:hAnsi="Times New Roman"/>
          <w:color w:val="000000" w:themeColor="text1"/>
          <w:sz w:val="18"/>
          <w14:textFill>
            <w14:solidFill>
              <w14:schemeClr w14:val="tx1"/>
            </w14:solidFill>
          </w14:textFill>
        </w:rPr>
        <w:t>Figure</w:t>
      </w:r>
      <w:r>
        <w:rPr>
          <w:rFonts w:hint="eastAsia" w:ascii="Times New Roman" w:hAnsi="Times New Roman"/>
          <w:color w:val="000000" w:themeColor="text1"/>
          <w:sz w:val="18"/>
          <w:lang w:val="en-US" w:eastAsia="zh-CN"/>
          <w14:textFill>
            <w14:solidFill>
              <w14:schemeClr w14:val="tx1"/>
            </w14:solidFill>
          </w14:textFill>
        </w:rPr>
        <w:t xml:space="preserve"> </w:t>
      </w:r>
      <w:r>
        <w:rPr>
          <w:rFonts w:ascii="Times New Roman" w:hAnsi="Times New Roman"/>
          <w:color w:val="000000" w:themeColor="text1"/>
          <w:sz w:val="18"/>
          <w14:textFill>
            <w14:solidFill>
              <w14:schemeClr w14:val="tx1"/>
            </w14:solidFill>
          </w14:textFill>
        </w:rPr>
        <w:t xml:space="preserve">S4 Comparison between the commercial Multi-SIM X and our LSSIM in the imaging of the live </w:t>
      </w:r>
      <w:r>
        <w:rPr>
          <w:rFonts w:ascii="Times New Roman" w:hAnsi="Times New Roman"/>
          <w:i/>
          <w:color w:val="000000" w:themeColor="text1"/>
          <w:sz w:val="18"/>
          <w14:textFill>
            <w14:solidFill>
              <w14:schemeClr w14:val="tx1"/>
            </w14:solidFill>
          </w14:textFill>
        </w:rPr>
        <w:t>Chlorella</w:t>
      </w:r>
      <w:r>
        <w:rPr>
          <w:rFonts w:hint="eastAsia" w:ascii="Times New Roman" w:hAnsi="Times New Roman"/>
          <w:i/>
          <w:color w:val="000000" w:themeColor="text1"/>
          <w:sz w:val="18"/>
          <w14:textFill>
            <w14:solidFill>
              <w14:schemeClr w14:val="tx1"/>
            </w14:solidFill>
          </w14:textFill>
        </w:rPr>
        <w:t>.</w:t>
      </w:r>
    </w:p>
    <w:p w14:paraId="727BF29E">
      <w:pPr>
        <w:tabs>
          <w:tab w:val="left" w:pos="60"/>
        </w:tabs>
        <w:rPr>
          <w:rFonts w:ascii="Times New Roman" w:hAnsi="Times New Roman"/>
        </w:rPr>
      </w:pPr>
    </w:p>
    <w:p w14:paraId="3BEC45D2">
      <w:pPr>
        <w:rPr>
          <w:rFonts w:ascii="Times New Roman" w:hAnsi="Times New Roman"/>
          <w:b/>
          <w:color w:val="000000" w:themeColor="text1"/>
          <w14:textFill>
            <w14:solidFill>
              <w14:schemeClr w14:val="tx1"/>
            </w14:solidFill>
          </w14:textFill>
        </w:rPr>
      </w:pPr>
      <w:r>
        <w:rPr>
          <w:rFonts w:ascii="Times New Roman" w:hAnsi="Times New Roman"/>
        </w:rPr>
        <w:br w:type="page"/>
      </w:r>
      <w:r>
        <w:drawing>
          <wp:anchor distT="0" distB="0" distL="114300" distR="114300" simplePos="0" relativeHeight="251663360" behindDoc="0" locked="0" layoutInCell="1" allowOverlap="1">
            <wp:simplePos x="0" y="0"/>
            <wp:positionH relativeFrom="column">
              <wp:posOffset>-136525</wp:posOffset>
            </wp:positionH>
            <wp:positionV relativeFrom="paragraph">
              <wp:posOffset>297815</wp:posOffset>
            </wp:positionV>
            <wp:extent cx="5486400" cy="4114800"/>
            <wp:effectExtent l="0" t="0" r="0" b="0"/>
            <wp:wrapTopAndBottom/>
            <wp:docPr id="9" name="图片 9" descr="C:\Users\Administrator\Desktop\小球藻论文\New\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小球藻论文\New\3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486400" cy="4114800"/>
                    </a:xfrm>
                    <a:prstGeom prst="rect">
                      <a:avLst/>
                    </a:prstGeom>
                    <a:noFill/>
                    <a:ln>
                      <a:noFill/>
                    </a:ln>
                  </pic:spPr>
                </pic:pic>
              </a:graphicData>
            </a:graphic>
          </wp:anchor>
        </w:drawing>
      </w:r>
      <w:r>
        <w:rPr>
          <w:rFonts w:ascii="Times New Roman" w:hAnsi="Times New Roman"/>
          <w:b/>
          <w:color w:val="000000" w:themeColor="text1"/>
          <w14:textFill>
            <w14:solidFill>
              <w14:schemeClr w14:val="tx1"/>
            </w14:solidFill>
          </w14:textFill>
        </w:rPr>
        <w:t>Supplementary Note 7</w:t>
      </w:r>
    </w:p>
    <w:p w14:paraId="2161CFBF">
      <w:pPr>
        <w:jc w:val="center"/>
        <w:rPr>
          <w:rFonts w:ascii="Times New Roman" w:hAnsi="Times New Roman"/>
          <w:color w:val="000000" w:themeColor="text1"/>
          <w:sz w:val="18"/>
          <w14:textFill>
            <w14:solidFill>
              <w14:schemeClr w14:val="tx1"/>
            </w14:solidFill>
          </w14:textFill>
        </w:rPr>
      </w:pPr>
      <w:r>
        <w:rPr>
          <w:rFonts w:ascii="Times New Roman" w:hAnsi="Times New Roman"/>
          <w:color w:val="000000" w:themeColor="text1"/>
          <w:sz w:val="18"/>
          <w14:textFill>
            <w14:solidFill>
              <w14:schemeClr w14:val="tx1"/>
            </w14:solidFill>
          </w14:textFill>
        </w:rPr>
        <w:t>Figure</w:t>
      </w:r>
      <w:r>
        <w:rPr>
          <w:rFonts w:hint="eastAsia" w:ascii="Times New Roman" w:hAnsi="Times New Roman"/>
          <w:color w:val="000000" w:themeColor="text1"/>
          <w:sz w:val="18"/>
          <w:lang w:val="en-US" w:eastAsia="zh-CN"/>
          <w14:textFill>
            <w14:solidFill>
              <w14:schemeClr w14:val="tx1"/>
            </w14:solidFill>
          </w14:textFill>
        </w:rPr>
        <w:t xml:space="preserve"> </w:t>
      </w:r>
      <w:r>
        <w:rPr>
          <w:rFonts w:ascii="Times New Roman" w:hAnsi="Times New Roman"/>
          <w:color w:val="000000" w:themeColor="text1"/>
          <w:sz w:val="18"/>
          <w14:textFill>
            <w14:solidFill>
              <w14:schemeClr w14:val="tx1"/>
            </w14:solidFill>
          </w14:textFill>
        </w:rPr>
        <w:t>S5 The 3D projection of the live</w:t>
      </w:r>
      <w:r>
        <w:rPr>
          <w:rFonts w:ascii="Times New Roman" w:hAnsi="Times New Roman"/>
          <w:i/>
          <w:color w:val="000000" w:themeColor="text1"/>
          <w:sz w:val="18"/>
          <w14:textFill>
            <w14:solidFill>
              <w14:schemeClr w14:val="tx1"/>
            </w14:solidFill>
          </w14:textFill>
        </w:rPr>
        <w:t xml:space="preserve"> Chlorella</w:t>
      </w:r>
      <w:r>
        <w:rPr>
          <w:rFonts w:ascii="Times New Roman" w:hAnsi="Times New Roman"/>
          <w:color w:val="000000" w:themeColor="text1"/>
          <w:sz w:val="18"/>
          <w14:textFill>
            <w14:solidFill>
              <w14:schemeClr w14:val="tx1"/>
            </w14:solidFill>
          </w14:textFill>
        </w:rPr>
        <w:t xml:space="preserve"> 3D super-resolution images in different angles of view</w:t>
      </w:r>
      <w:r>
        <w:rPr>
          <w:rFonts w:hint="eastAsia" w:ascii="Times New Roman" w:hAnsi="Times New Roman"/>
          <w:color w:val="000000" w:themeColor="text1"/>
          <w:sz w:val="18"/>
          <w14:textFill>
            <w14:solidFill>
              <w14:schemeClr w14:val="tx1"/>
            </w14:solidFill>
          </w14:textFill>
        </w:rPr>
        <w:t xml:space="preserve">. </w:t>
      </w:r>
      <w:r>
        <w:rPr>
          <w:rFonts w:hint="eastAsia" w:ascii="Times New Roman" w:hAnsi="Times New Roman"/>
          <w:sz w:val="18"/>
          <w:szCs w:val="18"/>
        </w:rPr>
        <w:t>The field of view is 6.51</w:t>
      </w:r>
      <w:r>
        <w:rPr>
          <w:rFonts w:ascii="Arial" w:hAnsi="Arial" w:cs="Arial"/>
          <w:sz w:val="18"/>
          <w:szCs w:val="18"/>
        </w:rPr>
        <w:t>×</w:t>
      </w:r>
      <w:r>
        <w:rPr>
          <w:rFonts w:hint="eastAsia" w:ascii="Times New Roman" w:hAnsi="Times New Roman"/>
          <w:sz w:val="18"/>
          <w:szCs w:val="18"/>
        </w:rPr>
        <w:t>4.68</w:t>
      </w:r>
      <w:r>
        <w:rPr>
          <w:rFonts w:hint="eastAsia" w:ascii="微软雅黑" w:hAnsi="微软雅黑" w:eastAsia="微软雅黑" w:cs="微软雅黑"/>
          <w:sz w:val="18"/>
          <w:szCs w:val="18"/>
        </w:rPr>
        <w:t>μm</w:t>
      </w:r>
      <w:r>
        <w:rPr>
          <w:rFonts w:hint="eastAsia" w:ascii="Times New Roman" w:hAnsi="Times New Roman"/>
          <w:sz w:val="18"/>
          <w:szCs w:val="18"/>
          <w:vertAlign w:val="superscript"/>
        </w:rPr>
        <w:t>2</w:t>
      </w:r>
    </w:p>
    <w:p w14:paraId="4F46A614">
      <w:pPr>
        <w:widowControl/>
        <w:jc w:val="left"/>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br w:type="page"/>
      </w:r>
    </w:p>
    <w:p w14:paraId="1F39052E">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Supplementary Note 8</w:t>
      </w:r>
    </w:p>
    <w:p w14:paraId="78693701">
      <w:pPr>
        <w:rPr>
          <w:rFonts w:ascii="Times New Roman" w:hAnsi="Times New Roman"/>
          <w:b/>
        </w:rPr>
      </w:pPr>
      <w:r>
        <w:rPr>
          <w:rFonts w:ascii="Times New Roman" w:hAnsi="Times New Roman"/>
          <w:b/>
        </w:rPr>
        <w:t xml:space="preserve">Cell culture </w:t>
      </w:r>
    </w:p>
    <w:p w14:paraId="4AD19436">
      <w:pPr>
        <w:ind w:firstLine="42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 xml:space="preserve">The </w:t>
      </w:r>
      <w:r>
        <w:rPr>
          <w:rFonts w:ascii="Times New Roman" w:hAnsi="Times New Roman"/>
          <w:i/>
          <w:color w:val="000000" w:themeColor="text1"/>
          <w14:textFill>
            <w14:solidFill>
              <w14:schemeClr w14:val="tx1"/>
            </w14:solidFill>
          </w14:textFill>
        </w:rPr>
        <w:t>Chlorella</w:t>
      </w:r>
      <w:r>
        <w:rPr>
          <w:rFonts w:ascii="Times New Roman" w:hAnsi="Times New Roman"/>
          <w:color w:val="000000" w:themeColor="text1"/>
          <w14:textFill>
            <w14:solidFill>
              <w14:schemeClr w14:val="tx1"/>
            </w14:solidFill>
          </w14:textFill>
        </w:rPr>
        <w:t xml:space="preserve"> dynamic super-resolution record experiment was conducted over four days (Day 0 to Day 3), dividing the culture conditions into four distinct groups: control, salinity, dark, and dark+salinity.  </w:t>
      </w:r>
    </w:p>
    <w:p w14:paraId="686B55BF">
      <w:pPr>
        <w:ind w:firstLine="42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The concentration for the salinity groups was 0.63 g of NaCl added to 10 mL of BG-11 medium. This level was chosen to create a "7</w:t>
      </w:r>
      <w:r>
        <w:rPr>
          <w:rFonts w:hint="eastAsia"/>
          <w:color w:val="000000" w:themeColor="text1"/>
          <w14:textFill>
            <w14:solidFill>
              <w14:schemeClr w14:val="tx1"/>
            </w14:solidFill>
          </w14:textFill>
        </w:rPr>
        <w:t>x</w:t>
      </w:r>
      <w:r>
        <w:rPr>
          <w:rFonts w:ascii="Times New Roman" w:hAnsi="Times New Roman"/>
          <w:color w:val="000000" w:themeColor="text1"/>
          <w14:textFill>
            <w14:solidFill>
              <w14:schemeClr w14:val="tx1"/>
            </w14:solidFill>
          </w14:textFill>
        </w:rPr>
        <w:t xml:space="preserve"> salt" condition, using 0.9% (w/v) NaCl (physiological saline) as the "1</w:t>
      </w:r>
      <w:r>
        <w:rPr>
          <w:rFonts w:hint="eastAsia"/>
          <w:color w:val="000000" w:themeColor="text1"/>
          <w14:textFill>
            <w14:solidFill>
              <w14:schemeClr w14:val="tx1"/>
            </w14:solidFill>
          </w14:textFill>
        </w:rPr>
        <w:t>x</w:t>
      </w:r>
      <w:r>
        <w:rPr>
          <w:rFonts w:ascii="Times New Roman" w:hAnsi="Times New Roman"/>
          <w:color w:val="000000" w:themeColor="text1"/>
          <w14:textFill>
            <w14:solidFill>
              <w14:schemeClr w14:val="tx1"/>
            </w14:solidFill>
          </w14:textFill>
        </w:rPr>
        <w:t>" reference standard. The resulting 6.3% (w/v) concentration corresponds to approximately 1.08 M NaCl, creating a strong salinity environment (approx. 2.16 Osm) sufficient to induce a clear salt-stress effect. This "7</w:t>
      </w:r>
      <w:r>
        <w:rPr>
          <w:rFonts w:hint="eastAsia"/>
          <w:color w:val="000000" w:themeColor="text1"/>
          <w14:textFill>
            <w14:solidFill>
              <w14:schemeClr w14:val="tx1"/>
            </w14:solidFill>
          </w14:textFill>
        </w:rPr>
        <w:t>x</w:t>
      </w:r>
      <w:r>
        <w:rPr>
          <w:rFonts w:ascii="Times New Roman" w:hAnsi="Times New Roman"/>
          <w:color w:val="000000" w:themeColor="text1"/>
          <w14:textFill>
            <w14:solidFill>
              <w14:schemeClr w14:val="tx1"/>
            </w14:solidFill>
          </w14:textFill>
        </w:rPr>
        <w:t xml:space="preserve"> salt" designation is relative to physiological saline, not the components of the base BG-11 medium. </w:t>
      </w:r>
    </w:p>
    <w:p w14:paraId="69F580B8">
      <w:pPr>
        <w:ind w:firstLine="42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For the light groups, the average light intensity yields a mean of 66.41 (</w:t>
      </w:r>
      <w:r>
        <w:rPr>
          <w:rFonts w:hint="eastAsia"/>
          <w:color w:val="000000" w:themeColor="text1"/>
          <w14:textFill>
            <w14:solidFill>
              <w14:schemeClr w14:val="tx1"/>
            </w14:solidFill>
          </w14:textFill>
        </w:rPr>
        <w:t>x</w:t>
      </w:r>
      <w:r>
        <w:rPr>
          <w:rFonts w:ascii="Times New Roman" w:hAnsi="Times New Roman"/>
          <w:color w:val="000000" w:themeColor="text1"/>
          <w14:textFill>
            <w14:solidFill>
              <w14:schemeClr w14:val="tx1"/>
            </w14:solidFill>
          </w14:textFill>
        </w:rPr>
        <w:t>10 L</w:t>
      </w:r>
      <w:r>
        <w:rPr>
          <w:rFonts w:hint="eastAsia" w:ascii="Times New Roman" w:hAnsi="Times New Roman"/>
          <w:color w:val="000000" w:themeColor="text1"/>
          <w:lang w:val="en-US" w:eastAsia="zh-CN"/>
          <w14:textFill>
            <w14:solidFill>
              <w14:schemeClr w14:val="tx1"/>
            </w14:solidFill>
          </w14:textFill>
        </w:rPr>
        <w:t>u</w:t>
      </w:r>
      <w:r>
        <w:rPr>
          <w:rFonts w:ascii="Times New Roman" w:hAnsi="Times New Roman"/>
          <w:color w:val="000000" w:themeColor="text1"/>
          <w14:textFill>
            <w14:solidFill>
              <w14:schemeClr w14:val="tx1"/>
            </w14:solidFill>
          </w14:textFill>
        </w:rPr>
        <w:t>x), with daily light, temperature (~24.18</w:t>
      </w:r>
      <w:r>
        <w:rPr>
          <w:rFonts w:hint="eastAsia" w:ascii="Times New Roman" w:hAnsi="Times New Roman"/>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w:t>
      </w:r>
      <w:r>
        <w:rPr>
          <w:rFonts w:hint="eastAsia" w:ascii="Times New Roman" w:hAnsi="Times New Roman"/>
          <w:color w:val="000000" w:themeColor="text1"/>
          <w14:textFill>
            <w14:solidFill>
              <w14:schemeClr w14:val="tx1"/>
            </w14:solidFill>
          </w14:textFill>
        </w:rPr>
        <w:t>C</w:t>
      </w:r>
      <w:r>
        <w:rPr>
          <w:rFonts w:ascii="Times New Roman" w:hAnsi="Times New Roman"/>
          <w:color w:val="000000" w:themeColor="text1"/>
          <w14:textFill>
            <w14:solidFill>
              <w14:schemeClr w14:val="tx1"/>
            </w14:solidFill>
          </w14:textFill>
        </w:rPr>
        <w:t>), and humidity (~55.5%) also recorded.</w:t>
      </w:r>
    </w:p>
    <w:p w14:paraId="79FF84ED">
      <w:pPr>
        <w:rPr>
          <w:rFonts w:ascii="Times New Roman" w:hAnsi="Times New Roman"/>
          <w:b/>
        </w:rPr>
      </w:pPr>
      <w:r>
        <w:rPr>
          <w:rFonts w:ascii="Times New Roman" w:hAnsi="Times New Roman"/>
          <w:b/>
          <w:sz w:val="20"/>
          <w:szCs w:val="20"/>
        </w:rPr>
        <w:t>Sample preparation process:</w:t>
      </w:r>
    </w:p>
    <w:p w14:paraId="65907FD8">
      <w:pPr>
        <w:ind w:firstLine="630" w:firstLineChars="300"/>
        <w:rPr>
          <w:rFonts w:ascii="Times New Roman" w:hAnsi="Times New Roman"/>
        </w:rPr>
      </w:pPr>
      <w:r>
        <w:rPr>
          <w:rFonts w:ascii="Times New Roman" w:hAnsi="Times New Roman"/>
        </w:rPr>
        <w:t>Turn on the UV sterilization lamp in the biosafety cabinet and wipe down the work surface with 75% ethanol.</w:t>
      </w:r>
      <w:r>
        <w:rPr>
          <w:rFonts w:hint="eastAsia" w:ascii="Times New Roman" w:hAnsi="Times New Roman"/>
        </w:rPr>
        <w:t xml:space="preserve"> </w:t>
      </w:r>
      <w:r>
        <w:rPr>
          <w:rFonts w:ascii="Times New Roman" w:hAnsi="Times New Roman"/>
        </w:rPr>
        <w:t>Wearing latex gloves, transfer the prepared cultivation flask(s) into the cabinet. Open the flask and aspirate 1.0 mL of algal suspension using a sterile pipette tip.</w:t>
      </w:r>
      <w:r>
        <w:rPr>
          <w:rFonts w:hint="eastAsia" w:ascii="Times New Roman" w:hAnsi="Times New Roman"/>
        </w:rPr>
        <w:t xml:space="preserve"> </w:t>
      </w:r>
      <w:r>
        <w:rPr>
          <w:rFonts w:ascii="Times New Roman" w:hAnsi="Times New Roman"/>
        </w:rPr>
        <w:t>Dispense the aspirated algal suspension dropwise into a 1.5 mL microcentrifuge tube.</w:t>
      </w:r>
      <w:r>
        <w:rPr>
          <w:rFonts w:hint="eastAsia" w:ascii="Times New Roman" w:hAnsi="Times New Roman"/>
        </w:rPr>
        <w:t xml:space="preserve"> </w:t>
      </w:r>
      <w:r>
        <w:rPr>
          <w:rFonts w:ascii="Times New Roman" w:hAnsi="Times New Roman"/>
        </w:rPr>
        <w:t>Centrifuge the prepared sample at 2000 × g for 2 minutes. After centrifugation, carefully remove the supernatant using a pipette, leaving approximately 50 μL of cell pellet.</w:t>
      </w:r>
      <w:r>
        <w:rPr>
          <w:rFonts w:hint="eastAsia" w:ascii="Times New Roman" w:hAnsi="Times New Roman"/>
        </w:rPr>
        <w:t xml:space="preserve"> </w:t>
      </w:r>
      <w:r>
        <w:rPr>
          <w:rFonts w:ascii="Times New Roman" w:hAnsi="Times New Roman"/>
        </w:rPr>
        <w:t xml:space="preserve">Using a bulb pipette, add approximately 1 mL of phosphate buffered saline buffer to the microcentrifuge tube. Vortex the tube vigorously for approximately 40 seconds to ensure thorough mixing and homogeneous dispersion of the </w:t>
      </w:r>
      <w:r>
        <w:rPr>
          <w:rFonts w:ascii="Times New Roman" w:hAnsi="Times New Roman"/>
          <w:i/>
          <w:iCs/>
        </w:rPr>
        <w:t>Chlorella</w:t>
      </w:r>
      <w:r>
        <w:rPr>
          <w:rFonts w:ascii="Times New Roman" w:hAnsi="Times New Roman"/>
        </w:rPr>
        <w:t xml:space="preserve"> cells.</w:t>
      </w:r>
      <w:r>
        <w:rPr>
          <w:rFonts w:hint="eastAsia" w:ascii="Times New Roman" w:hAnsi="Times New Roman"/>
        </w:rPr>
        <w:t xml:space="preserve"> </w:t>
      </w:r>
      <w:r>
        <w:rPr>
          <w:rFonts w:ascii="Times New Roman" w:hAnsi="Times New Roman"/>
        </w:rPr>
        <w:t>Centrifuge the tube again at 2000 × g for 2 minutes. After centrifugation, carefully remove the supernatant. Repeat this washing step 2-3 times to ensure complete removal of residual culture medium.</w:t>
      </w:r>
      <w:r>
        <w:rPr>
          <w:rFonts w:hint="eastAsia" w:ascii="Times New Roman" w:hAnsi="Times New Roman"/>
        </w:rPr>
        <w:t xml:space="preserve"> </w:t>
      </w:r>
      <w:r>
        <w:rPr>
          <w:rFonts w:ascii="Times New Roman" w:hAnsi="Times New Roman"/>
        </w:rPr>
        <w:t>Using a pipette, transfer approximately 10 μL of the final cell suspension onto the center of a glass-bottom dish suitable for confocal microscopy. Allow the cells to settle naturally for 3 minutes at room temperature. Carefully cover the sample with a coverslip. The prepared sample is now ready for observation and analysis using a fluorescence microscope system.</w:t>
      </w:r>
    </w:p>
    <w:p w14:paraId="658FF9D4">
      <w:pPr>
        <w:widowControl/>
        <w:jc w:val="left"/>
        <w:rPr>
          <w:rFonts w:ascii="Times New Roman" w:hAnsi="Times New Roman"/>
          <w:b/>
          <w:color w:val="000000" w:themeColor="text1"/>
          <w14:textFill>
            <w14:solidFill>
              <w14:schemeClr w14:val="tx1"/>
            </w14:solidFill>
          </w14:textFill>
        </w:rPr>
      </w:pPr>
    </w:p>
    <w:p w14:paraId="6C72B5AE">
      <w:pPr>
        <w:widowControl/>
        <w:jc w:val="left"/>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br w:type="page"/>
      </w:r>
    </w:p>
    <w:p w14:paraId="14B31BE7">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Supplementary Note 9</w:t>
      </w:r>
    </w:p>
    <w:p w14:paraId="5FD5D981">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The principle calculating the chlorophyll area and the Pearson’s correlation coefficient (PCC)</w:t>
      </w:r>
    </w:p>
    <w:p w14:paraId="0E5E433A">
      <w:pP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 xml:space="preserve">    </w:t>
      </w:r>
      <w:r>
        <w:rPr>
          <w:rFonts w:hint="eastAsia" w:ascii="Times New Roman" w:hAnsi="Times New Roman"/>
          <w:color w:val="000000" w:themeColor="text1"/>
          <w14:textFill>
            <w14:solidFill>
              <w14:schemeClr w14:val="tx1"/>
            </w14:solidFill>
          </w14:textFill>
        </w:rPr>
        <w:t>We calculated the area of the cell structures, which exhibit a toroidal (donut-like) topology</w:t>
      </w:r>
      <w:r>
        <w:rPr>
          <w:rFonts w:ascii="Times New Roman" w:hAnsi="Times New Roman"/>
          <w:color w:val="000000" w:themeColor="text1"/>
          <w14:textFill>
            <w14:solidFill>
              <w14:schemeClr w14:val="tx1"/>
            </w14:solidFill>
          </w14:textFill>
        </w:rPr>
        <w:t>.</w:t>
      </w:r>
    </w:p>
    <w:p w14:paraId="411DB9E2">
      <w:pP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w:t>
      </w:r>
      <w:r>
        <w:rPr>
          <w:rFonts w:ascii="Times New Roman" w:hAnsi="Times New Roman"/>
          <w:b/>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Chlorophyll area calculation</w:t>
      </w:r>
    </w:p>
    <w:p w14:paraId="66BC0D35">
      <w:pPr>
        <w:ind w:firstLine="630" w:firstLineChars="30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The chlorophyll area calculation begins by binarizing the image with an optimal grayscale threshold, which separates the bright cellular foreground from the dark background. A morphological 'Open' operation is then applied to remove small noise artifacts, or 'debris,' from the binary image. Critically, when contours are found, their 'parent-child' relationships are rebuilt; this identifies 'parent' contours (the outer edge of the cell) and their corresponding 'child' contours (the inner edge of the hole). The final 'ring area' is then determined by iterating through these hierarchies: for each 'parent' contour, the area of all its 'child' (hole) contours is subtracted from it.</w:t>
      </w:r>
    </w:p>
    <w:p w14:paraId="3AB6BC7B">
      <w:pP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w:t>
      </w:r>
      <w:r>
        <w:rPr>
          <w:rFonts w:ascii="Times New Roman" w:hAnsi="Times New Roman"/>
          <w:b/>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PCC calculation</w:t>
      </w:r>
    </w:p>
    <w:p w14:paraId="0C0CEBF9">
      <w:pPr>
        <w:widowControl/>
        <w:ind w:firstLine="630" w:firstLineChars="300"/>
        <w:rPr>
          <w:rFonts w:ascii="Times New Roman" w:hAnsi="Times New Roman"/>
          <w:b/>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To precisely calculate the PCC</w:t>
      </w:r>
      <w:r>
        <w:rPr>
          <w:rFonts w:hint="eastAsia" w:ascii="Times New Roman" w:hAnsi="Times New Roman"/>
          <w:color w:val="000000" w:themeColor="text1"/>
          <w:lang w:val="en-US" w:eastAsia="zh-CN"/>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while excluding background interference, the analysis is subsequently focused exclusively on pixels within these identified 'cell rings.' A 'total mask' is generated by combining the individual ring masks (which contain holes) from both the red fluorescence (Image 1) and green fluorescence (Image 2) images. This combined mask serves as a filter to extract the corresponding pixel values from the original images. Finally, the PCC is computed using only these two extracted sets of 'ring' pixel data.</w:t>
      </w:r>
      <w:bookmarkStart w:id="0" w:name="_GoBack"/>
      <w:bookmarkEnd w:id="0"/>
    </w:p>
    <w:p w14:paraId="700329A4">
      <w:pPr>
        <w:rPr>
          <w:rFonts w:ascii="Times New Roman" w:hAnsi="Times New Roman"/>
          <w:b/>
          <w:color w:val="000000" w:themeColor="text1"/>
          <w14:textFill>
            <w14:solidFill>
              <w14:schemeClr w14:val="tx1"/>
            </w14:solidFill>
          </w14:textFill>
        </w:rPr>
      </w:pPr>
    </w:p>
    <w:p w14:paraId="0198677F">
      <w:pPr>
        <w:rPr>
          <w:rFonts w:ascii="Times New Roman" w:hAnsi="Times New Roman"/>
          <w:b/>
          <w:color w:val="000000" w:themeColor="text1"/>
          <w14:textFill>
            <w14:solidFill>
              <w14:schemeClr w14:val="tx1"/>
            </w14:solidFill>
          </w14:textFill>
        </w:rPr>
      </w:pPr>
    </w:p>
    <w:p w14:paraId="565356AD">
      <w:pPr>
        <w:rPr>
          <w:rFonts w:ascii="Times New Roman" w:hAnsi="Times New Roman"/>
          <w:b/>
          <w:color w:val="000000" w:themeColor="text1"/>
          <w14:textFill>
            <w14:solidFill>
              <w14:schemeClr w14:val="tx1"/>
            </w14:solidFill>
          </w14:textFill>
        </w:rPr>
      </w:pPr>
    </w:p>
    <w:p w14:paraId="0F1466CD">
      <w:pPr>
        <w:rPr>
          <w:rFonts w:ascii="Times New Roman" w:hAnsi="Times New Roman"/>
          <w:b/>
          <w:color w:val="000000" w:themeColor="text1"/>
          <w14:textFill>
            <w14:solidFill>
              <w14:schemeClr w14:val="tx1"/>
            </w14:solidFill>
          </w14:textFill>
        </w:rPr>
      </w:pPr>
    </w:p>
    <w:p w14:paraId="244B7C51">
      <w:pPr>
        <w:rPr>
          <w:rFonts w:ascii="Times New Roman" w:hAnsi="Times New Roman"/>
          <w:b/>
          <w:color w:val="000000" w:themeColor="text1"/>
          <w14:textFill>
            <w14:solidFill>
              <w14:schemeClr w14:val="tx1"/>
            </w14:solidFill>
          </w14:textFill>
        </w:rPr>
      </w:pPr>
    </w:p>
    <w:p w14:paraId="588B4EA7">
      <w:pPr>
        <w:rPr>
          <w:rFonts w:ascii="Times New Roman" w:hAnsi="Times New Roman"/>
          <w:b/>
          <w:color w:val="000000" w:themeColor="text1"/>
          <w14:textFill>
            <w14:solidFill>
              <w14:schemeClr w14:val="tx1"/>
            </w14:solidFill>
          </w14:textFill>
        </w:rPr>
      </w:pPr>
    </w:p>
    <w:p w14:paraId="3DCE77F2">
      <w:pPr>
        <w:rPr>
          <w:rFonts w:ascii="Times New Roman" w:hAnsi="Times New Roman"/>
          <w:b/>
          <w:color w:val="000000" w:themeColor="text1"/>
          <w14:textFill>
            <w14:solidFill>
              <w14:schemeClr w14:val="tx1"/>
            </w14:solidFill>
          </w14:textFill>
        </w:rPr>
      </w:pPr>
    </w:p>
    <w:p w14:paraId="04F8D4BB">
      <w:pPr>
        <w:rPr>
          <w:rFonts w:ascii="Times New Roman" w:hAnsi="Times New Roman"/>
          <w:b/>
          <w:color w:val="000000" w:themeColor="text1"/>
          <w14:textFill>
            <w14:solidFill>
              <w14:schemeClr w14:val="tx1"/>
            </w14:solidFill>
          </w14:textFill>
        </w:rPr>
      </w:pPr>
    </w:p>
    <w:p w14:paraId="187D97A8">
      <w:pPr>
        <w:rPr>
          <w:rFonts w:ascii="Times New Roman" w:hAnsi="Times New Roman"/>
          <w:b/>
          <w:color w:val="000000" w:themeColor="text1"/>
          <w14:textFill>
            <w14:solidFill>
              <w14:schemeClr w14:val="tx1"/>
            </w14:solidFill>
          </w14:textFill>
        </w:rPr>
      </w:pPr>
    </w:p>
    <w:p w14:paraId="363D3C44">
      <w:pPr>
        <w:rPr>
          <w:rFonts w:ascii="Times New Roman" w:hAnsi="Times New Roman"/>
          <w:b/>
          <w:color w:val="000000" w:themeColor="text1"/>
          <w14:textFill>
            <w14:solidFill>
              <w14:schemeClr w14:val="tx1"/>
            </w14:solidFill>
          </w14:textFill>
        </w:rPr>
      </w:pPr>
    </w:p>
    <w:p w14:paraId="75F46468">
      <w:pPr>
        <w:rPr>
          <w:rFonts w:ascii="Times New Roman" w:hAnsi="Times New Roman"/>
          <w:b/>
          <w:color w:val="000000" w:themeColor="text1"/>
          <w14:textFill>
            <w14:solidFill>
              <w14:schemeClr w14:val="tx1"/>
            </w14:solidFill>
          </w14:textFill>
        </w:rPr>
      </w:pPr>
    </w:p>
    <w:p w14:paraId="2AE872E1">
      <w:pPr>
        <w:rPr>
          <w:rFonts w:ascii="Times New Roman" w:hAnsi="Times New Roman"/>
          <w:b/>
          <w:color w:val="000000" w:themeColor="text1"/>
          <w14:textFill>
            <w14:solidFill>
              <w14:schemeClr w14:val="tx1"/>
            </w14:solidFill>
          </w14:textFill>
        </w:rPr>
      </w:pPr>
    </w:p>
    <w:p w14:paraId="343B249C">
      <w:pPr>
        <w:rPr>
          <w:rFonts w:ascii="Times New Roman" w:hAnsi="Times New Roman"/>
          <w:b/>
          <w:color w:val="000000" w:themeColor="text1"/>
          <w14:textFill>
            <w14:solidFill>
              <w14:schemeClr w14:val="tx1"/>
            </w14:solidFill>
          </w14:textFill>
        </w:rPr>
      </w:pPr>
    </w:p>
    <w:p w14:paraId="6776B52F">
      <w:pPr>
        <w:rPr>
          <w:rFonts w:ascii="Times New Roman" w:hAnsi="Times New Roman"/>
          <w:b/>
          <w:color w:val="000000" w:themeColor="text1"/>
          <w14:textFill>
            <w14:solidFill>
              <w14:schemeClr w14:val="tx1"/>
            </w14:solidFill>
          </w14:textFill>
        </w:rPr>
      </w:pPr>
    </w:p>
    <w:p w14:paraId="7978AB39">
      <w:pPr>
        <w:rPr>
          <w:rFonts w:ascii="Times New Roman" w:hAnsi="Times New Roman"/>
          <w:b/>
          <w:color w:val="000000" w:themeColor="text1"/>
          <w14:textFill>
            <w14:solidFill>
              <w14:schemeClr w14:val="tx1"/>
            </w14:solidFill>
          </w14:textFill>
        </w:rPr>
      </w:pPr>
    </w:p>
    <w:p w14:paraId="344B398C">
      <w:pPr>
        <w:widowControl/>
        <w:jc w:val="left"/>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br w:type="page"/>
      </w:r>
    </w:p>
    <w:p w14:paraId="4B6B0A62">
      <w:pPr>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Supplementary Note 10</w:t>
      </w:r>
    </w:p>
    <w:p w14:paraId="37E7CF4C">
      <w:pPr>
        <w:jc w:val="center"/>
        <w:rPr>
          <w:rFonts w:ascii="Times New Roman" w:hAnsi="Times New Roman"/>
          <w:color w:val="000000" w:themeColor="text1"/>
          <w:sz w:val="18"/>
          <w14:textFill>
            <w14:solidFill>
              <w14:schemeClr w14:val="tx1"/>
            </w14:solidFill>
          </w14:textFill>
        </w:rPr>
      </w:pPr>
      <w:r>
        <w:rPr>
          <w:rFonts w:hint="eastAsia" w:ascii="Times New Roman" w:hAnsi="Times New Roman"/>
          <w:b/>
          <w:color w:val="000000" w:themeColor="text1"/>
          <w14:textFill>
            <w14:solidFill>
              <w14:schemeClr w14:val="tx1"/>
            </w14:solidFill>
          </w14:textFill>
        </w:rPr>
        <w:pict>
          <v:shape id="_x0000_s1026" o:spid="_x0000_s1026" o:spt="75" type="#_x0000_t75" style="position:absolute;left:0pt;margin-left:-9.5pt;margin-top:9.1pt;height:233.3pt;width:414.7pt;mso-wrap-distance-bottom:0pt;mso-wrap-distance-top:0pt;z-index:251664384;mso-width-relative:page;mso-height-relative:page;" filled="f" o:preferrelative="t" stroked="f" coordsize="21600,21600">
            <v:path/>
            <v:fill on="f" focussize="0,0"/>
            <v:stroke on="f" joinstyle="miter"/>
            <v:imagedata r:id="rId9" o:title="Figure.S6"/>
            <o:lock v:ext="edit" aspectratio="t"/>
            <w10:wrap type="topAndBottom"/>
          </v:shape>
        </w:pict>
      </w:r>
      <w:r>
        <w:rPr>
          <w:rFonts w:ascii="Times New Roman" w:hAnsi="Times New Roman"/>
          <w:color w:val="000000" w:themeColor="text1"/>
          <w:sz w:val="18"/>
          <w14:textFill>
            <w14:solidFill>
              <w14:schemeClr w14:val="tx1"/>
            </w14:solidFill>
          </w14:textFill>
        </w:rPr>
        <w:t>Figure</w:t>
      </w:r>
      <w:r>
        <w:rPr>
          <w:rFonts w:hint="eastAsia" w:ascii="Times New Roman" w:hAnsi="Times New Roman"/>
          <w:color w:val="000000" w:themeColor="text1"/>
          <w:sz w:val="18"/>
          <w:lang w:val="en-US" w:eastAsia="zh-CN"/>
          <w14:textFill>
            <w14:solidFill>
              <w14:schemeClr w14:val="tx1"/>
            </w14:solidFill>
          </w14:textFill>
        </w:rPr>
        <w:t xml:space="preserve"> </w:t>
      </w:r>
      <w:r>
        <w:rPr>
          <w:rFonts w:ascii="Times New Roman" w:hAnsi="Times New Roman"/>
          <w:color w:val="000000" w:themeColor="text1"/>
          <w:sz w:val="18"/>
          <w14:textFill>
            <w14:solidFill>
              <w14:schemeClr w14:val="tx1"/>
            </w14:solidFill>
          </w14:textFill>
        </w:rPr>
        <w:t>S6 The dual-color super-resolution images of different microalgae.</w:t>
      </w:r>
    </w:p>
    <w:p w14:paraId="10A87133">
      <w:pPr>
        <w:rPr>
          <w:rFonts w:hint="eastAsia" w:ascii="Times New Roman" w:hAnsi="Times New Roman"/>
          <w:b/>
          <w:color w:val="000000" w:themeColor="text1"/>
          <w14:textFill>
            <w14:solidFill>
              <w14:schemeClr w14:val="tx1"/>
            </w14:solidFill>
          </w14:textFill>
        </w:rPr>
      </w:pPr>
    </w:p>
    <w:p w14:paraId="73B0AF02">
      <w:pPr>
        <w:widowControl/>
        <w:jc w:val="left"/>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br w:type="page"/>
      </w:r>
    </w:p>
    <w:p w14:paraId="08748A17">
      <w:pPr>
        <w:rPr>
          <w:rFonts w:ascii="Times New Roman" w:hAnsi="Times New Roman"/>
          <w:b/>
          <w:color w:val="000000" w:themeColor="text1"/>
          <w14:textFill>
            <w14:solidFill>
              <w14:schemeClr w14:val="tx1"/>
            </w14:solidFill>
          </w14:textFill>
        </w:rPr>
      </w:pPr>
      <w:r>
        <w:rPr>
          <w:rFonts w:hint="eastAsia" w:ascii="Times New Roman" w:hAnsi="Times New Roman"/>
          <w:b/>
          <w:color w:val="000000" w:themeColor="text1"/>
          <w14:textFill>
            <w14:solidFill>
              <w14:schemeClr w14:val="tx1"/>
            </w14:solidFill>
          </w14:textFill>
        </w:rPr>
        <w:t>R</w:t>
      </w:r>
      <w:r>
        <w:rPr>
          <w:rFonts w:ascii="Times New Roman" w:hAnsi="Times New Roman"/>
          <w:b/>
          <w:color w:val="000000" w:themeColor="text1"/>
          <w14:textFill>
            <w14:solidFill>
              <w14:schemeClr w14:val="tx1"/>
            </w14:solidFill>
          </w14:textFill>
        </w:rPr>
        <w:t>eferences</w:t>
      </w:r>
    </w:p>
    <w:p w14:paraId="13537F08">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fldChar w:fldCharType="begin"/>
      </w:r>
      <w:r>
        <w:rPr>
          <w:rFonts w:ascii="Times New Roman" w:hAnsi="Times New Roman"/>
          <w:color w:val="000000" w:themeColor="text1"/>
          <w:sz w:val="21"/>
          <w14:textFill>
            <w14:solidFill>
              <w14:schemeClr w14:val="tx1"/>
            </w14:solidFill>
          </w14:textFill>
        </w:rPr>
        <w:instrText xml:space="preserve"> ADDIN EN.REFLIST </w:instrText>
      </w:r>
      <w:r>
        <w:rPr>
          <w:rFonts w:ascii="Times New Roman" w:hAnsi="Times New Roman"/>
          <w:color w:val="000000" w:themeColor="text1"/>
          <w:sz w:val="21"/>
          <w14:textFill>
            <w14:solidFill>
              <w14:schemeClr w14:val="tx1"/>
            </w14:solidFill>
          </w14:textFill>
        </w:rPr>
        <w:fldChar w:fldCharType="separate"/>
      </w:r>
      <w:r>
        <w:rPr>
          <w:rFonts w:ascii="Times New Roman" w:hAnsi="Times New Roman"/>
          <w:color w:val="000000" w:themeColor="text1"/>
          <w:sz w:val="21"/>
          <w14:textFill>
            <w14:solidFill>
              <w14:schemeClr w14:val="tx1"/>
            </w14:solidFill>
          </w14:textFill>
        </w:rPr>
        <w:t>1.</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Hell, S.W. &amp; Wichmann, J. Opt. Lett. 19, 780-782 (1994).</w:t>
      </w:r>
    </w:p>
    <w:p w14:paraId="35101E7F">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Rust, M.J., Bates, M. &amp; Zhuang, X. Nat. Methods 3, 793-795 (2006).</w:t>
      </w:r>
    </w:p>
    <w:p w14:paraId="55C997F5">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Cogswell, C.J. Proceedings of SPIE - The International Society for Optical Engineering 3919, 141-150 (2000).</w:t>
      </w:r>
    </w:p>
    <w:p w14:paraId="57347EB0">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Gustafsson, M.G.L. Proc. Natl. Acad. Sci. U.S.A. 102, 13081-13086 (2005).</w:t>
      </w:r>
    </w:p>
    <w:p w14:paraId="092523C9">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Rego, E.H. et al. Proc. Natl. Acad. Sci. U.S.A. 109, E135-E143 (2012).</w:t>
      </w:r>
    </w:p>
    <w:p w14:paraId="1DCF015D">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6.</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Wei, F.F. et al. Nano Lett. 14, 4634-4639 (2014).</w:t>
      </w:r>
    </w:p>
    <w:p w14:paraId="7DB5FB5A">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7.</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Wei, F. &amp; Liu, Z. Nano Lett. 10, 2531-2536 (2010).</w:t>
      </w:r>
    </w:p>
    <w:p w14:paraId="27E701AE">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8.</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Helle, O.I. et al. Nat. Photonics 14, 431-438 (2020).</w:t>
      </w:r>
    </w:p>
    <w:p w14:paraId="73DD4BF1">
      <w:pPr>
        <w:pStyle w:val="21"/>
        <w:ind w:left="720" w:hanging="720"/>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9.</w:t>
      </w:r>
      <w:r>
        <w:rPr>
          <w:rFonts w:ascii="Times New Roman" w:hAnsi="Times New Roman"/>
          <w:color w:val="000000" w:themeColor="text1"/>
          <w:sz w:val="21"/>
          <w14:textFill>
            <w14:solidFill>
              <w14:schemeClr w14:val="tx1"/>
            </w14:solidFill>
          </w14:textFill>
        </w:rPr>
        <w:tab/>
      </w:r>
      <w:r>
        <w:rPr>
          <w:rFonts w:ascii="Times New Roman" w:hAnsi="Times New Roman"/>
          <w:color w:val="000000" w:themeColor="text1"/>
          <w:sz w:val="21"/>
          <w14:textFill>
            <w14:solidFill>
              <w14:schemeClr w14:val="tx1"/>
            </w14:solidFill>
          </w14:textFill>
        </w:rPr>
        <w:t>Zheng, X. et al. Laser Photon. Rev. 17, 2200796 (2023).</w:t>
      </w:r>
    </w:p>
    <w:p w14:paraId="2646E38E">
      <w:pPr>
        <w:rPr>
          <w:rFonts w:ascii="Times New Roman" w:hAnsi="Times New Roman"/>
          <w:b/>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fldChar w:fldCharType="end"/>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6"/>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Methods&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52tp0z28x0rthe0p0uvs5xpxze9sxfpxapw&quot;&gt;My EndNote Library&lt;record-ids&gt;&lt;item&gt;6&lt;/item&gt;&lt;item&gt;7&lt;/item&gt;&lt;item&gt;9&lt;/item&gt;&lt;item&gt;10&lt;/item&gt;&lt;item&gt;21&lt;/item&gt;&lt;item&gt;143&lt;/item&gt;&lt;item&gt;250&lt;/item&gt;&lt;item&gt;272&lt;/item&gt;&lt;item&gt;605&lt;/item&gt;&lt;/record-ids&gt;&lt;/item&gt;&lt;/Libraries&gt;"/>
  </w:docVars>
  <w:rsids>
    <w:rsidRoot w:val="003F3865"/>
    <w:rsid w:val="000E2172"/>
    <w:rsid w:val="001F5B73"/>
    <w:rsid w:val="0024407D"/>
    <w:rsid w:val="002A786B"/>
    <w:rsid w:val="003F3865"/>
    <w:rsid w:val="004911FC"/>
    <w:rsid w:val="004E2795"/>
    <w:rsid w:val="0062062C"/>
    <w:rsid w:val="0067305D"/>
    <w:rsid w:val="006E464D"/>
    <w:rsid w:val="007375F3"/>
    <w:rsid w:val="00764EAD"/>
    <w:rsid w:val="007959A4"/>
    <w:rsid w:val="007D6759"/>
    <w:rsid w:val="007F260F"/>
    <w:rsid w:val="008932E3"/>
    <w:rsid w:val="00912D0C"/>
    <w:rsid w:val="009566CC"/>
    <w:rsid w:val="0097632B"/>
    <w:rsid w:val="00A7340E"/>
    <w:rsid w:val="00A844A6"/>
    <w:rsid w:val="00C86883"/>
    <w:rsid w:val="00CD72C0"/>
    <w:rsid w:val="00D17F01"/>
    <w:rsid w:val="00DF439E"/>
    <w:rsid w:val="00DF4BC9"/>
    <w:rsid w:val="00E33C59"/>
    <w:rsid w:val="00E4478C"/>
    <w:rsid w:val="00E47653"/>
    <w:rsid w:val="07C149A3"/>
    <w:rsid w:val="10F33FFD"/>
    <w:rsid w:val="12C51E37"/>
    <w:rsid w:val="2EA75297"/>
    <w:rsid w:val="5CED3637"/>
    <w:rsid w:val="64790851"/>
    <w:rsid w:val="6C1255F0"/>
    <w:rsid w:val="72E021D0"/>
    <w:rsid w:val="7D617C8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iPriority="39"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等线" w:hAnsi="等线" w:eastAsia="等线" w:cs="Times New Roman"/>
      <w:kern w:val="2"/>
      <w:sz w:val="21"/>
      <w:szCs w:val="21"/>
      <w:lang w:val="en-US" w:eastAsia="zh-CN" w:bidi="ar-SA"/>
    </w:rPr>
  </w:style>
  <w:style w:type="character" w:default="1" w:styleId="6">
    <w:name w:val="Default Paragraph Font"/>
    <w:semiHidden/>
    <w:unhideWhenUsed/>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footer"/>
    <w:basedOn w:val="1"/>
    <w:link w:val="9"/>
    <w:unhideWhenUsed/>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3">
    <w:name w:val="header"/>
    <w:basedOn w:val="1"/>
    <w:link w:val="8"/>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4">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character" w:styleId="7">
    <w:name w:val="Hyperlink"/>
    <w:basedOn w:val="6"/>
    <w:unhideWhenUsed/>
    <w:qFormat/>
    <w:uiPriority w:val="99"/>
    <w:rPr>
      <w:color w:val="0563C1" w:themeColor="hyperlink"/>
      <w:u w:val="single"/>
      <w14:textFill>
        <w14:solidFill>
          <w14:schemeClr w14:val="hlink"/>
        </w14:solidFill>
      </w14:textFill>
    </w:rPr>
  </w:style>
  <w:style w:type="character" w:customStyle="1" w:styleId="8">
    <w:name w:val="页眉 字符"/>
    <w:basedOn w:val="6"/>
    <w:link w:val="3"/>
    <w:qFormat/>
    <w:uiPriority w:val="99"/>
    <w:rPr>
      <w:sz w:val="18"/>
      <w:szCs w:val="18"/>
    </w:rPr>
  </w:style>
  <w:style w:type="character" w:customStyle="1" w:styleId="9">
    <w:name w:val="页脚 字符"/>
    <w:basedOn w:val="6"/>
    <w:link w:val="2"/>
    <w:qFormat/>
    <w:uiPriority w:val="99"/>
    <w:rPr>
      <w:sz w:val="18"/>
      <w:szCs w:val="18"/>
    </w:rPr>
  </w:style>
  <w:style w:type="character" w:styleId="10">
    <w:name w:val="Placeholder Text"/>
    <w:basedOn w:val="6"/>
    <w:semiHidden/>
    <w:qFormat/>
    <w:uiPriority w:val="99"/>
    <w:rPr>
      <w:color w:val="808080"/>
    </w:rPr>
  </w:style>
  <w:style w:type="character" w:customStyle="1" w:styleId="11">
    <w:name w:val="citation-23"/>
    <w:basedOn w:val="6"/>
    <w:qFormat/>
    <w:uiPriority w:val="0"/>
  </w:style>
  <w:style w:type="character" w:customStyle="1" w:styleId="12">
    <w:name w:val="citation-22"/>
    <w:basedOn w:val="6"/>
    <w:qFormat/>
    <w:uiPriority w:val="0"/>
  </w:style>
  <w:style w:type="character" w:customStyle="1" w:styleId="13">
    <w:name w:val="citation-21"/>
    <w:basedOn w:val="6"/>
    <w:qFormat/>
    <w:uiPriority w:val="0"/>
  </w:style>
  <w:style w:type="character" w:customStyle="1" w:styleId="14">
    <w:name w:val="citation-20"/>
    <w:basedOn w:val="6"/>
    <w:qFormat/>
    <w:uiPriority w:val="0"/>
  </w:style>
  <w:style w:type="character" w:customStyle="1" w:styleId="15">
    <w:name w:val="citation-19"/>
    <w:basedOn w:val="6"/>
    <w:uiPriority w:val="0"/>
  </w:style>
  <w:style w:type="character" w:customStyle="1" w:styleId="16">
    <w:name w:val="citation-18"/>
    <w:basedOn w:val="6"/>
    <w:qFormat/>
    <w:uiPriority w:val="0"/>
  </w:style>
  <w:style w:type="character" w:customStyle="1" w:styleId="17">
    <w:name w:val="citation-17"/>
    <w:basedOn w:val="6"/>
    <w:qFormat/>
    <w:uiPriority w:val="0"/>
  </w:style>
  <w:style w:type="character" w:customStyle="1" w:styleId="18">
    <w:name w:val="citation-16"/>
    <w:basedOn w:val="6"/>
    <w:uiPriority w:val="0"/>
  </w:style>
  <w:style w:type="paragraph" w:customStyle="1" w:styleId="19">
    <w:name w:val="EndNote Bibliography Title"/>
    <w:basedOn w:val="1"/>
    <w:link w:val="20"/>
    <w:uiPriority w:val="0"/>
    <w:pPr>
      <w:jc w:val="center"/>
    </w:pPr>
    <w:rPr>
      <w:sz w:val="20"/>
    </w:rPr>
  </w:style>
  <w:style w:type="character" w:customStyle="1" w:styleId="20">
    <w:name w:val="EndNote Bibliography Title 字符"/>
    <w:basedOn w:val="6"/>
    <w:link w:val="19"/>
    <w:qFormat/>
    <w:uiPriority w:val="0"/>
    <w:rPr>
      <w:rFonts w:ascii="等线" w:hAnsi="等线" w:eastAsia="等线" w:cs="Times New Roman"/>
      <w:kern w:val="2"/>
      <w:szCs w:val="21"/>
    </w:rPr>
  </w:style>
  <w:style w:type="paragraph" w:customStyle="1" w:styleId="21">
    <w:name w:val="EndNote Bibliography"/>
    <w:basedOn w:val="1"/>
    <w:link w:val="22"/>
    <w:qFormat/>
    <w:uiPriority w:val="0"/>
    <w:rPr>
      <w:sz w:val="20"/>
    </w:rPr>
  </w:style>
  <w:style w:type="character" w:customStyle="1" w:styleId="22">
    <w:name w:val="EndNote Bibliography 字符"/>
    <w:basedOn w:val="6"/>
    <w:link w:val="21"/>
    <w:qFormat/>
    <w:uiPriority w:val="0"/>
    <w:rPr>
      <w:rFonts w:ascii="等线" w:hAnsi="等线" w:eastAsia="等线" w:cs="Times New Roman"/>
      <w:kern w:val="2"/>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Pages>
  <Words>1913</Words>
  <Characters>11522</Characters>
  <Lines>141</Lines>
  <Paragraphs>39</Paragraphs>
  <TotalTime>39</TotalTime>
  <ScaleCrop>false</ScaleCrop>
  <LinksUpToDate>false</LinksUpToDate>
  <CharactersWithSpaces>13397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2025-11-13T02:22:00Z</dcterms:created>
  <dc:creator>Administrator</dc:creator>
  <cp:lastModifiedBy>viv</cp:lastModifiedBy>
  <dcterms:modified xsi:type="dcterms:W3CDTF">2025-11-18T02:55:25Z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eyJoZGlkIjoiZDEzNGEzY2Q1MjIzYzFlNDNhNzYxNTgyYWM2Mzc1ZWYiLCJ1c2VySWQiOiIyNTM0NjkwMDYifQ==</vt:lpwstr>
  </property>
  <property fmtid="{D5CDD505-2E9C-101B-9397-08002B2CF9AE}" pid="3" name="KSOProductBuildVer">
    <vt:lpwstr>2052-12.1.0.20305</vt:lpwstr>
  </property>
  <property fmtid="{D5CDD505-2E9C-101B-9397-08002B2CF9AE}" pid="4" name="ICV">
    <vt:lpwstr>5606899FF69649C0972ADA2CF1A43879_12</vt:lpwstr>
  </property>
</Properties>
</file>