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54BD90" w14:textId="77777777" w:rsidR="00304CBD" w:rsidRDefault="00304CBD" w:rsidP="00304CBD">
      <w:pPr>
        <w:rPr>
          <w:rFonts w:ascii="Times New Roman" w:hAnsi="Times New Roman" w:cs="Times New Roman"/>
          <w:sz w:val="24"/>
        </w:rPr>
      </w:pPr>
    </w:p>
    <w:p w14:paraId="69F91F77" w14:textId="77777777" w:rsidR="00304CBD" w:rsidRDefault="00304CBD" w:rsidP="00304CBD">
      <w:pPr>
        <w:spacing w:line="360" w:lineRule="auto"/>
        <w:jc w:val="center"/>
        <w:rPr>
          <w:rFonts w:ascii="Times New Roman" w:hAnsi="Times New Roman" w:cs="Times New Roman"/>
          <w:sz w:val="24"/>
        </w:rPr>
      </w:pPr>
      <w:bookmarkStart w:id="0" w:name="_Hlk215662391"/>
      <w:r>
        <w:rPr>
          <w:rFonts w:ascii="Times New Roman" w:hAnsi="Times New Roman" w:cs="Times New Roman"/>
          <w:noProof/>
        </w:rPr>
        <w:drawing>
          <wp:inline distT="0" distB="0" distL="114300" distR="114300" wp14:anchorId="73CBA05F" wp14:editId="419404B0">
            <wp:extent cx="5271135" cy="4646295"/>
            <wp:effectExtent l="0" t="0" r="5715" b="1905"/>
            <wp:docPr id="2" name="图片 1" descr="A collage of different types of molecular weigh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A collage of different types of molecular weight&#10;&#10;AI-generated content may be incorrect."/>
                    <pic:cNvPicPr>
                      <a:picLocks noChangeAspect="1"/>
                    </pic:cNvPicPr>
                  </pic:nvPicPr>
                  <pic:blipFill>
                    <a:blip r:embed="rId4"/>
                    <a:stretch>
                      <a:fillRect/>
                    </a:stretch>
                  </pic:blipFill>
                  <pic:spPr>
                    <a:xfrm>
                      <a:off x="0" y="0"/>
                      <a:ext cx="5271135" cy="4646295"/>
                    </a:xfrm>
                    <a:prstGeom prst="rect">
                      <a:avLst/>
                    </a:prstGeom>
                    <a:noFill/>
                    <a:ln>
                      <a:noFill/>
                    </a:ln>
                  </pic:spPr>
                </pic:pic>
              </a:graphicData>
            </a:graphic>
          </wp:inline>
        </w:drawing>
      </w:r>
    </w:p>
    <w:p w14:paraId="1539167D" w14:textId="77777777" w:rsidR="00304CBD" w:rsidRDefault="00304CBD" w:rsidP="00304CBD">
      <w:pPr>
        <w:spacing w:line="360" w:lineRule="auto"/>
        <w:outlineLvl w:val="0"/>
        <w:rPr>
          <w:rFonts w:ascii="Times New Roman" w:hAnsi="Times New Roman" w:cs="Times New Roman"/>
          <w:sz w:val="24"/>
        </w:rPr>
      </w:pPr>
      <w:r>
        <w:rPr>
          <w:rFonts w:ascii="Times New Roman" w:hAnsi="Times New Roman" w:cs="Times New Roman"/>
          <w:b/>
          <w:bCs/>
          <w:sz w:val="24"/>
        </w:rPr>
        <w:t xml:space="preserve">Extended Data Fig. 1. </w:t>
      </w:r>
      <w:r>
        <w:rPr>
          <w:rFonts w:ascii="Times New Roman" w:hAnsi="Times New Roman" w:cs="Times New Roman"/>
          <w:b/>
          <w:bCs/>
          <w:sz w:val="24"/>
          <w:szCs w:val="32"/>
        </w:rPr>
        <w:t xml:space="preserve">Verification experiment of ECF-FolT2 functions. </w:t>
      </w:r>
      <w:r>
        <w:rPr>
          <w:rFonts w:ascii="Times New Roman" w:hAnsi="Times New Roman" w:cs="Times New Roman"/>
          <w:sz w:val="24"/>
          <w:szCs w:val="32"/>
        </w:rPr>
        <w:t>(</w:t>
      </w:r>
      <w:r>
        <w:rPr>
          <w:rFonts w:ascii="Times New Roman" w:hAnsi="Times New Roman" w:cs="Times New Roman"/>
          <w:b/>
          <w:bCs/>
          <w:sz w:val="24"/>
          <w:szCs w:val="32"/>
        </w:rPr>
        <w:t>a</w:t>
      </w:r>
      <w:r>
        <w:rPr>
          <w:rFonts w:ascii="Times New Roman" w:hAnsi="Times New Roman" w:cs="Times New Roman"/>
          <w:sz w:val="24"/>
          <w:szCs w:val="32"/>
        </w:rPr>
        <w:t>)</w:t>
      </w:r>
      <w:r>
        <w:rPr>
          <w:rFonts w:ascii="Times New Roman" w:hAnsi="Times New Roman" w:cs="Times New Roman"/>
          <w:b/>
          <w:bCs/>
          <w:sz w:val="24"/>
          <w:szCs w:val="32"/>
        </w:rPr>
        <w:t xml:space="preserve"> </w:t>
      </w:r>
      <w:r>
        <w:rPr>
          <w:rFonts w:ascii="Times New Roman" w:hAnsi="Times New Roman" w:cs="Times New Roman"/>
          <w:sz w:val="24"/>
          <w:szCs w:val="32"/>
        </w:rPr>
        <w:t>Chemical structure of folate. (</w:t>
      </w:r>
      <w:r>
        <w:rPr>
          <w:rFonts w:ascii="Times New Roman" w:hAnsi="Times New Roman" w:cs="Times New Roman"/>
          <w:b/>
          <w:bCs/>
          <w:sz w:val="24"/>
          <w:szCs w:val="32"/>
        </w:rPr>
        <w:t>b</w:t>
      </w:r>
      <w:r>
        <w:rPr>
          <w:rFonts w:ascii="Times New Roman" w:hAnsi="Times New Roman" w:cs="Times New Roman"/>
          <w:sz w:val="24"/>
          <w:szCs w:val="32"/>
        </w:rPr>
        <w:t>) Chemical structure of PFOS. Folate and PFOS have similar molecular weights and exist in anionic form under neutral conditions. Their sulfonic acid groups carry negative charges and act as the hydrophilic headgroup of the molecules. (</w:t>
      </w:r>
      <w:r>
        <w:rPr>
          <w:rFonts w:ascii="Times New Roman" w:hAnsi="Times New Roman" w:cs="Times New Roman"/>
          <w:b/>
          <w:bCs/>
          <w:sz w:val="24"/>
          <w:szCs w:val="32"/>
        </w:rPr>
        <w:t>c</w:t>
      </w:r>
      <w:r>
        <w:rPr>
          <w:rFonts w:ascii="Times New Roman" w:hAnsi="Times New Roman" w:cs="Times New Roman"/>
          <w:sz w:val="24"/>
          <w:szCs w:val="32"/>
        </w:rPr>
        <w:t>) Folate uptake assay with proteoliposomes. The coexistence of ATP and ECF-FolT2s is necessary for folate uptake by proteoliposomes. The folate uptake of the groups, proteoliposome/ATP/Mg</w:t>
      </w:r>
      <w:r>
        <w:rPr>
          <w:rFonts w:ascii="Times New Roman" w:hAnsi="Times New Roman" w:cs="Times New Roman"/>
          <w:sz w:val="24"/>
          <w:szCs w:val="32"/>
          <w:vertAlign w:val="superscript"/>
        </w:rPr>
        <w:t>2+</w:t>
      </w:r>
      <w:r>
        <w:rPr>
          <w:rFonts w:ascii="Times New Roman" w:hAnsi="Times New Roman" w:cs="Times New Roman"/>
          <w:sz w:val="24"/>
          <w:szCs w:val="32"/>
        </w:rPr>
        <w:t>, proteoliposome/ADP/Mg</w:t>
      </w:r>
      <w:r>
        <w:rPr>
          <w:rFonts w:ascii="Times New Roman" w:hAnsi="Times New Roman" w:cs="Times New Roman"/>
          <w:sz w:val="24"/>
          <w:szCs w:val="32"/>
          <w:vertAlign w:val="superscript"/>
        </w:rPr>
        <w:t>2+</w:t>
      </w:r>
      <w:r>
        <w:rPr>
          <w:rFonts w:ascii="Times New Roman" w:hAnsi="Times New Roman" w:cs="Times New Roman"/>
          <w:sz w:val="24"/>
          <w:szCs w:val="32"/>
        </w:rPr>
        <w:t>, and liposome/ATP/Mg</w:t>
      </w:r>
      <w:r>
        <w:rPr>
          <w:rFonts w:ascii="Times New Roman" w:hAnsi="Times New Roman" w:cs="Times New Roman"/>
          <w:sz w:val="24"/>
          <w:szCs w:val="32"/>
          <w:vertAlign w:val="superscript"/>
        </w:rPr>
        <w:t>2+</w:t>
      </w:r>
      <w:r>
        <w:rPr>
          <w:rFonts w:ascii="Times New Roman" w:hAnsi="Times New Roman" w:cs="Times New Roman"/>
          <w:sz w:val="24"/>
          <w:szCs w:val="32"/>
        </w:rPr>
        <w:t xml:space="preserve"> at 25 ℃ in 20 min were 11.49, 1.94, and 0.70 pmol/g protein. (</w:t>
      </w:r>
      <w:r>
        <w:rPr>
          <w:rFonts w:ascii="Times New Roman" w:hAnsi="Times New Roman" w:cs="Times New Roman"/>
          <w:b/>
          <w:bCs/>
          <w:sz w:val="24"/>
          <w:szCs w:val="32"/>
        </w:rPr>
        <w:t>d</w:t>
      </w:r>
      <w:r>
        <w:rPr>
          <w:rFonts w:ascii="Times New Roman" w:hAnsi="Times New Roman" w:cs="Times New Roman"/>
          <w:sz w:val="24"/>
          <w:szCs w:val="32"/>
        </w:rPr>
        <w:t>) ATPase activity of ECF-FolT2. We ompared the decomposition of ATP with and without ECF-FolT2. a and b indicates the significant difference between each sets of data. Without ECF, ATP occurred a little hydrolysis equivalent to 1.27 U/mg protein of ATPase activity, due to the instability of ATP. The measure of ATPase activity by 0.1 mg/L ECF could reach 3.44 U/mg protein at 25 ℃.</w:t>
      </w:r>
    </w:p>
    <w:p w14:paraId="4A206F5C" w14:textId="77777777" w:rsidR="00304CBD" w:rsidRDefault="00304CBD" w:rsidP="00304CBD">
      <w:pPr>
        <w:spacing w:line="360" w:lineRule="auto"/>
        <w:rPr>
          <w:rFonts w:ascii="Times New Roman" w:hAnsi="Times New Roman" w:cs="Times New Roman"/>
          <w:sz w:val="24"/>
        </w:rPr>
      </w:pPr>
      <w:r>
        <w:rPr>
          <w:rFonts w:ascii="Times New Roman" w:hAnsi="Times New Roman" w:cs="Times New Roman"/>
          <w:sz w:val="24"/>
        </w:rPr>
        <w:lastRenderedPageBreak/>
        <w:br w:type="page"/>
      </w:r>
    </w:p>
    <w:p w14:paraId="595CEDDE" w14:textId="77777777" w:rsidR="00304CBD" w:rsidRDefault="00304CBD" w:rsidP="00304CBD">
      <w:pPr>
        <w:spacing w:line="360" w:lineRule="auto"/>
        <w:jc w:val="center"/>
        <w:rPr>
          <w:rFonts w:ascii="Times New Roman" w:hAnsi="Times New Roman" w:cs="Times New Roman"/>
          <w:sz w:val="24"/>
        </w:rPr>
      </w:pPr>
      <w:r>
        <w:rPr>
          <w:rFonts w:ascii="Times New Roman" w:hAnsi="Times New Roman" w:cs="Times New Roman"/>
          <w:noProof/>
          <w:sz w:val="24"/>
        </w:rPr>
        <w:lastRenderedPageBreak/>
        <w:drawing>
          <wp:inline distT="0" distB="0" distL="114300" distR="114300" wp14:anchorId="1DF2F5DE" wp14:editId="30BC6C6D">
            <wp:extent cx="5267325" cy="2068830"/>
            <wp:effectExtent l="0" t="0" r="0" b="7620"/>
            <wp:docPr id="5" name="图片 1" descr="A graph of a graph of a graph of a graph of a graph of a graph of a graph of a graph of a graph of a graph of a graph of a graph of a graph of&#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A graph of a graph of a graph of a graph of a graph of a graph of a graph of a graph of a graph of a graph of a graph of a graph of a graph of&#10;&#10;AI-generated content may be incorrect."/>
                    <pic:cNvPicPr>
                      <a:picLocks noChangeAspect="1"/>
                    </pic:cNvPicPr>
                  </pic:nvPicPr>
                  <pic:blipFill>
                    <a:blip r:embed="rId5"/>
                    <a:stretch>
                      <a:fillRect/>
                    </a:stretch>
                  </pic:blipFill>
                  <pic:spPr>
                    <a:xfrm>
                      <a:off x="0" y="0"/>
                      <a:ext cx="5267325" cy="2068830"/>
                    </a:xfrm>
                    <a:prstGeom prst="rect">
                      <a:avLst/>
                    </a:prstGeom>
                    <a:noFill/>
                    <a:ln>
                      <a:noFill/>
                    </a:ln>
                  </pic:spPr>
                </pic:pic>
              </a:graphicData>
            </a:graphic>
          </wp:inline>
        </w:drawing>
      </w:r>
    </w:p>
    <w:p w14:paraId="5D1E487F" w14:textId="77777777" w:rsidR="00304CBD" w:rsidRDefault="00304CBD" w:rsidP="00304CBD">
      <w:pPr>
        <w:spacing w:line="360" w:lineRule="auto"/>
        <w:outlineLvl w:val="0"/>
        <w:rPr>
          <w:rFonts w:ascii="Times New Roman" w:hAnsi="Times New Roman" w:cs="Times New Roman"/>
          <w:sz w:val="24"/>
        </w:rPr>
      </w:pPr>
      <w:r>
        <w:rPr>
          <w:rFonts w:ascii="Times New Roman" w:hAnsi="Times New Roman" w:cs="Times New Roman"/>
          <w:b/>
          <w:bCs/>
          <w:sz w:val="24"/>
        </w:rPr>
        <w:t>Extended Data Fig. 2.</w:t>
      </w:r>
      <w:r>
        <w:rPr>
          <w:rFonts w:ascii="Times New Roman" w:hAnsi="Times New Roman" w:cs="Times New Roman"/>
          <w:sz w:val="24"/>
        </w:rPr>
        <w:t xml:space="preserve"> Time evolutions of the Z-coordinate of PFOS during 200-ns MD simulation.</w:t>
      </w:r>
    </w:p>
    <w:p w14:paraId="6DD00AB9" w14:textId="77777777" w:rsidR="00304CBD" w:rsidRDefault="00304CBD" w:rsidP="00304CBD">
      <w:pPr>
        <w:spacing w:line="360" w:lineRule="auto"/>
        <w:rPr>
          <w:rFonts w:ascii="Times New Roman" w:hAnsi="Times New Roman" w:cs="Times New Roman"/>
          <w:sz w:val="24"/>
        </w:rPr>
      </w:pPr>
      <w:r>
        <w:rPr>
          <w:rFonts w:ascii="Times New Roman" w:hAnsi="Times New Roman" w:cs="Times New Roman"/>
          <w:sz w:val="24"/>
        </w:rPr>
        <w:br w:type="page"/>
      </w:r>
    </w:p>
    <w:p w14:paraId="61384C32" w14:textId="77777777" w:rsidR="00304CBD" w:rsidRDefault="00304CBD" w:rsidP="00304CBD">
      <w:pPr>
        <w:spacing w:line="360" w:lineRule="auto"/>
        <w:jc w:val="center"/>
        <w:rPr>
          <w:rFonts w:ascii="Times New Roman" w:hAnsi="Times New Roman" w:cs="Times New Roman"/>
          <w:sz w:val="24"/>
        </w:rPr>
      </w:pPr>
      <w:r>
        <w:rPr>
          <w:rFonts w:ascii="Times New Roman" w:hAnsi="Times New Roman" w:cs="Times New Roman"/>
          <w:noProof/>
          <w:sz w:val="24"/>
        </w:rPr>
        <w:lastRenderedPageBreak/>
        <w:drawing>
          <wp:inline distT="0" distB="0" distL="114300" distR="114300" wp14:anchorId="00093AD2" wp14:editId="479867B1">
            <wp:extent cx="3023870" cy="2036445"/>
            <wp:effectExtent l="0" t="0" r="5080" b="1905"/>
            <wp:docPr id="10" name="图片 4" descr="A graph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 descr="A graph of a graph&#10;&#10;AI-generated content may be incorrect."/>
                    <pic:cNvPicPr>
                      <a:picLocks noChangeAspect="1"/>
                    </pic:cNvPicPr>
                  </pic:nvPicPr>
                  <pic:blipFill>
                    <a:blip r:embed="rId6"/>
                    <a:stretch>
                      <a:fillRect/>
                    </a:stretch>
                  </pic:blipFill>
                  <pic:spPr>
                    <a:xfrm>
                      <a:off x="0" y="0"/>
                      <a:ext cx="3023870" cy="2036445"/>
                    </a:xfrm>
                    <a:prstGeom prst="rect">
                      <a:avLst/>
                    </a:prstGeom>
                    <a:noFill/>
                    <a:ln>
                      <a:noFill/>
                    </a:ln>
                  </pic:spPr>
                </pic:pic>
              </a:graphicData>
            </a:graphic>
          </wp:inline>
        </w:drawing>
      </w:r>
    </w:p>
    <w:p w14:paraId="47D01712" w14:textId="77777777" w:rsidR="00304CBD" w:rsidRDefault="00304CBD" w:rsidP="00304CBD">
      <w:pPr>
        <w:spacing w:line="360" w:lineRule="auto"/>
        <w:outlineLvl w:val="0"/>
        <w:rPr>
          <w:rFonts w:ascii="Times New Roman" w:hAnsi="Times New Roman" w:cs="Times New Roman"/>
          <w:sz w:val="24"/>
        </w:rPr>
      </w:pPr>
      <w:r>
        <w:rPr>
          <w:rFonts w:ascii="Times New Roman" w:hAnsi="Times New Roman" w:cs="Times New Roman"/>
          <w:b/>
          <w:bCs/>
          <w:sz w:val="24"/>
        </w:rPr>
        <w:t>Extended Data Fig. 3.</w:t>
      </w:r>
      <w:r>
        <w:rPr>
          <w:rFonts w:ascii="Times New Roman" w:hAnsi="Times New Roman" w:cs="Times New Roman"/>
          <w:sz w:val="24"/>
        </w:rPr>
        <w:t xml:space="preserve"> </w:t>
      </w:r>
      <w:r>
        <w:rPr>
          <w:rFonts w:ascii="Times New Roman" w:hAnsi="Times New Roman" w:cs="Times New Roman"/>
          <w:b/>
          <w:bCs/>
          <w:sz w:val="24"/>
          <w:szCs w:val="32"/>
        </w:rPr>
        <w:t>Circular dichroism spectrum of ECF-FolT2</w:t>
      </w:r>
      <w:r>
        <w:rPr>
          <w:rFonts w:ascii="Times New Roman" w:hAnsi="Times New Roman" w:cs="Times New Roman"/>
          <w:b/>
          <w:bCs/>
          <w:sz w:val="24"/>
        </w:rPr>
        <w:t xml:space="preserve"> binding with PFOS.</w:t>
      </w:r>
      <w:r>
        <w:rPr>
          <w:rFonts w:ascii="Times New Roman" w:hAnsi="Times New Roman" w:cs="Times New Roman"/>
          <w:sz w:val="24"/>
        </w:rPr>
        <w:t xml:space="preserve"> The binding of PFOS to the ECF-FolT2 did not significantly affect the secondary structure of </w:t>
      </w:r>
      <w:r>
        <w:rPr>
          <w:rFonts w:ascii="Times New Roman" w:hAnsi="Times New Roman" w:cs="Times New Roman"/>
          <w:sz w:val="24"/>
          <w:szCs w:val="32"/>
        </w:rPr>
        <w:t>the protein.</w:t>
      </w:r>
    </w:p>
    <w:bookmarkEnd w:id="0"/>
    <w:p w14:paraId="1511DF83" w14:textId="77777777" w:rsidR="00304CBD" w:rsidRDefault="00304CBD" w:rsidP="00304CBD">
      <w:pPr>
        <w:spacing w:line="360" w:lineRule="auto"/>
        <w:rPr>
          <w:rFonts w:ascii="Times New Roman" w:hAnsi="Times New Roman" w:cs="Times New Roman"/>
          <w:sz w:val="24"/>
        </w:rPr>
      </w:pPr>
      <w:r>
        <w:rPr>
          <w:rFonts w:ascii="Times New Roman" w:hAnsi="Times New Roman" w:cs="Times New Roman"/>
          <w:sz w:val="24"/>
        </w:rPr>
        <w:br w:type="page"/>
      </w:r>
    </w:p>
    <w:p w14:paraId="69B8737D" w14:textId="77777777" w:rsidR="00304CBD" w:rsidRDefault="00304CBD" w:rsidP="00304CBD">
      <w:pPr>
        <w:spacing w:line="360" w:lineRule="auto"/>
        <w:jc w:val="center"/>
        <w:rPr>
          <w:rFonts w:ascii="Times New Roman" w:hAnsi="Times New Roman" w:cs="Times New Roman"/>
          <w:sz w:val="24"/>
        </w:rPr>
      </w:pPr>
      <w:r>
        <w:rPr>
          <w:rFonts w:ascii="Times New Roman" w:hAnsi="Times New Roman" w:cs="Times New Roman"/>
          <w:noProof/>
          <w:sz w:val="24"/>
        </w:rPr>
        <w:lastRenderedPageBreak/>
        <w:drawing>
          <wp:inline distT="0" distB="0" distL="114300" distR="114300" wp14:anchorId="251B8037" wp14:editId="3CCEBFD3">
            <wp:extent cx="4867275" cy="4148455"/>
            <wp:effectExtent l="0" t="0" r="0" b="4445"/>
            <wp:docPr id="39" name="图片 1" descr="Several images of a cel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 descr="Several images of a cell&#10;&#10;AI-generated content may be incorrect."/>
                    <pic:cNvPicPr>
                      <a:picLocks noChangeAspect="1"/>
                    </pic:cNvPicPr>
                  </pic:nvPicPr>
                  <pic:blipFill>
                    <a:blip r:embed="rId7"/>
                    <a:stretch>
                      <a:fillRect/>
                    </a:stretch>
                  </pic:blipFill>
                  <pic:spPr>
                    <a:xfrm>
                      <a:off x="0" y="0"/>
                      <a:ext cx="4867275" cy="4148455"/>
                    </a:xfrm>
                    <a:prstGeom prst="rect">
                      <a:avLst/>
                    </a:prstGeom>
                    <a:noFill/>
                    <a:ln>
                      <a:noFill/>
                    </a:ln>
                  </pic:spPr>
                </pic:pic>
              </a:graphicData>
            </a:graphic>
          </wp:inline>
        </w:drawing>
      </w:r>
    </w:p>
    <w:p w14:paraId="64336683" w14:textId="77777777" w:rsidR="00304CBD" w:rsidRDefault="00304CBD" w:rsidP="00304CBD">
      <w:pPr>
        <w:spacing w:line="360" w:lineRule="auto"/>
        <w:outlineLvl w:val="0"/>
        <w:rPr>
          <w:rFonts w:ascii="Times New Roman" w:hAnsi="Times New Roman" w:cs="Times New Roman"/>
          <w:sz w:val="24"/>
        </w:rPr>
      </w:pPr>
      <w:r>
        <w:rPr>
          <w:rFonts w:ascii="Times New Roman" w:hAnsi="Times New Roman" w:cs="Times New Roman"/>
          <w:b/>
          <w:bCs/>
          <w:sz w:val="24"/>
        </w:rPr>
        <w:t>Extended Data Fig. 4. Structure alignment of ECF-FolT2</w:t>
      </w:r>
      <w:r>
        <w:rPr>
          <w:rFonts w:ascii="Times New Roman" w:hAnsi="Times New Roman" w:cs="Times New Roman"/>
          <w:b/>
          <w:bCs/>
          <w:sz w:val="24"/>
          <w:szCs w:val="32"/>
        </w:rPr>
        <w:t xml:space="preserve"> from </w:t>
      </w:r>
      <w:r>
        <w:rPr>
          <w:rFonts w:ascii="Times New Roman" w:hAnsi="Times New Roman" w:cs="Times New Roman"/>
          <w:b/>
          <w:bCs/>
          <w:i/>
          <w:iCs/>
          <w:sz w:val="24"/>
          <w:szCs w:val="32"/>
        </w:rPr>
        <w:t>Lactobacillus brevis</w:t>
      </w:r>
      <w:r>
        <w:rPr>
          <w:rFonts w:ascii="Times New Roman" w:hAnsi="Times New Roman" w:cs="Times New Roman"/>
          <w:b/>
          <w:bCs/>
          <w:sz w:val="24"/>
          <w:szCs w:val="32"/>
        </w:rPr>
        <w:t xml:space="preserve"> (this work, </w:t>
      </w:r>
      <w:r>
        <w:rPr>
          <w:rFonts w:ascii="Times New Roman" w:hAnsi="Times New Roman" w:cs="Times New Roman"/>
          <w:b/>
          <w:bCs/>
          <w:i/>
          <w:iCs/>
          <w:szCs w:val="21"/>
        </w:rPr>
        <w:t>violet</w:t>
      </w:r>
      <w:r>
        <w:rPr>
          <w:rFonts w:ascii="Times New Roman" w:hAnsi="Times New Roman" w:cs="Times New Roman"/>
          <w:b/>
          <w:bCs/>
          <w:sz w:val="24"/>
        </w:rPr>
        <w:t>) affected by PFOS and ECF-FolT2</w:t>
      </w:r>
      <w:r>
        <w:rPr>
          <w:rFonts w:ascii="Times New Roman" w:hAnsi="Times New Roman" w:cs="Times New Roman"/>
          <w:b/>
          <w:bCs/>
          <w:sz w:val="24"/>
          <w:szCs w:val="32"/>
        </w:rPr>
        <w:t xml:space="preserve"> from </w:t>
      </w:r>
      <w:r>
        <w:rPr>
          <w:rFonts w:ascii="Times New Roman" w:hAnsi="Times New Roman" w:cs="Times New Roman"/>
          <w:b/>
          <w:bCs/>
          <w:i/>
          <w:iCs/>
          <w:sz w:val="24"/>
          <w:szCs w:val="32"/>
        </w:rPr>
        <w:t>Lactobacillus delbrueckii</w:t>
      </w:r>
      <w:r>
        <w:rPr>
          <w:rFonts w:ascii="Times New Roman" w:hAnsi="Times New Roman" w:cs="Times New Roman"/>
          <w:b/>
          <w:bCs/>
          <w:sz w:val="24"/>
        </w:rPr>
        <w:t xml:space="preserve"> (PDB ID: 8BMP, </w:t>
      </w:r>
      <w:r>
        <w:rPr>
          <w:rFonts w:ascii="Times New Roman" w:hAnsi="Times New Roman" w:cs="Times New Roman"/>
          <w:b/>
          <w:bCs/>
          <w:i/>
          <w:iCs/>
          <w:sz w:val="24"/>
        </w:rPr>
        <w:t>yellow</w:t>
      </w:r>
      <w:r>
        <w:rPr>
          <w:rFonts w:ascii="Times New Roman" w:hAnsi="Times New Roman" w:cs="Times New Roman"/>
          <w:b/>
          <w:bCs/>
          <w:sz w:val="24"/>
        </w:rPr>
        <w:t>)</w:t>
      </w:r>
      <w:r>
        <w:rPr>
          <w:rFonts w:ascii="Times New Roman" w:hAnsi="Times New Roman" w:cs="Times New Roman"/>
          <w:b/>
          <w:bCs/>
          <w:sz w:val="24"/>
          <w:szCs w:val="32"/>
        </w:rPr>
        <w:t xml:space="preserve"> </w:t>
      </w:r>
      <w:r>
        <w:rPr>
          <w:rFonts w:ascii="Times New Roman" w:hAnsi="Times New Roman" w:cs="Times New Roman"/>
          <w:b/>
          <w:bCs/>
          <w:sz w:val="24"/>
        </w:rPr>
        <w:t>bound to ATP (</w:t>
      </w:r>
      <w:r>
        <w:rPr>
          <w:rFonts w:ascii="Times New Roman" w:hAnsi="Times New Roman" w:cs="Times New Roman"/>
          <w:b/>
          <w:bCs/>
          <w:i/>
          <w:iCs/>
          <w:sz w:val="24"/>
        </w:rPr>
        <w:t>red</w:t>
      </w:r>
      <w:r>
        <w:rPr>
          <w:rFonts w:ascii="Times New Roman" w:hAnsi="Times New Roman" w:cs="Times New Roman"/>
          <w:b/>
          <w:bCs/>
          <w:sz w:val="24"/>
        </w:rPr>
        <w:t>) and ADP (</w:t>
      </w:r>
      <w:r>
        <w:rPr>
          <w:rFonts w:ascii="Times New Roman" w:hAnsi="Times New Roman" w:cs="Times New Roman"/>
          <w:b/>
          <w:bCs/>
          <w:i/>
          <w:iCs/>
          <w:sz w:val="24"/>
        </w:rPr>
        <w:t>green</w:t>
      </w:r>
      <w:r>
        <w:rPr>
          <w:rFonts w:ascii="Times New Roman" w:hAnsi="Times New Roman" w:cs="Times New Roman"/>
          <w:b/>
          <w:bCs/>
          <w:sz w:val="24"/>
        </w:rPr>
        <w:t xml:space="preserve">). </w:t>
      </w:r>
      <w:r>
        <w:rPr>
          <w:rFonts w:ascii="Times New Roman" w:hAnsi="Times New Roman" w:cs="Times New Roman"/>
          <w:sz w:val="24"/>
        </w:rPr>
        <w:t>(</w:t>
      </w:r>
      <w:r>
        <w:rPr>
          <w:rFonts w:ascii="Times New Roman" w:hAnsi="Times New Roman" w:cs="Times New Roman"/>
          <w:b/>
          <w:bCs/>
          <w:sz w:val="24"/>
        </w:rPr>
        <w:t>a</w:t>
      </w:r>
      <w:r>
        <w:rPr>
          <w:rFonts w:ascii="Times New Roman" w:hAnsi="Times New Roman" w:cs="Times New Roman"/>
          <w:sz w:val="24"/>
        </w:rPr>
        <w:t>) ECF-FolT2s are shown as sticks, and the conformational changes are indicated with red arrows. (</w:t>
      </w:r>
      <w:r>
        <w:rPr>
          <w:rFonts w:ascii="Times New Roman" w:hAnsi="Times New Roman" w:cs="Times New Roman"/>
          <w:b/>
          <w:bCs/>
          <w:sz w:val="24"/>
        </w:rPr>
        <w:t>b</w:t>
      </w:r>
      <w:r>
        <w:rPr>
          <w:rFonts w:ascii="Times New Roman" w:hAnsi="Times New Roman" w:cs="Times New Roman"/>
          <w:sz w:val="24"/>
        </w:rPr>
        <w:t>) ECF-FolT2s are shown as surface. The PFOS-affected folate ECF transporter presented an “eversion” state. The protein sticks at sites for ATP and ADP occurred misalignment in different degrees. If the ECFs were shown as surface form, we could found that the surfaces of the binding pocket for ATP and ADP changed so much. The influence of PFOS on ECF-FolT2 transporter had greatly transformed the protein tertiary structure including the binding sites of ATP and ADP.</w:t>
      </w:r>
    </w:p>
    <w:p w14:paraId="22F0A335" w14:textId="77777777" w:rsidR="00304CBD" w:rsidRDefault="00304CBD" w:rsidP="00304CBD">
      <w:pPr>
        <w:spacing w:line="360" w:lineRule="auto"/>
        <w:rPr>
          <w:rFonts w:ascii="Times New Roman" w:hAnsi="Times New Roman" w:cs="Times New Roman"/>
          <w:sz w:val="24"/>
        </w:rPr>
      </w:pPr>
      <w:r>
        <w:rPr>
          <w:rFonts w:ascii="Times New Roman" w:hAnsi="Times New Roman" w:cs="Times New Roman"/>
          <w:sz w:val="24"/>
        </w:rPr>
        <w:br w:type="page"/>
      </w:r>
    </w:p>
    <w:p w14:paraId="04B1E626" w14:textId="77777777" w:rsidR="00304CBD" w:rsidRDefault="00304CBD" w:rsidP="00304CBD">
      <w:pPr>
        <w:spacing w:line="360" w:lineRule="auto"/>
        <w:jc w:val="center"/>
        <w:rPr>
          <w:rFonts w:ascii="Times New Roman" w:hAnsi="Times New Roman" w:cs="Times New Roman"/>
          <w:sz w:val="24"/>
        </w:rPr>
      </w:pPr>
      <w:r>
        <w:rPr>
          <w:rFonts w:ascii="Times New Roman" w:hAnsi="Times New Roman" w:cs="Times New Roman"/>
          <w:noProof/>
          <w:sz w:val="24"/>
        </w:rPr>
        <w:lastRenderedPageBreak/>
        <w:drawing>
          <wp:inline distT="0" distB="0" distL="114300" distR="114300" wp14:anchorId="01183ED5" wp14:editId="1A2F10A0">
            <wp:extent cx="3044190" cy="3227705"/>
            <wp:effectExtent l="0" t="0" r="3810" b="1270"/>
            <wp:docPr id="4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5"/>
                    <pic:cNvPicPr>
                      <a:picLocks noChangeAspect="1"/>
                    </pic:cNvPicPr>
                  </pic:nvPicPr>
                  <pic:blipFill>
                    <a:blip r:embed="rId8"/>
                    <a:stretch>
                      <a:fillRect/>
                    </a:stretch>
                  </pic:blipFill>
                  <pic:spPr>
                    <a:xfrm>
                      <a:off x="0" y="0"/>
                      <a:ext cx="3044190" cy="3227705"/>
                    </a:xfrm>
                    <a:prstGeom prst="rect">
                      <a:avLst/>
                    </a:prstGeom>
                    <a:noFill/>
                    <a:ln>
                      <a:noFill/>
                    </a:ln>
                  </pic:spPr>
                </pic:pic>
              </a:graphicData>
            </a:graphic>
          </wp:inline>
        </w:drawing>
      </w:r>
    </w:p>
    <w:p w14:paraId="37D6F4A1" w14:textId="77777777" w:rsidR="00304CBD" w:rsidRDefault="00304CBD" w:rsidP="00304CBD">
      <w:pPr>
        <w:spacing w:line="360" w:lineRule="auto"/>
        <w:outlineLvl w:val="0"/>
        <w:rPr>
          <w:rFonts w:ascii="Times New Roman" w:hAnsi="Times New Roman" w:cs="Times New Roman"/>
          <w:sz w:val="24"/>
        </w:rPr>
      </w:pPr>
      <w:r>
        <w:rPr>
          <w:rFonts w:ascii="Times New Roman" w:hAnsi="Times New Roman" w:cs="Times New Roman"/>
          <w:b/>
          <w:bCs/>
          <w:sz w:val="24"/>
        </w:rPr>
        <w:t>Extended Data Fig. 5.</w:t>
      </w:r>
      <w:r>
        <w:rPr>
          <w:rFonts w:ascii="Times New Roman" w:hAnsi="Times New Roman" w:cs="Times New Roman"/>
          <w:sz w:val="24"/>
        </w:rPr>
        <w:t xml:space="preserve"> Electrostatic surface potential (ESP) distribution of PFOS. In the upper figures, red part means negative ESP, blue part indicates positive ESP, and white part represents zero region. The bottom bar charts show the potential distribution. Some specific results in quantitative analysis of molecular surface are listed as following:</w:t>
      </w:r>
    </w:p>
    <w:p w14:paraId="4C73A080" w14:textId="77777777" w:rsidR="00304CBD" w:rsidRDefault="00304CBD" w:rsidP="00304CBD">
      <w:pPr>
        <w:spacing w:line="360" w:lineRule="auto"/>
        <w:rPr>
          <w:rFonts w:ascii="Times New Roman" w:hAnsi="Times New Roman" w:cs="Times New Roman"/>
          <w:sz w:val="24"/>
        </w:rPr>
      </w:pPr>
    </w:p>
    <w:p w14:paraId="0AE12A71" w14:textId="77777777" w:rsidR="00304CBD" w:rsidRDefault="00304CBD" w:rsidP="00304CBD">
      <w:pPr>
        <w:spacing w:line="360" w:lineRule="auto"/>
        <w:rPr>
          <w:rFonts w:ascii="Times New Roman" w:hAnsi="Times New Roman" w:cs="Times New Roman"/>
          <w:sz w:val="24"/>
        </w:rPr>
      </w:pPr>
      <w:r>
        <w:rPr>
          <w:rFonts w:ascii="Times New Roman" w:hAnsi="Times New Roman" w:cs="Times New Roman"/>
          <w:sz w:val="24"/>
        </w:rPr>
        <w:t>Volume: 279.73561 Angstrom</w:t>
      </w:r>
      <w:r>
        <w:rPr>
          <w:rFonts w:ascii="Times New Roman" w:hAnsi="Times New Roman" w:cs="Times New Roman"/>
          <w:sz w:val="24"/>
          <w:vertAlign w:val="superscript"/>
        </w:rPr>
        <w:t>3</w:t>
      </w:r>
    </w:p>
    <w:p w14:paraId="7B25DFA7" w14:textId="77777777" w:rsidR="00304CBD" w:rsidRDefault="00304CBD" w:rsidP="00304CBD">
      <w:pPr>
        <w:spacing w:line="360" w:lineRule="auto"/>
        <w:rPr>
          <w:rFonts w:ascii="Times New Roman" w:hAnsi="Times New Roman" w:cs="Times New Roman"/>
          <w:sz w:val="24"/>
        </w:rPr>
      </w:pPr>
      <w:r>
        <w:rPr>
          <w:rFonts w:ascii="Times New Roman" w:hAnsi="Times New Roman" w:cs="Times New Roman"/>
          <w:sz w:val="24"/>
        </w:rPr>
        <w:t>Estimated density according to mass and volume (M/V): 2.9628 g/cm</w:t>
      </w:r>
      <w:r>
        <w:rPr>
          <w:rFonts w:ascii="Times New Roman" w:hAnsi="Times New Roman" w:cs="Times New Roman"/>
          <w:sz w:val="24"/>
          <w:vertAlign w:val="superscript"/>
        </w:rPr>
        <w:t>3</w:t>
      </w:r>
    </w:p>
    <w:p w14:paraId="7702091E" w14:textId="77777777" w:rsidR="00304CBD" w:rsidRDefault="00304CBD" w:rsidP="00304CBD">
      <w:pPr>
        <w:spacing w:line="360" w:lineRule="auto"/>
        <w:rPr>
          <w:rFonts w:ascii="Times New Roman" w:hAnsi="Times New Roman" w:cs="Times New Roman"/>
          <w:sz w:val="24"/>
        </w:rPr>
      </w:pPr>
      <w:r>
        <w:rPr>
          <w:rFonts w:ascii="Times New Roman" w:hAnsi="Times New Roman" w:cs="Times New Roman"/>
          <w:sz w:val="24"/>
        </w:rPr>
        <w:t>Minimal value: -26.79573 kcal/mol</w:t>
      </w:r>
    </w:p>
    <w:p w14:paraId="2424C30E" w14:textId="77777777" w:rsidR="00304CBD" w:rsidRDefault="00304CBD" w:rsidP="00304CBD">
      <w:pPr>
        <w:spacing w:line="360" w:lineRule="auto"/>
        <w:rPr>
          <w:rFonts w:ascii="Times New Roman" w:hAnsi="Times New Roman" w:cs="Times New Roman"/>
          <w:sz w:val="24"/>
        </w:rPr>
      </w:pPr>
      <w:r>
        <w:rPr>
          <w:rFonts w:ascii="Times New Roman" w:hAnsi="Times New Roman" w:cs="Times New Roman"/>
          <w:sz w:val="24"/>
        </w:rPr>
        <w:t>Maximal value: 82.30824 kcal/mol</w:t>
      </w:r>
    </w:p>
    <w:p w14:paraId="315BAD01" w14:textId="77777777" w:rsidR="00304CBD" w:rsidRDefault="00304CBD" w:rsidP="00304CBD">
      <w:pPr>
        <w:spacing w:line="360" w:lineRule="auto"/>
        <w:rPr>
          <w:rFonts w:ascii="Times New Roman" w:hAnsi="Times New Roman" w:cs="Times New Roman"/>
          <w:sz w:val="24"/>
        </w:rPr>
      </w:pPr>
      <w:r>
        <w:rPr>
          <w:rFonts w:ascii="Times New Roman" w:hAnsi="Times New Roman" w:cs="Times New Roman"/>
          <w:sz w:val="24"/>
        </w:rPr>
        <w:t>Overall surface area: 289.68681 Angstrom</w:t>
      </w:r>
      <w:r>
        <w:rPr>
          <w:rFonts w:ascii="Times New Roman" w:hAnsi="Times New Roman" w:cs="Times New Roman"/>
          <w:sz w:val="24"/>
          <w:vertAlign w:val="superscript"/>
        </w:rPr>
        <w:t>2</w:t>
      </w:r>
    </w:p>
    <w:p w14:paraId="2508CCB1" w14:textId="77777777" w:rsidR="00304CBD" w:rsidRDefault="00304CBD" w:rsidP="00304CBD">
      <w:pPr>
        <w:spacing w:line="360" w:lineRule="auto"/>
        <w:rPr>
          <w:rFonts w:ascii="Times New Roman" w:hAnsi="Times New Roman" w:cs="Times New Roman"/>
          <w:sz w:val="24"/>
        </w:rPr>
      </w:pPr>
      <w:r>
        <w:rPr>
          <w:rFonts w:ascii="Times New Roman" w:hAnsi="Times New Roman" w:cs="Times New Roman"/>
          <w:sz w:val="24"/>
        </w:rPr>
        <w:t>Positive surface area: 156.77207 Angstrom</w:t>
      </w:r>
      <w:r>
        <w:rPr>
          <w:rFonts w:ascii="Times New Roman" w:hAnsi="Times New Roman" w:cs="Times New Roman"/>
          <w:sz w:val="24"/>
          <w:vertAlign w:val="superscript"/>
        </w:rPr>
        <w:t>2</w:t>
      </w:r>
    </w:p>
    <w:p w14:paraId="5DA16729" w14:textId="77777777" w:rsidR="00304CBD" w:rsidRDefault="00304CBD" w:rsidP="00304CBD">
      <w:pPr>
        <w:spacing w:line="360" w:lineRule="auto"/>
        <w:rPr>
          <w:rFonts w:ascii="Times New Roman" w:hAnsi="Times New Roman" w:cs="Times New Roman"/>
          <w:sz w:val="24"/>
        </w:rPr>
      </w:pPr>
      <w:r>
        <w:rPr>
          <w:rFonts w:ascii="Times New Roman" w:hAnsi="Times New Roman" w:cs="Times New Roman"/>
          <w:sz w:val="24"/>
        </w:rPr>
        <w:t>Negative surface area: 132.91474 Angstrom</w:t>
      </w:r>
      <w:r>
        <w:rPr>
          <w:rFonts w:ascii="Times New Roman" w:hAnsi="Times New Roman" w:cs="Times New Roman"/>
          <w:sz w:val="24"/>
          <w:vertAlign w:val="superscript"/>
        </w:rPr>
        <w:t>2</w:t>
      </w:r>
    </w:p>
    <w:p w14:paraId="13FF66F7" w14:textId="77777777" w:rsidR="00304CBD" w:rsidRDefault="00304CBD" w:rsidP="00304CBD">
      <w:pPr>
        <w:spacing w:line="360" w:lineRule="auto"/>
        <w:rPr>
          <w:rFonts w:ascii="Times New Roman" w:hAnsi="Times New Roman" w:cs="Times New Roman"/>
          <w:sz w:val="24"/>
        </w:rPr>
      </w:pPr>
      <w:r>
        <w:rPr>
          <w:rFonts w:ascii="Times New Roman" w:hAnsi="Times New Roman" w:cs="Times New Roman"/>
          <w:sz w:val="24"/>
        </w:rPr>
        <w:t>Overall average value: 4.74014 kcal/mol</w:t>
      </w:r>
    </w:p>
    <w:p w14:paraId="481DC7C1" w14:textId="77777777" w:rsidR="00304CBD" w:rsidRDefault="00304CBD" w:rsidP="00304CBD">
      <w:pPr>
        <w:spacing w:line="360" w:lineRule="auto"/>
        <w:rPr>
          <w:rFonts w:ascii="Times New Roman" w:hAnsi="Times New Roman" w:cs="Times New Roman"/>
          <w:sz w:val="24"/>
        </w:rPr>
      </w:pPr>
      <w:r>
        <w:rPr>
          <w:rFonts w:ascii="Times New Roman" w:hAnsi="Times New Roman" w:cs="Times New Roman"/>
          <w:sz w:val="24"/>
        </w:rPr>
        <w:t>Positive average value: 14.73513 kcal/mol</w:t>
      </w:r>
    </w:p>
    <w:p w14:paraId="39850F88" w14:textId="77777777" w:rsidR="00304CBD" w:rsidRDefault="00304CBD" w:rsidP="00304CBD">
      <w:pPr>
        <w:spacing w:line="360" w:lineRule="auto"/>
        <w:rPr>
          <w:rFonts w:ascii="Times New Roman" w:hAnsi="Times New Roman" w:cs="Times New Roman"/>
          <w:sz w:val="24"/>
        </w:rPr>
      </w:pPr>
      <w:r>
        <w:rPr>
          <w:rFonts w:ascii="Times New Roman" w:hAnsi="Times New Roman" w:cs="Times New Roman"/>
          <w:sz w:val="24"/>
        </w:rPr>
        <w:t>Negative average value: -7.04889 kcal/mol</w:t>
      </w:r>
    </w:p>
    <w:p w14:paraId="40B194C5" w14:textId="77777777" w:rsidR="00304CBD" w:rsidRDefault="00304CBD" w:rsidP="00304CBD">
      <w:pPr>
        <w:spacing w:line="360" w:lineRule="auto"/>
        <w:rPr>
          <w:rFonts w:ascii="Times New Roman" w:hAnsi="Times New Roman" w:cs="Times New Roman"/>
          <w:sz w:val="24"/>
        </w:rPr>
      </w:pPr>
      <w:r>
        <w:rPr>
          <w:rFonts w:ascii="Times New Roman" w:hAnsi="Times New Roman" w:cs="Times New Roman"/>
          <w:sz w:val="24"/>
        </w:rPr>
        <w:t>Overall variance (sigma</w:t>
      </w:r>
      <w:r>
        <w:rPr>
          <w:rFonts w:ascii="Times New Roman" w:hAnsi="Times New Roman" w:cs="Times New Roman"/>
          <w:sz w:val="24"/>
          <w:vertAlign w:val="superscript"/>
        </w:rPr>
        <w:t>2</w:t>
      </w:r>
      <w:r>
        <w:rPr>
          <w:rFonts w:ascii="Times New Roman" w:hAnsi="Times New Roman" w:cs="Times New Roman"/>
          <w:sz w:val="24"/>
        </w:rPr>
        <w:t>_tot): 225.38401 (kcal/mol)</w:t>
      </w:r>
      <w:r>
        <w:rPr>
          <w:rFonts w:ascii="Times New Roman" w:hAnsi="Times New Roman" w:cs="Times New Roman"/>
          <w:sz w:val="24"/>
          <w:vertAlign w:val="superscript"/>
        </w:rPr>
        <w:t>2</w:t>
      </w:r>
    </w:p>
    <w:p w14:paraId="77A52487" w14:textId="77777777" w:rsidR="00304CBD" w:rsidRDefault="00304CBD" w:rsidP="00304CBD">
      <w:pPr>
        <w:spacing w:line="360" w:lineRule="auto"/>
        <w:rPr>
          <w:rFonts w:ascii="Times New Roman" w:hAnsi="Times New Roman" w:cs="Times New Roman"/>
          <w:sz w:val="24"/>
        </w:rPr>
      </w:pPr>
      <w:r>
        <w:rPr>
          <w:rFonts w:ascii="Times New Roman" w:hAnsi="Times New Roman" w:cs="Times New Roman"/>
          <w:sz w:val="24"/>
        </w:rPr>
        <w:t>Positive variance: 181.80554 (kcal/mol)</w:t>
      </w:r>
      <w:r>
        <w:rPr>
          <w:rFonts w:ascii="Times New Roman" w:hAnsi="Times New Roman" w:cs="Times New Roman"/>
          <w:sz w:val="24"/>
          <w:vertAlign w:val="superscript"/>
        </w:rPr>
        <w:t>2</w:t>
      </w:r>
    </w:p>
    <w:p w14:paraId="15773C84" w14:textId="77777777" w:rsidR="00304CBD" w:rsidRDefault="00304CBD" w:rsidP="00304CBD">
      <w:pPr>
        <w:spacing w:line="360" w:lineRule="auto"/>
        <w:rPr>
          <w:rFonts w:ascii="Times New Roman" w:hAnsi="Times New Roman" w:cs="Times New Roman"/>
          <w:sz w:val="24"/>
        </w:rPr>
      </w:pPr>
      <w:r>
        <w:rPr>
          <w:rFonts w:ascii="Times New Roman" w:hAnsi="Times New Roman" w:cs="Times New Roman"/>
          <w:sz w:val="24"/>
        </w:rPr>
        <w:t>Negative variance: 43.57847 (kcal/mol)</w:t>
      </w:r>
      <w:r>
        <w:rPr>
          <w:rFonts w:ascii="Times New Roman" w:hAnsi="Times New Roman" w:cs="Times New Roman"/>
          <w:sz w:val="24"/>
          <w:vertAlign w:val="superscript"/>
        </w:rPr>
        <w:t>2</w:t>
      </w:r>
    </w:p>
    <w:p w14:paraId="1A5955F8" w14:textId="77777777" w:rsidR="00304CBD" w:rsidRDefault="00304CBD" w:rsidP="00304CBD">
      <w:pPr>
        <w:spacing w:line="360" w:lineRule="auto"/>
        <w:rPr>
          <w:rFonts w:ascii="Times New Roman" w:hAnsi="Times New Roman" w:cs="Times New Roman"/>
          <w:sz w:val="24"/>
        </w:rPr>
      </w:pPr>
      <w:r>
        <w:rPr>
          <w:rFonts w:ascii="Times New Roman" w:hAnsi="Times New Roman" w:cs="Times New Roman"/>
          <w:sz w:val="24"/>
        </w:rPr>
        <w:t>Balance of charges (nu): 0.15596706</w:t>
      </w:r>
    </w:p>
    <w:p w14:paraId="7043BF8A" w14:textId="77777777" w:rsidR="00304CBD" w:rsidRDefault="00304CBD" w:rsidP="00304CBD">
      <w:pPr>
        <w:spacing w:line="360" w:lineRule="auto"/>
        <w:rPr>
          <w:rFonts w:ascii="Times New Roman" w:hAnsi="Times New Roman" w:cs="Times New Roman"/>
          <w:sz w:val="24"/>
        </w:rPr>
      </w:pPr>
      <w:r>
        <w:rPr>
          <w:rFonts w:ascii="Times New Roman" w:hAnsi="Times New Roman" w:cs="Times New Roman"/>
          <w:sz w:val="24"/>
        </w:rPr>
        <w:lastRenderedPageBreak/>
        <w:t>Product of sigma</w:t>
      </w:r>
      <w:r>
        <w:rPr>
          <w:rFonts w:ascii="Times New Roman" w:hAnsi="Times New Roman" w:cs="Times New Roman"/>
          <w:sz w:val="24"/>
          <w:vertAlign w:val="superscript"/>
        </w:rPr>
        <w:t>2</w:t>
      </w:r>
      <w:r>
        <w:rPr>
          <w:rFonts w:ascii="Times New Roman" w:hAnsi="Times New Roman" w:cs="Times New Roman"/>
          <w:sz w:val="24"/>
        </w:rPr>
        <w:t>_tot and nu: 35.15248 (kcal/mol)</w:t>
      </w:r>
      <w:r>
        <w:rPr>
          <w:rFonts w:ascii="Times New Roman" w:hAnsi="Times New Roman" w:cs="Times New Roman"/>
          <w:sz w:val="24"/>
          <w:vertAlign w:val="superscript"/>
        </w:rPr>
        <w:t>2</w:t>
      </w:r>
    </w:p>
    <w:p w14:paraId="72181707" w14:textId="77777777" w:rsidR="00304CBD" w:rsidRDefault="00304CBD" w:rsidP="00304CBD">
      <w:pPr>
        <w:spacing w:line="360" w:lineRule="auto"/>
        <w:rPr>
          <w:rFonts w:ascii="Times New Roman" w:hAnsi="Times New Roman" w:cs="Times New Roman"/>
          <w:sz w:val="24"/>
        </w:rPr>
      </w:pPr>
      <w:r>
        <w:rPr>
          <w:rFonts w:ascii="Times New Roman" w:hAnsi="Times New Roman" w:cs="Times New Roman"/>
          <w:sz w:val="24"/>
        </w:rPr>
        <w:t>Internal charge separation (Pi): 11.49808 kcal/mol</w:t>
      </w:r>
    </w:p>
    <w:p w14:paraId="2138582A" w14:textId="77777777" w:rsidR="00304CBD" w:rsidRDefault="00304CBD" w:rsidP="00304CBD">
      <w:pPr>
        <w:spacing w:line="360" w:lineRule="auto"/>
        <w:rPr>
          <w:rFonts w:ascii="Times New Roman" w:hAnsi="Times New Roman" w:cs="Times New Roman"/>
          <w:sz w:val="24"/>
        </w:rPr>
      </w:pPr>
      <w:r>
        <w:rPr>
          <w:rFonts w:ascii="Times New Roman" w:hAnsi="Times New Roman" w:cs="Times New Roman"/>
          <w:sz w:val="24"/>
        </w:rPr>
        <w:t>Molecular polarity index (MPI): 11.20851 kcal/mol</w:t>
      </w:r>
    </w:p>
    <w:p w14:paraId="099AF709" w14:textId="77777777" w:rsidR="00304CBD" w:rsidRDefault="00304CBD" w:rsidP="00304CBD">
      <w:pPr>
        <w:spacing w:line="360" w:lineRule="auto"/>
        <w:rPr>
          <w:rFonts w:ascii="Times New Roman" w:hAnsi="Times New Roman" w:cs="Times New Roman"/>
          <w:sz w:val="24"/>
        </w:rPr>
      </w:pPr>
      <w:r>
        <w:rPr>
          <w:rFonts w:ascii="Times New Roman" w:hAnsi="Times New Roman" w:cs="Times New Roman"/>
          <w:sz w:val="24"/>
        </w:rPr>
        <w:t>Nonpolar surface area (|ESP| ≤ 10 kcal/mol): 182.57 Angstrom</w:t>
      </w:r>
      <w:r>
        <w:rPr>
          <w:rFonts w:ascii="Times New Roman" w:hAnsi="Times New Roman" w:cs="Times New Roman"/>
          <w:sz w:val="24"/>
          <w:vertAlign w:val="superscript"/>
        </w:rPr>
        <w:t>2</w:t>
      </w:r>
      <w:r>
        <w:rPr>
          <w:rFonts w:ascii="Times New Roman" w:hAnsi="Times New Roman" w:cs="Times New Roman"/>
          <w:sz w:val="24"/>
        </w:rPr>
        <w:t xml:space="preserve"> (63.02 %)</w:t>
      </w:r>
    </w:p>
    <w:p w14:paraId="1903DB74" w14:textId="77777777" w:rsidR="00304CBD" w:rsidRDefault="00304CBD" w:rsidP="00304CBD">
      <w:pPr>
        <w:spacing w:line="360" w:lineRule="auto"/>
        <w:rPr>
          <w:rFonts w:ascii="Times New Roman" w:hAnsi="Times New Roman" w:cs="Times New Roman"/>
          <w:sz w:val="24"/>
        </w:rPr>
      </w:pPr>
      <w:r>
        <w:rPr>
          <w:rFonts w:ascii="Times New Roman" w:hAnsi="Times New Roman" w:cs="Times New Roman"/>
          <w:sz w:val="24"/>
        </w:rPr>
        <w:t>Polar surface area (|ESP| &gt; 10 kcal/mol): 107.12 Angstrom</w:t>
      </w:r>
      <w:r>
        <w:rPr>
          <w:rFonts w:ascii="Times New Roman" w:hAnsi="Times New Roman" w:cs="Times New Roman"/>
          <w:sz w:val="24"/>
          <w:vertAlign w:val="superscript"/>
        </w:rPr>
        <w:t>2</w:t>
      </w:r>
      <w:r>
        <w:rPr>
          <w:rFonts w:ascii="Times New Roman" w:hAnsi="Times New Roman" w:cs="Times New Roman"/>
          <w:sz w:val="24"/>
        </w:rPr>
        <w:t xml:space="preserve"> (36.98 %)</w:t>
      </w:r>
    </w:p>
    <w:p w14:paraId="4406BA0C" w14:textId="77777777" w:rsidR="00304CBD" w:rsidRDefault="00304CBD" w:rsidP="00304CBD">
      <w:pPr>
        <w:spacing w:line="360" w:lineRule="auto"/>
        <w:rPr>
          <w:rFonts w:ascii="Times New Roman" w:hAnsi="Times New Roman" w:cs="Times New Roman"/>
          <w:sz w:val="24"/>
        </w:rPr>
      </w:pPr>
      <w:r>
        <w:rPr>
          <w:rFonts w:ascii="Times New Roman" w:hAnsi="Times New Roman" w:cs="Times New Roman"/>
          <w:sz w:val="24"/>
        </w:rPr>
        <w:br w:type="page"/>
      </w:r>
    </w:p>
    <w:p w14:paraId="511C2E15" w14:textId="77777777" w:rsidR="00304CBD" w:rsidRDefault="00304CBD" w:rsidP="00304CBD">
      <w:pPr>
        <w:spacing w:line="360" w:lineRule="auto"/>
        <w:jc w:val="center"/>
        <w:rPr>
          <w:rFonts w:ascii="Times New Roman" w:hAnsi="Times New Roman" w:cs="Times New Roman"/>
          <w:sz w:val="24"/>
        </w:rPr>
      </w:pPr>
      <w:r>
        <w:rPr>
          <w:rFonts w:ascii="Times New Roman" w:hAnsi="Times New Roman" w:cs="Times New Roman"/>
          <w:noProof/>
        </w:rPr>
        <w:lastRenderedPageBreak/>
        <w:drawing>
          <wp:inline distT="0" distB="0" distL="114300" distR="114300" wp14:anchorId="1A9D9A27" wp14:editId="62A1E947">
            <wp:extent cx="4798695" cy="5463540"/>
            <wp:effectExtent l="0" t="0" r="1905" b="3810"/>
            <wp:docPr id="4" name="图片 2" descr="A diagram of a dna sequen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A diagram of a dna sequence&#10;&#10;AI-generated content may be incorrect."/>
                    <pic:cNvPicPr>
                      <a:picLocks noChangeAspect="1"/>
                    </pic:cNvPicPr>
                  </pic:nvPicPr>
                  <pic:blipFill>
                    <a:blip r:embed="rId9"/>
                    <a:stretch>
                      <a:fillRect/>
                    </a:stretch>
                  </pic:blipFill>
                  <pic:spPr>
                    <a:xfrm>
                      <a:off x="0" y="0"/>
                      <a:ext cx="4798695" cy="5463540"/>
                    </a:xfrm>
                    <a:prstGeom prst="rect">
                      <a:avLst/>
                    </a:prstGeom>
                    <a:noFill/>
                    <a:ln>
                      <a:noFill/>
                    </a:ln>
                  </pic:spPr>
                </pic:pic>
              </a:graphicData>
            </a:graphic>
          </wp:inline>
        </w:drawing>
      </w:r>
    </w:p>
    <w:p w14:paraId="4120BFA9" w14:textId="77777777" w:rsidR="00304CBD" w:rsidRDefault="00304CBD" w:rsidP="00304CBD">
      <w:pPr>
        <w:spacing w:line="360" w:lineRule="auto"/>
        <w:outlineLvl w:val="0"/>
        <w:rPr>
          <w:rFonts w:ascii="Times New Roman" w:hAnsi="Times New Roman" w:cs="Times New Roman"/>
          <w:sz w:val="24"/>
        </w:rPr>
      </w:pPr>
      <w:r>
        <w:rPr>
          <w:rFonts w:ascii="Times New Roman" w:hAnsi="Times New Roman" w:cs="Times New Roman"/>
          <w:b/>
          <w:bCs/>
          <w:sz w:val="24"/>
        </w:rPr>
        <w:t xml:space="preserve">Extended Data Fig. 6. </w:t>
      </w:r>
      <w:r>
        <w:rPr>
          <w:rFonts w:ascii="Times New Roman" w:hAnsi="Times New Roman" w:cs="Times New Roman"/>
          <w:sz w:val="24"/>
        </w:rPr>
        <w:t xml:space="preserve">Gene expression and purification of ECF-FolT2. </w:t>
      </w:r>
      <w:r>
        <w:rPr>
          <w:rFonts w:ascii="Times New Roman" w:hAnsi="Times New Roman" w:cs="Times New Roman"/>
          <w:b/>
          <w:bCs/>
          <w:sz w:val="24"/>
        </w:rPr>
        <w:t>a.</w:t>
      </w:r>
      <w:r>
        <w:rPr>
          <w:rFonts w:ascii="Times New Roman" w:hAnsi="Times New Roman" w:cs="Times New Roman"/>
          <w:sz w:val="24"/>
        </w:rPr>
        <w:t xml:space="preserve"> </w:t>
      </w:r>
      <w:r>
        <w:rPr>
          <w:rFonts w:ascii="Times New Roman" w:hAnsi="Times New Roman" w:cs="Times New Roman"/>
          <w:sz w:val="24"/>
          <w:szCs w:val="32"/>
        </w:rPr>
        <w:t xml:space="preserve">Schematic representation of the gene expression for ECF-FolT2. Genes of EcfA and EcfA’ were subcloned separately after two T7 promoters into pETDuet-1 plasmids. While genes of EcfT and FolT were subcloned into pRSFDuet-1 plasmids. A tag of six histidine residues was added at the N terminus of EcfT. </w:t>
      </w:r>
      <w:r>
        <w:rPr>
          <w:rFonts w:ascii="Times New Roman" w:hAnsi="Times New Roman" w:cs="Times New Roman"/>
          <w:b/>
          <w:bCs/>
          <w:sz w:val="24"/>
        </w:rPr>
        <w:t>b.</w:t>
      </w:r>
      <w:r>
        <w:rPr>
          <w:rFonts w:ascii="Times New Roman" w:hAnsi="Times New Roman" w:cs="Times New Roman"/>
          <w:sz w:val="24"/>
        </w:rPr>
        <w:t xml:space="preserve"> Representative elution profiles from a Superdex 200 Increase 10/300 GL size-exclusion chromatography column. </w:t>
      </w:r>
      <w:r>
        <w:rPr>
          <w:rFonts w:ascii="Times New Roman" w:hAnsi="Times New Roman" w:cs="Times New Roman"/>
          <w:b/>
          <w:bCs/>
          <w:sz w:val="24"/>
        </w:rPr>
        <w:t>c.</w:t>
      </w:r>
      <w:r>
        <w:rPr>
          <w:rFonts w:ascii="Times New Roman" w:hAnsi="Times New Roman" w:cs="Times New Roman"/>
          <w:sz w:val="24"/>
        </w:rPr>
        <w:t xml:space="preserve"> Validation of ECF-FolT2 in peak fraction from size-exclusion chromatography by using SDS-PAGE.</w:t>
      </w:r>
    </w:p>
    <w:p w14:paraId="20657CAE" w14:textId="77777777" w:rsidR="00304CBD" w:rsidRDefault="00304CBD" w:rsidP="00304CBD">
      <w:pPr>
        <w:spacing w:line="360" w:lineRule="auto"/>
        <w:rPr>
          <w:rFonts w:ascii="Times New Roman" w:hAnsi="Times New Roman" w:cs="Times New Roman"/>
          <w:sz w:val="24"/>
        </w:rPr>
      </w:pPr>
    </w:p>
    <w:p w14:paraId="706CE138" w14:textId="77777777" w:rsidR="00304CBD" w:rsidRDefault="00304CBD" w:rsidP="00304CBD">
      <w:pPr>
        <w:spacing w:line="360" w:lineRule="auto"/>
        <w:rPr>
          <w:rFonts w:ascii="Times New Roman" w:hAnsi="Times New Roman" w:cs="Times New Roman"/>
          <w:sz w:val="24"/>
        </w:rPr>
      </w:pPr>
      <w:r>
        <w:rPr>
          <w:rFonts w:ascii="Times New Roman" w:hAnsi="Times New Roman" w:cs="Times New Roman"/>
          <w:sz w:val="24"/>
        </w:rPr>
        <w:br w:type="page"/>
      </w:r>
    </w:p>
    <w:p w14:paraId="1C092286" w14:textId="77777777" w:rsidR="00304CBD" w:rsidRDefault="00304CBD" w:rsidP="00304CBD">
      <w:pPr>
        <w:spacing w:line="360" w:lineRule="auto"/>
        <w:rPr>
          <w:rFonts w:ascii="Times New Roman" w:hAnsi="Times New Roman" w:cs="Times New Roman"/>
          <w:b/>
          <w:bCs/>
          <w:sz w:val="24"/>
        </w:rPr>
      </w:pPr>
      <w:r>
        <w:rPr>
          <w:rFonts w:ascii="Times New Roman" w:hAnsi="Times New Roman" w:cs="Times New Roman"/>
          <w:noProof/>
          <w:sz w:val="24"/>
        </w:rPr>
        <w:lastRenderedPageBreak/>
        <w:drawing>
          <wp:inline distT="0" distB="0" distL="114300" distR="114300" wp14:anchorId="59A1B147" wp14:editId="787F2AA5">
            <wp:extent cx="5266690" cy="1525905"/>
            <wp:effectExtent l="0" t="0" r="635" b="7620"/>
            <wp:docPr id="46" name="图片 7" descr="A group of grey objec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7" descr="A group of grey objects&#10;&#10;AI-generated content may be incorrect."/>
                    <pic:cNvPicPr>
                      <a:picLocks noChangeAspect="1"/>
                    </pic:cNvPicPr>
                  </pic:nvPicPr>
                  <pic:blipFill>
                    <a:blip r:embed="rId10"/>
                    <a:stretch>
                      <a:fillRect/>
                    </a:stretch>
                  </pic:blipFill>
                  <pic:spPr>
                    <a:xfrm>
                      <a:off x="0" y="0"/>
                      <a:ext cx="5266690" cy="1525905"/>
                    </a:xfrm>
                    <a:prstGeom prst="rect">
                      <a:avLst/>
                    </a:prstGeom>
                    <a:noFill/>
                    <a:ln>
                      <a:noFill/>
                    </a:ln>
                  </pic:spPr>
                </pic:pic>
              </a:graphicData>
            </a:graphic>
          </wp:inline>
        </w:drawing>
      </w:r>
    </w:p>
    <w:p w14:paraId="257E27DA" w14:textId="77777777" w:rsidR="00304CBD" w:rsidRDefault="00304CBD" w:rsidP="00304CBD">
      <w:pPr>
        <w:spacing w:line="360" w:lineRule="auto"/>
        <w:outlineLvl w:val="0"/>
        <w:rPr>
          <w:rFonts w:ascii="Times New Roman" w:hAnsi="Times New Roman" w:cs="Times New Roman"/>
          <w:sz w:val="24"/>
        </w:rPr>
      </w:pPr>
      <w:r>
        <w:rPr>
          <w:rFonts w:ascii="Times New Roman" w:hAnsi="Times New Roman" w:cs="Times New Roman"/>
          <w:b/>
          <w:bCs/>
          <w:sz w:val="24"/>
        </w:rPr>
        <w:t xml:space="preserve">Extended Data Fig. 7. </w:t>
      </w:r>
      <w:r>
        <w:rPr>
          <w:rFonts w:ascii="Times New Roman" w:hAnsi="Times New Roman" w:cs="Times New Roman"/>
          <w:sz w:val="24"/>
        </w:rPr>
        <w:t xml:space="preserve">3D models of a ECF-FolT2. </w:t>
      </w:r>
      <w:r>
        <w:rPr>
          <w:rFonts w:ascii="Times New Roman" w:hAnsi="Times New Roman" w:cs="Times New Roman"/>
          <w:b/>
          <w:bCs/>
          <w:sz w:val="24"/>
        </w:rPr>
        <w:t>a</w:t>
      </w:r>
      <w:r>
        <w:rPr>
          <w:rFonts w:ascii="Times New Roman" w:hAnsi="Times New Roman" w:cs="Times New Roman"/>
          <w:sz w:val="24"/>
        </w:rPr>
        <w:t xml:space="preserve">, 3D initial model of a ECF-FolT2 in detergent micelles after 3D reconstruction. </w:t>
      </w:r>
      <w:r>
        <w:rPr>
          <w:rFonts w:ascii="Times New Roman" w:hAnsi="Times New Roman" w:cs="Times New Roman"/>
          <w:b/>
          <w:bCs/>
          <w:sz w:val="24"/>
        </w:rPr>
        <w:t>b</w:t>
      </w:r>
      <w:r>
        <w:rPr>
          <w:rFonts w:ascii="Times New Roman" w:hAnsi="Times New Roman" w:cs="Times New Roman"/>
          <w:sz w:val="24"/>
        </w:rPr>
        <w:t>, Density maps of the final structure of ECF-FolT2 (after extraction from detergent micelles) from different angles.</w:t>
      </w:r>
    </w:p>
    <w:p w14:paraId="45BA5720"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CBD"/>
    <w:rsid w:val="002978F5"/>
    <w:rsid w:val="00304CBD"/>
    <w:rsid w:val="003852CF"/>
    <w:rsid w:val="0046754A"/>
    <w:rsid w:val="004E780C"/>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4150A8"/>
  <w15:chartTrackingRefBased/>
  <w15:docId w15:val="{BB9E5341-E65E-4826-8D20-D9EC248B20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4CBD"/>
    <w:pPr>
      <w:widowControl w:val="0"/>
      <w:spacing w:after="0" w:line="240" w:lineRule="auto"/>
      <w:jc w:val="both"/>
    </w:pPr>
    <w:rPr>
      <w:rFonts w:eastAsiaTheme="minorEastAsia"/>
      <w:sz w:val="21"/>
      <w:lang w:eastAsia="zh-CN"/>
      <w14:ligatures w14:val="none"/>
    </w:rPr>
  </w:style>
  <w:style w:type="paragraph" w:styleId="Heading1">
    <w:name w:val="heading 1"/>
    <w:basedOn w:val="Normal"/>
    <w:next w:val="Normal"/>
    <w:link w:val="Heading1Char"/>
    <w:uiPriority w:val="9"/>
    <w:qFormat/>
    <w:rsid w:val="00304CBD"/>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304CBD"/>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304CBD"/>
    <w:pPr>
      <w:keepNext/>
      <w:keepLines/>
      <w:widowControl/>
      <w:spacing w:before="160" w:after="80" w:line="278" w:lineRule="auto"/>
      <w:jc w:val="left"/>
      <w:outlineLvl w:val="2"/>
    </w:pPr>
    <w:rPr>
      <w:rFonts w:eastAsiaTheme="majorEastAsia"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304CBD"/>
    <w:pPr>
      <w:keepNext/>
      <w:keepLines/>
      <w:widowControl/>
      <w:spacing w:before="80" w:after="40" w:line="278" w:lineRule="auto"/>
      <w:jc w:val="left"/>
      <w:outlineLvl w:val="3"/>
    </w:pPr>
    <w:rPr>
      <w:rFonts w:eastAsiaTheme="majorEastAsia" w:cstheme="majorBidi"/>
      <w:i/>
      <w:iCs/>
      <w:color w:val="0F4761" w:themeColor="accent1" w:themeShade="BF"/>
      <w:sz w:val="24"/>
      <w:lang w:eastAsia="en-US"/>
      <w14:ligatures w14:val="standardContextual"/>
    </w:rPr>
  </w:style>
  <w:style w:type="paragraph" w:styleId="Heading5">
    <w:name w:val="heading 5"/>
    <w:basedOn w:val="Normal"/>
    <w:next w:val="Normal"/>
    <w:link w:val="Heading5Char"/>
    <w:uiPriority w:val="9"/>
    <w:semiHidden/>
    <w:unhideWhenUsed/>
    <w:qFormat/>
    <w:rsid w:val="00304CBD"/>
    <w:pPr>
      <w:keepNext/>
      <w:keepLines/>
      <w:widowControl/>
      <w:spacing w:before="80" w:after="40" w:line="278" w:lineRule="auto"/>
      <w:jc w:val="left"/>
      <w:outlineLvl w:val="4"/>
    </w:pPr>
    <w:rPr>
      <w:rFonts w:eastAsiaTheme="majorEastAsia" w:cstheme="majorBidi"/>
      <w:color w:val="0F4761" w:themeColor="accent1" w:themeShade="BF"/>
      <w:sz w:val="24"/>
      <w:lang w:eastAsia="en-US"/>
      <w14:ligatures w14:val="standardContextual"/>
    </w:rPr>
  </w:style>
  <w:style w:type="paragraph" w:styleId="Heading6">
    <w:name w:val="heading 6"/>
    <w:basedOn w:val="Normal"/>
    <w:next w:val="Normal"/>
    <w:link w:val="Heading6Char"/>
    <w:uiPriority w:val="9"/>
    <w:semiHidden/>
    <w:unhideWhenUsed/>
    <w:qFormat/>
    <w:rsid w:val="00304CBD"/>
    <w:pPr>
      <w:keepNext/>
      <w:keepLines/>
      <w:widowControl/>
      <w:spacing w:before="40" w:line="278" w:lineRule="auto"/>
      <w:jc w:val="left"/>
      <w:outlineLvl w:val="5"/>
    </w:pPr>
    <w:rPr>
      <w:rFonts w:eastAsiaTheme="majorEastAsia" w:cstheme="majorBidi"/>
      <w:i/>
      <w:iCs/>
      <w:color w:val="595959" w:themeColor="text1" w:themeTint="A6"/>
      <w:sz w:val="24"/>
      <w:lang w:eastAsia="en-US"/>
      <w14:ligatures w14:val="standardContextual"/>
    </w:rPr>
  </w:style>
  <w:style w:type="paragraph" w:styleId="Heading7">
    <w:name w:val="heading 7"/>
    <w:basedOn w:val="Normal"/>
    <w:next w:val="Normal"/>
    <w:link w:val="Heading7Char"/>
    <w:uiPriority w:val="9"/>
    <w:semiHidden/>
    <w:unhideWhenUsed/>
    <w:qFormat/>
    <w:rsid w:val="00304CBD"/>
    <w:pPr>
      <w:keepNext/>
      <w:keepLines/>
      <w:widowControl/>
      <w:spacing w:before="40" w:line="278" w:lineRule="auto"/>
      <w:jc w:val="left"/>
      <w:outlineLvl w:val="6"/>
    </w:pPr>
    <w:rPr>
      <w:rFonts w:eastAsiaTheme="majorEastAsia" w:cstheme="majorBidi"/>
      <w:color w:val="595959" w:themeColor="text1" w:themeTint="A6"/>
      <w:sz w:val="24"/>
      <w:lang w:eastAsia="en-US"/>
      <w14:ligatures w14:val="standardContextual"/>
    </w:rPr>
  </w:style>
  <w:style w:type="paragraph" w:styleId="Heading8">
    <w:name w:val="heading 8"/>
    <w:basedOn w:val="Normal"/>
    <w:next w:val="Normal"/>
    <w:link w:val="Heading8Char"/>
    <w:uiPriority w:val="9"/>
    <w:semiHidden/>
    <w:unhideWhenUsed/>
    <w:qFormat/>
    <w:rsid w:val="00304CBD"/>
    <w:pPr>
      <w:keepNext/>
      <w:keepLines/>
      <w:widowControl/>
      <w:spacing w:line="278" w:lineRule="auto"/>
      <w:jc w:val="left"/>
      <w:outlineLvl w:val="7"/>
    </w:pPr>
    <w:rPr>
      <w:rFonts w:eastAsiaTheme="majorEastAsia" w:cstheme="majorBidi"/>
      <w:i/>
      <w:iCs/>
      <w:color w:val="272727" w:themeColor="text1" w:themeTint="D8"/>
      <w:sz w:val="24"/>
      <w:lang w:eastAsia="en-US"/>
      <w14:ligatures w14:val="standardContextual"/>
    </w:rPr>
  </w:style>
  <w:style w:type="paragraph" w:styleId="Heading9">
    <w:name w:val="heading 9"/>
    <w:basedOn w:val="Normal"/>
    <w:next w:val="Normal"/>
    <w:link w:val="Heading9Char"/>
    <w:uiPriority w:val="9"/>
    <w:semiHidden/>
    <w:unhideWhenUsed/>
    <w:qFormat/>
    <w:rsid w:val="00304CBD"/>
    <w:pPr>
      <w:keepNext/>
      <w:keepLines/>
      <w:widowControl/>
      <w:spacing w:line="278" w:lineRule="auto"/>
      <w:jc w:val="left"/>
      <w:outlineLvl w:val="8"/>
    </w:pPr>
    <w:rPr>
      <w:rFonts w:eastAsiaTheme="majorEastAsia" w:cstheme="majorBidi"/>
      <w:color w:val="272727" w:themeColor="text1" w:themeTint="D8"/>
      <w:sz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4CB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04CB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04CB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04CB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04CB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04CB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04CB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04CB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04CBD"/>
    <w:rPr>
      <w:rFonts w:eastAsiaTheme="majorEastAsia" w:cstheme="majorBidi"/>
      <w:color w:val="272727" w:themeColor="text1" w:themeTint="D8"/>
    </w:rPr>
  </w:style>
  <w:style w:type="paragraph" w:styleId="Title">
    <w:name w:val="Title"/>
    <w:basedOn w:val="Normal"/>
    <w:next w:val="Normal"/>
    <w:link w:val="TitleChar"/>
    <w:uiPriority w:val="10"/>
    <w:qFormat/>
    <w:rsid w:val="00304CBD"/>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304CB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04CBD"/>
    <w:pPr>
      <w:widowControl/>
      <w:numPr>
        <w:ilvl w:val="1"/>
      </w:numPr>
      <w:spacing w:after="160" w:line="278" w:lineRule="auto"/>
      <w:jc w:val="left"/>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304CB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04CBD"/>
    <w:pPr>
      <w:widowControl/>
      <w:spacing w:before="160" w:after="160" w:line="278" w:lineRule="auto"/>
      <w:jc w:val="center"/>
    </w:pPr>
    <w:rPr>
      <w:rFonts w:eastAsiaTheme="minorHAnsi"/>
      <w:i/>
      <w:iCs/>
      <w:color w:val="404040" w:themeColor="text1" w:themeTint="BF"/>
      <w:sz w:val="24"/>
      <w:lang w:eastAsia="en-US"/>
      <w14:ligatures w14:val="standardContextual"/>
    </w:rPr>
  </w:style>
  <w:style w:type="character" w:customStyle="1" w:styleId="QuoteChar">
    <w:name w:val="Quote Char"/>
    <w:basedOn w:val="DefaultParagraphFont"/>
    <w:link w:val="Quote"/>
    <w:uiPriority w:val="29"/>
    <w:rsid w:val="00304CBD"/>
    <w:rPr>
      <w:i/>
      <w:iCs/>
      <w:color w:val="404040" w:themeColor="text1" w:themeTint="BF"/>
    </w:rPr>
  </w:style>
  <w:style w:type="paragraph" w:styleId="ListParagraph">
    <w:name w:val="List Paragraph"/>
    <w:basedOn w:val="Normal"/>
    <w:uiPriority w:val="34"/>
    <w:qFormat/>
    <w:rsid w:val="00304CBD"/>
    <w:pPr>
      <w:widowControl/>
      <w:spacing w:after="160" w:line="278" w:lineRule="auto"/>
      <w:ind w:left="720"/>
      <w:contextualSpacing/>
      <w:jc w:val="left"/>
    </w:pPr>
    <w:rPr>
      <w:rFonts w:eastAsiaTheme="minorHAnsi"/>
      <w:sz w:val="24"/>
      <w:lang w:eastAsia="en-US"/>
      <w14:ligatures w14:val="standardContextual"/>
    </w:rPr>
  </w:style>
  <w:style w:type="character" w:styleId="IntenseEmphasis">
    <w:name w:val="Intense Emphasis"/>
    <w:basedOn w:val="DefaultParagraphFont"/>
    <w:uiPriority w:val="21"/>
    <w:qFormat/>
    <w:rsid w:val="00304CBD"/>
    <w:rPr>
      <w:i/>
      <w:iCs/>
      <w:color w:val="0F4761" w:themeColor="accent1" w:themeShade="BF"/>
    </w:rPr>
  </w:style>
  <w:style w:type="paragraph" w:styleId="IntenseQuote">
    <w:name w:val="Intense Quote"/>
    <w:basedOn w:val="Normal"/>
    <w:next w:val="Normal"/>
    <w:link w:val="IntenseQuoteChar"/>
    <w:uiPriority w:val="30"/>
    <w:qFormat/>
    <w:rsid w:val="00304CBD"/>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lang w:eastAsia="en-US"/>
      <w14:ligatures w14:val="standardContextual"/>
    </w:rPr>
  </w:style>
  <w:style w:type="character" w:customStyle="1" w:styleId="IntenseQuoteChar">
    <w:name w:val="Intense Quote Char"/>
    <w:basedOn w:val="DefaultParagraphFont"/>
    <w:link w:val="IntenseQuote"/>
    <w:uiPriority w:val="30"/>
    <w:rsid w:val="00304CBD"/>
    <w:rPr>
      <w:i/>
      <w:iCs/>
      <w:color w:val="0F4761" w:themeColor="accent1" w:themeShade="BF"/>
    </w:rPr>
  </w:style>
  <w:style w:type="character" w:styleId="IntenseReference">
    <w:name w:val="Intense Reference"/>
    <w:basedOn w:val="DefaultParagraphFont"/>
    <w:uiPriority w:val="32"/>
    <w:qFormat/>
    <w:rsid w:val="00304CB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643</Words>
  <Characters>3548</Characters>
  <Application>Microsoft Office Word</Application>
  <DocSecurity>0</DocSecurity>
  <Lines>70</Lines>
  <Paragraphs>11</Paragraphs>
  <ScaleCrop>false</ScaleCrop>
  <Company/>
  <LinksUpToDate>false</LinksUpToDate>
  <CharactersWithSpaces>4180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2025-12-03T08:24:00Z</dcterms:created>
  <dcterms:modified xsi:type="dcterms:W3CDTF">2025-12-03T08:24:00Z</dcterms:modified>
</cp:coreProperties>
</file>