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512B" w14:textId="77777777" w:rsidR="002742B0" w:rsidRPr="00A5210B" w:rsidRDefault="002742B0" w:rsidP="002742B0">
      <w:pPr>
        <w:spacing w:line="360" w:lineRule="auto"/>
        <w:rPr>
          <w:rFonts w:ascii="Aptos" w:hAnsi="Aptos" w:cs="Calibri"/>
          <w:b/>
          <w:bCs/>
          <w:sz w:val="22"/>
          <w:szCs w:val="22"/>
        </w:rPr>
      </w:pPr>
      <w:r w:rsidRPr="00A5210B">
        <w:rPr>
          <w:rFonts w:ascii="Aptos" w:hAnsi="Aptos" w:cs="Calibri"/>
          <w:b/>
          <w:bCs/>
          <w:sz w:val="22"/>
          <w:szCs w:val="22"/>
        </w:rPr>
        <w:t xml:space="preserve">Supplementary </w:t>
      </w:r>
      <w:r>
        <w:rPr>
          <w:rFonts w:ascii="Aptos" w:hAnsi="Aptos" w:cs="Calibri"/>
          <w:b/>
          <w:bCs/>
          <w:sz w:val="22"/>
          <w:szCs w:val="22"/>
        </w:rPr>
        <w:t>Methods</w:t>
      </w:r>
    </w:p>
    <w:p w14:paraId="20EEBF35" w14:textId="77777777" w:rsidR="002742B0" w:rsidRPr="00173EE3" w:rsidRDefault="002742B0" w:rsidP="002742B0">
      <w:pPr>
        <w:spacing w:line="360" w:lineRule="auto"/>
        <w:rPr>
          <w:rFonts w:asciiTheme="minorHAnsi" w:hAnsiTheme="minorHAnsi"/>
          <w:bCs/>
          <w:i/>
          <w:iCs/>
          <w:sz w:val="22"/>
        </w:rPr>
      </w:pPr>
      <w:r w:rsidRPr="00173EE3">
        <w:rPr>
          <w:rFonts w:asciiTheme="minorHAnsi" w:hAnsiTheme="minorHAnsi"/>
          <w:bCs/>
          <w:i/>
          <w:iCs/>
          <w:sz w:val="22"/>
          <w:lang w:val="en-US"/>
        </w:rPr>
        <w:t>Focus Group Semi-Structured Interview Questions</w:t>
      </w:r>
    </w:p>
    <w:p w14:paraId="022A0CE7" w14:textId="77777777" w:rsidR="002742B0" w:rsidRDefault="002742B0" w:rsidP="002742B0">
      <w:pPr>
        <w:pStyle w:val="ListParagraph"/>
        <w:numPr>
          <w:ilvl w:val="0"/>
          <w:numId w:val="5"/>
        </w:numPr>
        <w:spacing w:line="360" w:lineRule="auto"/>
        <w:rPr>
          <w:rFonts w:asciiTheme="minorHAnsi" w:hAnsiTheme="minorHAnsi"/>
          <w:bCs/>
          <w:iCs/>
          <w:sz w:val="22"/>
        </w:rPr>
      </w:pPr>
      <w:r w:rsidRPr="00173EE3">
        <w:rPr>
          <w:rFonts w:asciiTheme="minorHAnsi" w:hAnsiTheme="minorHAnsi"/>
          <w:bCs/>
          <w:iCs/>
          <w:sz w:val="22"/>
          <w:lang w:val="en-US"/>
        </w:rPr>
        <w:t>Impact of the Be Well Plan:</w:t>
      </w:r>
      <w:r w:rsidRPr="00173EE3">
        <w:rPr>
          <w:rFonts w:asciiTheme="minorHAnsi" w:hAnsiTheme="minorHAnsi"/>
          <w:bCs/>
          <w:iCs/>
          <w:sz w:val="22"/>
        </w:rPr>
        <w:t> </w:t>
      </w:r>
    </w:p>
    <w:p w14:paraId="223DB9AF" w14:textId="77777777" w:rsidR="002742B0" w:rsidRPr="00173EE3" w:rsidRDefault="002742B0" w:rsidP="002742B0">
      <w:pPr>
        <w:pStyle w:val="ListParagraph"/>
        <w:numPr>
          <w:ilvl w:val="1"/>
          <w:numId w:val="5"/>
        </w:numPr>
        <w:spacing w:line="360" w:lineRule="auto"/>
        <w:ind w:left="1080"/>
        <w:rPr>
          <w:rFonts w:asciiTheme="minorHAnsi" w:hAnsiTheme="minorHAnsi"/>
          <w:bCs/>
          <w:iCs/>
          <w:sz w:val="22"/>
        </w:rPr>
      </w:pPr>
      <w:r w:rsidRPr="00173EE3">
        <w:rPr>
          <w:rFonts w:asciiTheme="minorHAnsi" w:hAnsiTheme="minorHAnsi"/>
          <w:sz w:val="22"/>
        </w:rPr>
        <w:t>We are interested to hear about your experiences of the Be Well Plan </w:t>
      </w:r>
    </w:p>
    <w:p w14:paraId="35093828" w14:textId="77777777" w:rsidR="002742B0" w:rsidRDefault="002742B0" w:rsidP="002742B0">
      <w:pPr>
        <w:numPr>
          <w:ilvl w:val="0"/>
          <w:numId w:val="1"/>
        </w:numPr>
        <w:tabs>
          <w:tab w:val="num" w:pos="1080"/>
        </w:tabs>
        <w:spacing w:line="360" w:lineRule="auto"/>
        <w:ind w:left="1440"/>
        <w:rPr>
          <w:rFonts w:asciiTheme="minorHAnsi" w:hAnsiTheme="minorHAnsi"/>
          <w:sz w:val="22"/>
        </w:rPr>
      </w:pPr>
      <w:r w:rsidRPr="00903307">
        <w:rPr>
          <w:rFonts w:asciiTheme="minorHAnsi" w:hAnsiTheme="minorHAnsi"/>
          <w:sz w:val="22"/>
        </w:rPr>
        <w:t xml:space="preserve">What were your experiences of the </w:t>
      </w:r>
      <w:r w:rsidRPr="00903307">
        <w:rPr>
          <w:rFonts w:asciiTheme="minorHAnsi" w:hAnsiTheme="minorHAnsi"/>
          <w:i/>
          <w:sz w:val="22"/>
        </w:rPr>
        <w:t>BWP?</w:t>
      </w:r>
    </w:p>
    <w:p w14:paraId="3DBC2F3F" w14:textId="77777777" w:rsidR="002742B0" w:rsidRPr="00173EE3" w:rsidRDefault="002742B0" w:rsidP="002742B0">
      <w:pPr>
        <w:numPr>
          <w:ilvl w:val="0"/>
          <w:numId w:val="1"/>
        </w:numPr>
        <w:tabs>
          <w:tab w:val="num" w:pos="1080"/>
        </w:tabs>
        <w:spacing w:line="360" w:lineRule="auto"/>
        <w:ind w:left="1440"/>
        <w:rPr>
          <w:rFonts w:asciiTheme="minorHAnsi" w:hAnsiTheme="minorHAnsi"/>
          <w:sz w:val="22"/>
        </w:rPr>
      </w:pPr>
      <w:r w:rsidRPr="00173EE3">
        <w:rPr>
          <w:rFonts w:asciiTheme="minorHAnsi" w:hAnsiTheme="minorHAnsi"/>
          <w:i/>
          <w:sz w:val="22"/>
        </w:rPr>
        <w:t xml:space="preserve">Prompt: In what way, if any, did the </w:t>
      </w:r>
      <w:r w:rsidRPr="00173EE3">
        <w:rPr>
          <w:rFonts w:asciiTheme="minorHAnsi" w:hAnsiTheme="minorHAnsi"/>
          <w:i/>
          <w:sz w:val="22"/>
          <w:lang w:val="en-US"/>
        </w:rPr>
        <w:t>BWP</w:t>
      </w:r>
      <w:r w:rsidRPr="00173EE3">
        <w:rPr>
          <w:rFonts w:asciiTheme="minorHAnsi" w:hAnsiTheme="minorHAnsi"/>
          <w:i/>
          <w:sz w:val="22"/>
        </w:rPr>
        <w:t xml:space="preserve"> program change the way you approach the stressors or challenges you face with living with myeloma? </w:t>
      </w:r>
      <w:r w:rsidRPr="00173EE3">
        <w:rPr>
          <w:rFonts w:asciiTheme="minorHAnsi" w:hAnsiTheme="minorHAnsi"/>
          <w:sz w:val="22"/>
        </w:rPr>
        <w:t> </w:t>
      </w:r>
    </w:p>
    <w:p w14:paraId="776D601F" w14:textId="77777777" w:rsidR="002742B0" w:rsidRPr="00173EE3" w:rsidRDefault="002742B0" w:rsidP="002742B0">
      <w:pPr>
        <w:pStyle w:val="ListParagraph"/>
        <w:numPr>
          <w:ilvl w:val="1"/>
          <w:numId w:val="5"/>
        </w:numPr>
        <w:spacing w:line="360" w:lineRule="auto"/>
        <w:ind w:left="1080"/>
        <w:rPr>
          <w:rFonts w:asciiTheme="minorHAnsi" w:hAnsiTheme="minorHAnsi"/>
          <w:sz w:val="22"/>
        </w:rPr>
      </w:pPr>
      <w:r w:rsidRPr="00173EE3">
        <w:rPr>
          <w:rFonts w:asciiTheme="minorHAnsi" w:hAnsiTheme="minorHAnsi"/>
          <w:sz w:val="22"/>
        </w:rPr>
        <w:t xml:space="preserve">We are interested in understanding what aspects of the </w:t>
      </w:r>
      <w:r w:rsidRPr="00173EE3">
        <w:rPr>
          <w:rFonts w:asciiTheme="minorHAnsi" w:hAnsiTheme="minorHAnsi"/>
          <w:i/>
          <w:sz w:val="22"/>
        </w:rPr>
        <w:t>BWP</w:t>
      </w:r>
      <w:r w:rsidRPr="00173EE3">
        <w:rPr>
          <w:rFonts w:asciiTheme="minorHAnsi" w:hAnsiTheme="minorHAnsi"/>
          <w:sz w:val="22"/>
        </w:rPr>
        <w:t xml:space="preserve"> were helpful to you and those which weren’t.  </w:t>
      </w:r>
    </w:p>
    <w:p w14:paraId="3A0D761B" w14:textId="77777777" w:rsidR="002742B0" w:rsidRDefault="002742B0" w:rsidP="002742B0">
      <w:pPr>
        <w:numPr>
          <w:ilvl w:val="0"/>
          <w:numId w:val="2"/>
        </w:numPr>
        <w:tabs>
          <w:tab w:val="num" w:pos="1080"/>
        </w:tabs>
        <w:spacing w:line="360" w:lineRule="auto"/>
        <w:ind w:left="1440"/>
        <w:rPr>
          <w:rFonts w:asciiTheme="minorHAnsi" w:hAnsiTheme="minorHAnsi"/>
          <w:sz w:val="22"/>
        </w:rPr>
      </w:pPr>
      <w:r w:rsidRPr="00903307">
        <w:rPr>
          <w:rFonts w:asciiTheme="minorHAnsi" w:hAnsiTheme="minorHAnsi"/>
          <w:sz w:val="22"/>
        </w:rPr>
        <w:t xml:space="preserve">What specific aspects of the </w:t>
      </w:r>
      <w:r w:rsidRPr="00903307">
        <w:rPr>
          <w:rFonts w:asciiTheme="minorHAnsi" w:hAnsiTheme="minorHAnsi"/>
          <w:i/>
          <w:sz w:val="22"/>
        </w:rPr>
        <w:t xml:space="preserve">BWP </w:t>
      </w:r>
      <w:r w:rsidRPr="00903307">
        <w:rPr>
          <w:rFonts w:asciiTheme="minorHAnsi" w:hAnsiTheme="minorHAnsi"/>
          <w:sz w:val="22"/>
        </w:rPr>
        <w:t>did you find helpful for managing the concerns you have living with myeloma? Please describe these.</w:t>
      </w:r>
    </w:p>
    <w:p w14:paraId="3178B26A" w14:textId="77777777" w:rsidR="002742B0" w:rsidRPr="00173EE3" w:rsidRDefault="002742B0" w:rsidP="002742B0">
      <w:pPr>
        <w:numPr>
          <w:ilvl w:val="0"/>
          <w:numId w:val="2"/>
        </w:numPr>
        <w:tabs>
          <w:tab w:val="num" w:pos="1080"/>
        </w:tabs>
        <w:spacing w:line="360" w:lineRule="auto"/>
        <w:ind w:left="1440"/>
        <w:rPr>
          <w:rFonts w:asciiTheme="minorHAnsi" w:hAnsiTheme="minorHAnsi"/>
          <w:sz w:val="22"/>
        </w:rPr>
      </w:pPr>
      <w:r w:rsidRPr="00173EE3">
        <w:rPr>
          <w:rFonts w:asciiTheme="minorHAnsi" w:hAnsiTheme="minorHAnsi"/>
          <w:i/>
          <w:sz w:val="22"/>
        </w:rPr>
        <w:t>Prompt: What skills did you find the most helpful?</w:t>
      </w:r>
    </w:p>
    <w:p w14:paraId="7E6166B8" w14:textId="77777777" w:rsidR="002742B0" w:rsidRDefault="002742B0" w:rsidP="002742B0">
      <w:pPr>
        <w:numPr>
          <w:ilvl w:val="0"/>
          <w:numId w:val="2"/>
        </w:numPr>
        <w:tabs>
          <w:tab w:val="num" w:pos="1080"/>
        </w:tabs>
        <w:spacing w:line="360" w:lineRule="auto"/>
        <w:ind w:left="1440"/>
        <w:rPr>
          <w:rFonts w:asciiTheme="minorHAnsi" w:hAnsiTheme="minorHAnsi"/>
          <w:sz w:val="22"/>
        </w:rPr>
      </w:pPr>
      <w:r w:rsidRPr="00173EE3">
        <w:rPr>
          <w:rFonts w:asciiTheme="minorHAnsi" w:hAnsiTheme="minorHAnsi"/>
          <w:i/>
          <w:sz w:val="22"/>
        </w:rPr>
        <w:t>Prompt: how valuable were the skills compared with the social interaction?</w:t>
      </w:r>
      <w:r w:rsidRPr="00173EE3">
        <w:rPr>
          <w:rFonts w:asciiTheme="minorHAnsi" w:hAnsiTheme="minorHAnsi"/>
          <w:sz w:val="22"/>
        </w:rPr>
        <w:t> </w:t>
      </w:r>
    </w:p>
    <w:p w14:paraId="79AE955B" w14:textId="77777777" w:rsidR="002742B0" w:rsidRPr="00173EE3" w:rsidRDefault="002742B0" w:rsidP="002742B0">
      <w:pPr>
        <w:pStyle w:val="ListParagraph"/>
        <w:numPr>
          <w:ilvl w:val="1"/>
          <w:numId w:val="5"/>
        </w:numPr>
        <w:spacing w:line="360" w:lineRule="auto"/>
        <w:ind w:left="1080"/>
        <w:rPr>
          <w:rFonts w:asciiTheme="minorHAnsi" w:hAnsiTheme="minorHAnsi"/>
          <w:sz w:val="22"/>
        </w:rPr>
      </w:pPr>
      <w:r w:rsidRPr="00173EE3">
        <w:rPr>
          <w:rFonts w:asciiTheme="minorHAnsi" w:hAnsiTheme="minorHAnsi"/>
          <w:sz w:val="22"/>
        </w:rPr>
        <w:t xml:space="preserve">Were there any specific aspects of the </w:t>
      </w:r>
      <w:r w:rsidRPr="00173EE3">
        <w:rPr>
          <w:rFonts w:asciiTheme="minorHAnsi" w:hAnsiTheme="minorHAnsi"/>
          <w:i/>
          <w:sz w:val="22"/>
        </w:rPr>
        <w:t>BWP</w:t>
      </w:r>
      <w:r w:rsidRPr="00173EE3">
        <w:rPr>
          <w:rFonts w:asciiTheme="minorHAnsi" w:hAnsiTheme="minorHAnsi"/>
          <w:sz w:val="22"/>
        </w:rPr>
        <w:t xml:space="preserve"> that you found </w:t>
      </w:r>
      <w:r w:rsidRPr="00173EE3">
        <w:rPr>
          <w:rFonts w:asciiTheme="minorHAnsi" w:hAnsiTheme="minorHAnsi"/>
          <w:i/>
          <w:sz w:val="22"/>
        </w:rPr>
        <w:t>unhelpful</w:t>
      </w:r>
      <w:r w:rsidRPr="00173EE3">
        <w:rPr>
          <w:rFonts w:asciiTheme="minorHAnsi" w:hAnsiTheme="minorHAnsi"/>
          <w:sz w:val="22"/>
        </w:rPr>
        <w:t xml:space="preserve"> for managing the concerns you have living with myeloma? Please describe these. </w:t>
      </w:r>
    </w:p>
    <w:p w14:paraId="39A4AF48" w14:textId="77777777" w:rsidR="002742B0" w:rsidRPr="00903307" w:rsidRDefault="002742B0" w:rsidP="002742B0">
      <w:pPr>
        <w:spacing w:line="360" w:lineRule="auto"/>
        <w:rPr>
          <w:rFonts w:asciiTheme="minorHAnsi" w:hAnsiTheme="minorHAnsi"/>
          <w:sz w:val="22"/>
        </w:rPr>
      </w:pPr>
      <w:r w:rsidRPr="00903307">
        <w:rPr>
          <w:rFonts w:asciiTheme="minorHAnsi" w:hAnsiTheme="minorHAnsi"/>
          <w:sz w:val="22"/>
        </w:rPr>
        <w:t> </w:t>
      </w:r>
    </w:p>
    <w:p w14:paraId="7DE5344B" w14:textId="77777777" w:rsidR="002742B0" w:rsidRDefault="002742B0" w:rsidP="002742B0">
      <w:pPr>
        <w:pStyle w:val="ListParagraph"/>
        <w:numPr>
          <w:ilvl w:val="0"/>
          <w:numId w:val="5"/>
        </w:numPr>
        <w:spacing w:line="360" w:lineRule="auto"/>
        <w:rPr>
          <w:rFonts w:asciiTheme="minorHAnsi" w:hAnsiTheme="minorHAnsi"/>
          <w:bCs/>
          <w:iCs/>
          <w:sz w:val="22"/>
          <w:lang w:val="en-US"/>
        </w:rPr>
      </w:pPr>
      <w:r w:rsidRPr="00173EE3">
        <w:rPr>
          <w:rFonts w:asciiTheme="minorHAnsi" w:hAnsiTheme="minorHAnsi"/>
          <w:bCs/>
          <w:iCs/>
          <w:sz w:val="22"/>
          <w:lang w:val="en-US"/>
        </w:rPr>
        <w:t>Utility of the BWP for people living with myeloma:</w:t>
      </w:r>
    </w:p>
    <w:p w14:paraId="5D142AF6" w14:textId="77777777" w:rsidR="002742B0" w:rsidRPr="00173EE3" w:rsidRDefault="002742B0" w:rsidP="002742B0">
      <w:pPr>
        <w:pStyle w:val="ListParagraph"/>
        <w:numPr>
          <w:ilvl w:val="1"/>
          <w:numId w:val="5"/>
        </w:numPr>
        <w:spacing w:line="360" w:lineRule="auto"/>
        <w:ind w:left="1134"/>
        <w:rPr>
          <w:rFonts w:asciiTheme="minorHAnsi" w:hAnsiTheme="minorHAnsi"/>
          <w:bCs/>
          <w:iCs/>
          <w:sz w:val="22"/>
          <w:lang w:val="en-US"/>
        </w:rPr>
      </w:pPr>
      <w:r w:rsidRPr="00173EE3">
        <w:rPr>
          <w:rFonts w:asciiTheme="minorHAnsi" w:hAnsiTheme="minorHAnsi"/>
          <w:sz w:val="22"/>
          <w:lang w:val="en-US"/>
        </w:rPr>
        <w:t xml:space="preserve">We are interested in understanding your perspective in how the </w:t>
      </w:r>
      <w:r w:rsidRPr="00173EE3">
        <w:rPr>
          <w:rFonts w:asciiTheme="minorHAnsi" w:hAnsiTheme="minorHAnsi"/>
          <w:i/>
          <w:sz w:val="22"/>
          <w:lang w:val="en-US"/>
        </w:rPr>
        <w:t>BWP</w:t>
      </w:r>
      <w:r w:rsidRPr="00173EE3">
        <w:rPr>
          <w:rFonts w:asciiTheme="minorHAnsi" w:hAnsiTheme="minorHAnsi"/>
          <w:sz w:val="22"/>
          <w:lang w:val="en-US"/>
        </w:rPr>
        <w:t xml:space="preserve"> could be useful for people living with myeloma.</w:t>
      </w:r>
      <w:r w:rsidRPr="00173EE3">
        <w:rPr>
          <w:rFonts w:asciiTheme="minorHAnsi" w:hAnsiTheme="minorHAnsi"/>
          <w:sz w:val="22"/>
        </w:rPr>
        <w:t> </w:t>
      </w:r>
    </w:p>
    <w:p w14:paraId="69C11A06" w14:textId="77777777" w:rsidR="002742B0" w:rsidRDefault="002742B0" w:rsidP="002742B0">
      <w:pPr>
        <w:numPr>
          <w:ilvl w:val="0"/>
          <w:numId w:val="3"/>
        </w:numPr>
        <w:spacing w:line="360" w:lineRule="auto"/>
        <w:ind w:left="1418"/>
        <w:rPr>
          <w:rFonts w:asciiTheme="minorHAnsi" w:hAnsiTheme="minorHAnsi"/>
          <w:sz w:val="22"/>
        </w:rPr>
      </w:pPr>
      <w:r w:rsidRPr="00903307">
        <w:rPr>
          <w:rFonts w:asciiTheme="minorHAnsi" w:hAnsiTheme="minorHAnsi"/>
          <w:sz w:val="22"/>
          <w:lang w:val="en-US"/>
        </w:rPr>
        <w:t xml:space="preserve">Do you feel the </w:t>
      </w:r>
      <w:r w:rsidRPr="00903307">
        <w:rPr>
          <w:rFonts w:asciiTheme="minorHAnsi" w:hAnsiTheme="minorHAnsi"/>
          <w:i/>
          <w:sz w:val="22"/>
          <w:lang w:val="en-US"/>
        </w:rPr>
        <w:t xml:space="preserve">BWP </w:t>
      </w:r>
      <w:r w:rsidRPr="00903307">
        <w:rPr>
          <w:rFonts w:asciiTheme="minorHAnsi" w:hAnsiTheme="minorHAnsi"/>
          <w:sz w:val="22"/>
          <w:lang w:val="en-US"/>
        </w:rPr>
        <w:t>can be helpful for people who are living with myeloma? How?</w:t>
      </w:r>
      <w:r w:rsidRPr="00903307">
        <w:rPr>
          <w:rFonts w:asciiTheme="minorHAnsi" w:hAnsiTheme="minorHAnsi"/>
          <w:sz w:val="22"/>
        </w:rPr>
        <w:t> </w:t>
      </w:r>
    </w:p>
    <w:p w14:paraId="30103F48" w14:textId="77777777" w:rsidR="002742B0" w:rsidRPr="00173EE3" w:rsidRDefault="002742B0" w:rsidP="002742B0">
      <w:pPr>
        <w:pStyle w:val="ListParagraph"/>
        <w:numPr>
          <w:ilvl w:val="1"/>
          <w:numId w:val="5"/>
        </w:numPr>
        <w:spacing w:line="360" w:lineRule="auto"/>
        <w:ind w:left="1134"/>
        <w:rPr>
          <w:rFonts w:asciiTheme="minorHAnsi" w:hAnsiTheme="minorHAnsi"/>
          <w:sz w:val="22"/>
        </w:rPr>
      </w:pPr>
      <w:r w:rsidRPr="00173EE3">
        <w:rPr>
          <w:rFonts w:asciiTheme="minorHAnsi" w:hAnsiTheme="minorHAnsi"/>
          <w:sz w:val="22"/>
          <w:lang w:val="en-US"/>
        </w:rPr>
        <w:t xml:space="preserve">We are also interested in better understanding how to adapt the </w:t>
      </w:r>
      <w:r w:rsidRPr="00173EE3">
        <w:rPr>
          <w:rFonts w:asciiTheme="minorHAnsi" w:hAnsiTheme="minorHAnsi"/>
          <w:i/>
          <w:sz w:val="22"/>
          <w:lang w:val="en-US"/>
        </w:rPr>
        <w:t>BWP</w:t>
      </w:r>
      <w:r w:rsidRPr="00173EE3">
        <w:rPr>
          <w:rFonts w:asciiTheme="minorHAnsi" w:hAnsiTheme="minorHAnsi"/>
          <w:sz w:val="22"/>
          <w:lang w:val="en-US"/>
        </w:rPr>
        <w:t xml:space="preserve"> to be more valuable for people living with myeloma. </w:t>
      </w:r>
      <w:r w:rsidRPr="00173EE3">
        <w:rPr>
          <w:rFonts w:asciiTheme="minorHAnsi" w:hAnsiTheme="minorHAnsi"/>
          <w:sz w:val="22"/>
        </w:rPr>
        <w:t> </w:t>
      </w:r>
    </w:p>
    <w:p w14:paraId="7A588498" w14:textId="77777777" w:rsidR="002742B0" w:rsidRPr="00173EE3" w:rsidRDefault="002742B0" w:rsidP="002742B0">
      <w:pPr>
        <w:numPr>
          <w:ilvl w:val="0"/>
          <w:numId w:val="4"/>
        </w:numPr>
        <w:tabs>
          <w:tab w:val="clear" w:pos="1440"/>
        </w:tabs>
        <w:spacing w:line="360" w:lineRule="auto"/>
        <w:rPr>
          <w:rFonts w:asciiTheme="minorHAnsi" w:hAnsiTheme="minorHAnsi"/>
          <w:sz w:val="22"/>
        </w:rPr>
      </w:pPr>
      <w:r w:rsidRPr="00903307">
        <w:rPr>
          <w:rFonts w:asciiTheme="minorHAnsi" w:hAnsiTheme="minorHAnsi"/>
          <w:sz w:val="22"/>
          <w:lang w:val="en-US"/>
        </w:rPr>
        <w:t xml:space="preserve">Do you feel changes would need to be made to the </w:t>
      </w:r>
      <w:r w:rsidRPr="00903307">
        <w:rPr>
          <w:rFonts w:asciiTheme="minorHAnsi" w:hAnsiTheme="minorHAnsi"/>
          <w:i/>
          <w:sz w:val="22"/>
          <w:lang w:val="en-US"/>
        </w:rPr>
        <w:t>BWP</w:t>
      </w:r>
      <w:r w:rsidRPr="00903307">
        <w:rPr>
          <w:rFonts w:asciiTheme="minorHAnsi" w:hAnsiTheme="minorHAnsi"/>
          <w:sz w:val="22"/>
          <w:lang w:val="en-US"/>
        </w:rPr>
        <w:t xml:space="preserve"> to support people living with myeloma? If so, what type of changes?</w:t>
      </w:r>
    </w:p>
    <w:p w14:paraId="30E3BA73" w14:textId="77777777" w:rsidR="002742B0" w:rsidRPr="00173EE3" w:rsidRDefault="002742B0" w:rsidP="002742B0">
      <w:pPr>
        <w:numPr>
          <w:ilvl w:val="0"/>
          <w:numId w:val="4"/>
        </w:numPr>
        <w:tabs>
          <w:tab w:val="clear" w:pos="1440"/>
        </w:tabs>
        <w:spacing w:line="360" w:lineRule="auto"/>
        <w:rPr>
          <w:rFonts w:asciiTheme="minorHAnsi" w:hAnsiTheme="minorHAnsi"/>
          <w:sz w:val="22"/>
        </w:rPr>
      </w:pPr>
      <w:r w:rsidRPr="00173EE3">
        <w:rPr>
          <w:rFonts w:asciiTheme="minorHAnsi" w:hAnsiTheme="minorHAnsi"/>
          <w:i/>
          <w:sz w:val="22"/>
        </w:rPr>
        <w:t>Prompt: What myeloma specific content would you expect?</w:t>
      </w:r>
      <w:r w:rsidRPr="00173EE3">
        <w:rPr>
          <w:rFonts w:asciiTheme="minorHAnsi" w:hAnsiTheme="minorHAnsi"/>
          <w:sz w:val="22"/>
        </w:rPr>
        <w:t> </w:t>
      </w:r>
    </w:p>
    <w:p w14:paraId="2B749197" w14:textId="77777777" w:rsidR="002742B0" w:rsidRPr="00A5210B" w:rsidRDefault="002742B0" w:rsidP="002742B0">
      <w:pPr>
        <w:spacing w:line="360" w:lineRule="auto"/>
        <w:rPr>
          <w:rFonts w:asciiTheme="minorHAnsi" w:hAnsiTheme="minorHAnsi"/>
          <w:sz w:val="11"/>
          <w:szCs w:val="13"/>
        </w:rPr>
      </w:pPr>
      <w:r w:rsidRPr="00903307">
        <w:rPr>
          <w:rFonts w:asciiTheme="minorHAnsi" w:hAnsiTheme="minorHAnsi"/>
          <w:sz w:val="22"/>
        </w:rPr>
        <w:t> </w:t>
      </w:r>
    </w:p>
    <w:p w14:paraId="32021018" w14:textId="77777777" w:rsidR="002742B0" w:rsidRPr="00173EE3" w:rsidRDefault="002742B0" w:rsidP="002742B0">
      <w:pPr>
        <w:pStyle w:val="ListParagraph"/>
        <w:numPr>
          <w:ilvl w:val="0"/>
          <w:numId w:val="5"/>
        </w:numPr>
        <w:spacing w:line="360" w:lineRule="auto"/>
        <w:rPr>
          <w:rFonts w:asciiTheme="minorHAnsi" w:hAnsiTheme="minorHAnsi"/>
          <w:bCs/>
          <w:iCs/>
          <w:sz w:val="22"/>
          <w:lang w:val="en-US"/>
        </w:rPr>
      </w:pPr>
      <w:r w:rsidRPr="00173EE3">
        <w:rPr>
          <w:rFonts w:asciiTheme="minorHAnsi" w:hAnsiTheme="minorHAnsi"/>
          <w:bCs/>
          <w:iCs/>
          <w:sz w:val="22"/>
          <w:lang w:val="en-US"/>
        </w:rPr>
        <w:t>Implementation</w:t>
      </w:r>
    </w:p>
    <w:p w14:paraId="14303214" w14:textId="77777777" w:rsidR="002742B0" w:rsidRPr="00173EE3" w:rsidRDefault="002742B0" w:rsidP="002742B0">
      <w:pPr>
        <w:pStyle w:val="ListParagraph"/>
        <w:numPr>
          <w:ilvl w:val="1"/>
          <w:numId w:val="5"/>
        </w:numPr>
        <w:spacing w:line="360" w:lineRule="auto"/>
        <w:ind w:left="1134"/>
        <w:rPr>
          <w:rFonts w:asciiTheme="minorHAnsi" w:hAnsiTheme="minorHAnsi"/>
          <w:sz w:val="22"/>
        </w:rPr>
      </w:pPr>
      <w:r w:rsidRPr="00173EE3">
        <w:rPr>
          <w:rFonts w:asciiTheme="minorHAnsi" w:hAnsiTheme="minorHAnsi"/>
          <w:sz w:val="22"/>
          <w:lang w:val="en-US"/>
        </w:rPr>
        <w:t>We are also interested in understanding why people with myeloma would be interested in a mental health and wellbeing program.</w:t>
      </w:r>
    </w:p>
    <w:p w14:paraId="17FDD613" w14:textId="77777777" w:rsidR="002742B0" w:rsidRDefault="002742B0" w:rsidP="002742B0">
      <w:pPr>
        <w:pStyle w:val="ListParagraph"/>
        <w:numPr>
          <w:ilvl w:val="1"/>
          <w:numId w:val="5"/>
        </w:numPr>
        <w:spacing w:line="360" w:lineRule="auto"/>
        <w:ind w:left="1134"/>
        <w:rPr>
          <w:rFonts w:asciiTheme="minorHAnsi" w:hAnsiTheme="minorHAnsi"/>
          <w:sz w:val="22"/>
        </w:rPr>
      </w:pPr>
      <w:r w:rsidRPr="00173EE3">
        <w:rPr>
          <w:rFonts w:asciiTheme="minorHAnsi" w:hAnsiTheme="minorHAnsi"/>
          <w:sz w:val="22"/>
          <w:lang w:val="en-US"/>
        </w:rPr>
        <w:t xml:space="preserve">What would entice people living with myeloma to register for the </w:t>
      </w:r>
      <w:r w:rsidRPr="00173EE3">
        <w:rPr>
          <w:rFonts w:asciiTheme="minorHAnsi" w:hAnsiTheme="minorHAnsi"/>
          <w:i/>
          <w:sz w:val="22"/>
          <w:lang w:val="en-US"/>
        </w:rPr>
        <w:t>BWP</w:t>
      </w:r>
      <w:r w:rsidRPr="00173EE3">
        <w:rPr>
          <w:rFonts w:asciiTheme="minorHAnsi" w:hAnsiTheme="minorHAnsi"/>
          <w:sz w:val="22"/>
          <w:lang w:val="en-US"/>
        </w:rPr>
        <w:t>?</w:t>
      </w:r>
      <w:r w:rsidRPr="00173EE3">
        <w:rPr>
          <w:rFonts w:ascii="Arial" w:hAnsi="Arial" w:cs="Arial"/>
          <w:sz w:val="22"/>
          <w:szCs w:val="22"/>
          <w:lang w:val="en-US"/>
        </w:rPr>
        <w:t>  </w:t>
      </w:r>
    </w:p>
    <w:p w14:paraId="000A6236" w14:textId="77777777" w:rsidR="002742B0" w:rsidRPr="00173EE3" w:rsidRDefault="002742B0" w:rsidP="002742B0">
      <w:pPr>
        <w:pStyle w:val="ListParagraph"/>
        <w:numPr>
          <w:ilvl w:val="1"/>
          <w:numId w:val="5"/>
        </w:numPr>
        <w:spacing w:line="360" w:lineRule="auto"/>
        <w:ind w:left="1134"/>
        <w:rPr>
          <w:rFonts w:asciiTheme="minorHAnsi" w:hAnsiTheme="minorHAnsi"/>
          <w:sz w:val="22"/>
        </w:rPr>
      </w:pPr>
      <w:r w:rsidRPr="00173EE3">
        <w:rPr>
          <w:rFonts w:asciiTheme="minorHAnsi" w:hAnsiTheme="minorHAnsi"/>
          <w:sz w:val="22"/>
          <w:lang w:val="en-US"/>
        </w:rPr>
        <w:t>How can we prepare people for program?</w:t>
      </w:r>
    </w:p>
    <w:p w14:paraId="296653C9" w14:textId="77777777" w:rsidR="002742B0" w:rsidRPr="00173EE3" w:rsidRDefault="002742B0" w:rsidP="002742B0">
      <w:pPr>
        <w:pStyle w:val="ListParagraph"/>
        <w:numPr>
          <w:ilvl w:val="1"/>
          <w:numId w:val="5"/>
        </w:numPr>
        <w:spacing w:line="360" w:lineRule="auto"/>
        <w:ind w:left="1134"/>
        <w:rPr>
          <w:rFonts w:asciiTheme="minorHAnsi" w:hAnsiTheme="minorHAnsi"/>
          <w:sz w:val="22"/>
        </w:rPr>
      </w:pPr>
      <w:r w:rsidRPr="00173EE3">
        <w:rPr>
          <w:rFonts w:asciiTheme="minorHAnsi" w:hAnsiTheme="minorHAnsi"/>
          <w:sz w:val="22"/>
          <w:lang w:val="en-US"/>
        </w:rPr>
        <w:t xml:space="preserve">In an ideal world, how would the </w:t>
      </w:r>
      <w:r w:rsidRPr="00173EE3">
        <w:rPr>
          <w:rFonts w:asciiTheme="minorHAnsi" w:hAnsiTheme="minorHAnsi"/>
          <w:i/>
          <w:sz w:val="22"/>
          <w:lang w:val="en-US"/>
        </w:rPr>
        <w:t>BWP</w:t>
      </w:r>
      <w:r w:rsidRPr="00173EE3">
        <w:rPr>
          <w:rFonts w:asciiTheme="minorHAnsi" w:hAnsiTheme="minorHAnsi"/>
          <w:sz w:val="22"/>
          <w:lang w:val="en-US"/>
        </w:rPr>
        <w:t xml:space="preserve"> program integrate with your current supportive care?</w:t>
      </w:r>
      <w:r w:rsidRPr="00173EE3">
        <w:rPr>
          <w:rFonts w:asciiTheme="minorHAnsi" w:hAnsiTheme="minorHAnsi"/>
          <w:sz w:val="22"/>
        </w:rPr>
        <w:t> </w:t>
      </w:r>
    </w:p>
    <w:p w14:paraId="55A91944" w14:textId="77777777" w:rsidR="002742B0" w:rsidRPr="00903307" w:rsidRDefault="002742B0" w:rsidP="002742B0">
      <w:pPr>
        <w:spacing w:line="360" w:lineRule="auto"/>
        <w:rPr>
          <w:rFonts w:asciiTheme="minorHAnsi" w:hAnsiTheme="minorHAnsi"/>
          <w:sz w:val="22"/>
        </w:rPr>
      </w:pPr>
      <w:r w:rsidRPr="002901CB">
        <w:rPr>
          <w:rFonts w:asciiTheme="minorHAnsi" w:hAnsiTheme="minorHAnsi" w:cs="Calibri"/>
          <w:i/>
          <w:iCs/>
          <w:color w:val="000000" w:themeColor="text1"/>
          <w:sz w:val="22"/>
          <w:szCs w:val="22"/>
        </w:rPr>
        <w:lastRenderedPageBreak/>
        <w:t>Program evaluation and feedback survey</w:t>
      </w:r>
      <w:r>
        <w:rPr>
          <w:rFonts w:asciiTheme="minorHAnsi" w:hAnsiTheme="minorHAnsi" w:cs="Calibri"/>
          <w:color w:val="000000" w:themeColor="text1"/>
          <w:sz w:val="22"/>
          <w:szCs w:val="22"/>
        </w:rPr>
        <w:t>.</w:t>
      </w:r>
    </w:p>
    <w:p w14:paraId="533B259C" w14:textId="77777777" w:rsidR="002742B0" w:rsidRPr="00D81C00" w:rsidRDefault="002742B0" w:rsidP="002742B0">
      <w:pPr>
        <w:spacing w:line="360" w:lineRule="auto"/>
        <w:rPr>
          <w:rFonts w:asciiTheme="minorHAnsi" w:hAnsiTheme="minorHAnsi" w:cs="Calibri"/>
          <w:color w:val="000000" w:themeColor="text1"/>
          <w:sz w:val="22"/>
          <w:szCs w:val="22"/>
        </w:rPr>
      </w:pPr>
      <w:r w:rsidRPr="00D81C00">
        <w:rPr>
          <w:rFonts w:asciiTheme="minorHAnsi" w:hAnsiTheme="minorHAnsi" w:cs="Calibri"/>
          <w:color w:val="000000" w:themeColor="text1"/>
          <w:sz w:val="22"/>
          <w:szCs w:val="22"/>
        </w:rPr>
        <w:t>Open-ended questions included “What was the main thing you took away from the Be Well Plan?” and “How do you think this program could support people to live well with myeloma?”. Consumers also responded to Likert-scale items (rated from strongly disagree to strongly agree), such as “I clearly understood the aims of the program”, as well as usefulness ratings (ranging from not useful at all to very useful), for example “Learning practical skills for my day-to-day wellbeing”. These items assessed clarity of program aims, relevance of content, usefulness of strategies, and overall satisfaction with the program. Together, the open- and closed-ended questions provided complementary insights into consumers’ experiences and perceptions of the program.</w:t>
      </w:r>
    </w:p>
    <w:p w14:paraId="1F1EBEB2" w14:textId="77777777" w:rsidR="002742B0" w:rsidRDefault="002742B0" w:rsidP="002742B0">
      <w:pPr>
        <w:spacing w:line="360" w:lineRule="auto"/>
        <w:rPr>
          <w:rFonts w:asciiTheme="minorHAnsi" w:hAnsiTheme="minorHAnsi"/>
          <w:color w:val="000000"/>
          <w:sz w:val="22"/>
        </w:rPr>
      </w:pPr>
    </w:p>
    <w:p w14:paraId="79867127"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Q1. </w:t>
      </w:r>
      <w:r w:rsidRPr="00903307">
        <w:rPr>
          <w:rFonts w:asciiTheme="minorHAnsi" w:hAnsiTheme="minorHAnsi"/>
          <w:color w:val="000000"/>
          <w:sz w:val="22"/>
        </w:rPr>
        <w:t>What was the main thing you took away from the Be Well Plan?</w:t>
      </w:r>
    </w:p>
    <w:p w14:paraId="35AFD1BD" w14:textId="77777777" w:rsidR="002742B0" w:rsidRDefault="002742B0" w:rsidP="002742B0">
      <w:pPr>
        <w:spacing w:line="360" w:lineRule="auto"/>
        <w:rPr>
          <w:rFonts w:asciiTheme="minorHAnsi" w:hAnsiTheme="minorHAnsi"/>
          <w:color w:val="000000"/>
          <w:sz w:val="22"/>
        </w:rPr>
      </w:pPr>
      <w:r>
        <w:rPr>
          <w:rFonts w:asciiTheme="minorHAnsi" w:hAnsiTheme="minorHAnsi"/>
          <w:color w:val="000000"/>
          <w:sz w:val="22"/>
        </w:rPr>
        <w:t>Q</w:t>
      </w:r>
      <w:proofErr w:type="gramStart"/>
      <w:r>
        <w:rPr>
          <w:rFonts w:asciiTheme="minorHAnsi" w:hAnsiTheme="minorHAnsi"/>
          <w:color w:val="000000"/>
          <w:sz w:val="22"/>
        </w:rPr>
        <w:t>2.</w:t>
      </w:r>
      <w:r w:rsidRPr="00903307">
        <w:rPr>
          <w:rFonts w:asciiTheme="minorHAnsi" w:hAnsiTheme="minorHAnsi"/>
          <w:color w:val="000000"/>
          <w:sz w:val="22"/>
        </w:rPr>
        <w:t>Was</w:t>
      </w:r>
      <w:proofErr w:type="gramEnd"/>
      <w:r w:rsidRPr="00903307">
        <w:rPr>
          <w:rFonts w:asciiTheme="minorHAnsi" w:hAnsiTheme="minorHAnsi"/>
          <w:color w:val="000000"/>
          <w:sz w:val="22"/>
        </w:rPr>
        <w:t xml:space="preserve"> there anything you liked </w:t>
      </w:r>
      <w:proofErr w:type="gramStart"/>
      <w:r w:rsidRPr="00903307">
        <w:rPr>
          <w:rFonts w:asciiTheme="minorHAnsi" w:hAnsiTheme="minorHAnsi"/>
          <w:color w:val="000000"/>
          <w:sz w:val="22"/>
        </w:rPr>
        <w:t>in particular about</w:t>
      </w:r>
      <w:proofErr w:type="gramEnd"/>
      <w:r w:rsidRPr="00903307">
        <w:rPr>
          <w:rFonts w:asciiTheme="minorHAnsi" w:hAnsiTheme="minorHAnsi"/>
          <w:color w:val="000000"/>
          <w:sz w:val="22"/>
        </w:rPr>
        <w:t xml:space="preserve"> the Be Well Plan?</w:t>
      </w:r>
    </w:p>
    <w:p w14:paraId="350E2125"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Q3. </w:t>
      </w:r>
      <w:r w:rsidRPr="00903307">
        <w:rPr>
          <w:rFonts w:asciiTheme="minorHAnsi" w:hAnsiTheme="minorHAnsi"/>
          <w:color w:val="000000"/>
          <w:sz w:val="22"/>
        </w:rPr>
        <w:t xml:space="preserve">Was </w:t>
      </w:r>
      <w:proofErr w:type="gramStart"/>
      <w:r w:rsidRPr="00903307">
        <w:rPr>
          <w:rFonts w:asciiTheme="minorHAnsi" w:hAnsiTheme="minorHAnsi"/>
          <w:color w:val="000000"/>
          <w:sz w:val="22"/>
        </w:rPr>
        <w:t xml:space="preserve">there </w:t>
      </w:r>
      <w:r>
        <w:rPr>
          <w:rFonts w:asciiTheme="minorHAnsi" w:hAnsiTheme="minorHAnsi"/>
          <w:color w:val="000000"/>
          <w:sz w:val="22"/>
        </w:rPr>
        <w:t xml:space="preserve"> </w:t>
      </w:r>
      <w:r w:rsidRPr="00903307">
        <w:rPr>
          <w:rFonts w:asciiTheme="minorHAnsi" w:hAnsiTheme="minorHAnsi"/>
          <w:color w:val="000000"/>
          <w:sz w:val="22"/>
        </w:rPr>
        <w:t>anything</w:t>
      </w:r>
      <w:proofErr w:type="gramEnd"/>
      <w:r w:rsidRPr="00903307">
        <w:rPr>
          <w:rFonts w:asciiTheme="minorHAnsi" w:hAnsiTheme="minorHAnsi"/>
          <w:color w:val="000000"/>
          <w:sz w:val="22"/>
        </w:rPr>
        <w:t xml:space="preserve"> you did not like in the Be Well Plan?</w:t>
      </w:r>
    </w:p>
    <w:p w14:paraId="7A1A47FA"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Q4. </w:t>
      </w:r>
      <w:r w:rsidRPr="00903307">
        <w:rPr>
          <w:rFonts w:asciiTheme="minorHAnsi" w:hAnsiTheme="minorHAnsi"/>
          <w:color w:val="000000"/>
          <w:sz w:val="22"/>
        </w:rPr>
        <w:t>Is there anything we could improve?</w:t>
      </w:r>
    </w:p>
    <w:p w14:paraId="5D484338"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Q5. </w:t>
      </w:r>
      <w:r w:rsidRPr="00903307">
        <w:rPr>
          <w:rFonts w:asciiTheme="minorHAnsi" w:hAnsiTheme="minorHAnsi"/>
          <w:color w:val="000000"/>
          <w:sz w:val="22"/>
        </w:rPr>
        <w:t>Do you have any comments about the facilitator? (e.g., knowledge and expertise, engagement and communication, preparation and organisation, overall effectiveness)</w:t>
      </w:r>
    </w:p>
    <w:p w14:paraId="3847AFDC"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Q6. </w:t>
      </w:r>
      <w:r w:rsidRPr="00903307">
        <w:rPr>
          <w:rFonts w:asciiTheme="minorHAnsi" w:hAnsiTheme="minorHAnsi"/>
          <w:color w:val="000000"/>
          <w:sz w:val="22"/>
        </w:rPr>
        <w:t>Which activity or activities did you practice most during the program? And do you think you will continue to use them?</w:t>
      </w:r>
    </w:p>
    <w:p w14:paraId="31324FB5" w14:textId="77777777" w:rsidR="002742B0" w:rsidRPr="00903307" w:rsidRDefault="002742B0" w:rsidP="002742B0">
      <w:pPr>
        <w:spacing w:line="360" w:lineRule="auto"/>
        <w:rPr>
          <w:rFonts w:asciiTheme="minorHAnsi" w:hAnsiTheme="minorHAnsi"/>
          <w:color w:val="000000"/>
          <w:sz w:val="22"/>
        </w:rPr>
      </w:pPr>
      <w:r>
        <w:rPr>
          <w:rFonts w:asciiTheme="minorHAnsi" w:hAnsiTheme="minorHAnsi"/>
          <w:color w:val="000000"/>
          <w:sz w:val="22"/>
        </w:rPr>
        <w:t xml:space="preserve">Q7. </w:t>
      </w:r>
      <w:r w:rsidRPr="00903307">
        <w:rPr>
          <w:rFonts w:asciiTheme="minorHAnsi" w:hAnsiTheme="minorHAnsi"/>
          <w:color w:val="000000"/>
          <w:sz w:val="22"/>
        </w:rPr>
        <w:t xml:space="preserve">How do you think this program could support people to live well with myeloma? </w:t>
      </w:r>
    </w:p>
    <w:p w14:paraId="7228A2D9" w14:textId="77777777" w:rsidR="002742B0" w:rsidRPr="00903307" w:rsidRDefault="002742B0" w:rsidP="002742B0">
      <w:pPr>
        <w:spacing w:line="360" w:lineRule="auto"/>
        <w:rPr>
          <w:rFonts w:asciiTheme="minorHAnsi" w:hAnsiTheme="minorHAnsi"/>
          <w:sz w:val="22"/>
        </w:rPr>
      </w:pPr>
      <w:r>
        <w:rPr>
          <w:rFonts w:asciiTheme="minorHAnsi" w:hAnsiTheme="minorHAnsi"/>
          <w:color w:val="000000" w:themeColor="text1"/>
          <w:sz w:val="22"/>
        </w:rPr>
        <w:t xml:space="preserve">Q8. </w:t>
      </w:r>
      <w:r w:rsidRPr="00903307">
        <w:rPr>
          <w:rFonts w:asciiTheme="minorHAnsi" w:hAnsiTheme="minorHAnsi"/>
          <w:color w:val="000000" w:themeColor="text1"/>
          <w:sz w:val="22"/>
        </w:rPr>
        <w:t>Do you have any other comments or feedback?</w:t>
      </w:r>
    </w:p>
    <w:p w14:paraId="1BFC65B5" w14:textId="77777777" w:rsidR="002742B0" w:rsidRDefault="002742B0" w:rsidP="002742B0">
      <w:pPr>
        <w:spacing w:line="360" w:lineRule="auto"/>
        <w:rPr>
          <w:rFonts w:asciiTheme="minorHAnsi" w:hAnsiTheme="minorHAnsi" w:cs="Calibri"/>
          <w:color w:val="000000" w:themeColor="text1"/>
          <w:sz w:val="22"/>
          <w:szCs w:val="22"/>
        </w:rPr>
      </w:pPr>
    </w:p>
    <w:p w14:paraId="3CD6826F" w14:textId="77777777" w:rsidR="002742B0" w:rsidRPr="00D81C00" w:rsidRDefault="002742B0" w:rsidP="002742B0">
      <w:pPr>
        <w:spacing w:line="360" w:lineRule="auto"/>
        <w:rPr>
          <w:rFonts w:asciiTheme="minorHAnsi" w:hAnsiTheme="minorHAnsi" w:cs="Calibri"/>
          <w:i/>
          <w:iCs/>
          <w:color w:val="000000" w:themeColor="text1"/>
          <w:sz w:val="22"/>
          <w:szCs w:val="22"/>
        </w:rPr>
      </w:pPr>
      <w:r w:rsidRPr="00D81C00">
        <w:rPr>
          <w:rFonts w:asciiTheme="minorHAnsi" w:hAnsiTheme="minorHAnsi" w:cs="Calibri"/>
          <w:i/>
          <w:iCs/>
          <w:color w:val="000000" w:themeColor="text1"/>
          <w:sz w:val="22"/>
          <w:szCs w:val="22"/>
        </w:rPr>
        <w:t>Outcome Measures</w:t>
      </w:r>
    </w:p>
    <w:p w14:paraId="0C56A036" w14:textId="30657321" w:rsidR="002742B0"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r w:rsidRPr="00D81C00">
        <w:rPr>
          <w:rFonts w:asciiTheme="minorHAnsi" w:hAnsiTheme="minorHAnsi" w:cs="Calibri"/>
          <w:color w:val="000000" w:themeColor="text1"/>
          <w:sz w:val="22"/>
          <w:szCs w:val="22"/>
        </w:rPr>
        <w:t xml:space="preserve">Empowerment: </w:t>
      </w:r>
      <w:proofErr w:type="gramStart"/>
      <w:r w:rsidRPr="00D81C00">
        <w:rPr>
          <w:rFonts w:asciiTheme="minorHAnsi" w:hAnsiTheme="minorHAnsi" w:cs="Calibri"/>
          <w:color w:val="000000" w:themeColor="text1"/>
          <w:sz w:val="22"/>
          <w:szCs w:val="22"/>
        </w:rPr>
        <w:t>Empowerment,</w:t>
      </w:r>
      <w:proofErr w:type="gramEnd"/>
      <w:r w:rsidRPr="00D81C00">
        <w:rPr>
          <w:rFonts w:asciiTheme="minorHAnsi" w:hAnsiTheme="minorHAnsi" w:cs="Calibri"/>
          <w:color w:val="000000" w:themeColor="text1"/>
          <w:sz w:val="22"/>
          <w:szCs w:val="22"/>
        </w:rPr>
        <w:t xml:space="preserve"> was measured using a modified version of the health empowerment scale (HES). The HES itself is a modification from the original</w:t>
      </w:r>
      <w:r w:rsidRPr="4AC6F306">
        <w:rPr>
          <w:rFonts w:asciiTheme="minorHAnsi" w:hAnsiTheme="minorHAnsi" w:cs="Calibri"/>
          <w:color w:val="000000" w:themeColor="text1"/>
          <w:sz w:val="22"/>
          <w:szCs w:val="22"/>
        </w:rPr>
        <w:t xml:space="preserve"> Diabetes Empowerment Scale, which was designed to capture psychosocial self-efficacy in the context of diabetes</w:t>
      </w:r>
      <w:r>
        <w:rPr>
          <w:rFonts w:asciiTheme="minorHAnsi" w:hAnsiTheme="minorHAnsi" w:cs="Calibri"/>
          <w:color w:val="000000" w:themeColor="text1"/>
          <w:sz w:val="22"/>
          <w:szCs w:val="22"/>
        </w:rPr>
        <w:fldChar w:fldCharType="begin"/>
      </w:r>
      <w:r>
        <w:rPr>
          <w:rFonts w:asciiTheme="minorHAnsi" w:hAnsiTheme="minorHAnsi" w:cs="Calibri"/>
          <w:color w:val="000000" w:themeColor="text1"/>
          <w:sz w:val="22"/>
          <w:szCs w:val="22"/>
        </w:rPr>
        <w:instrText xml:space="preserve"> ADDIN EN.CITE &lt;EndNote&gt;&lt;Cite&gt;&lt;Author&gt;Serrani Azcurra&lt;/Author&gt;&lt;Year&gt;2014&lt;/Year&gt;&lt;RecNum&gt;234&lt;/RecNum&gt;&lt;DisplayText&gt;(1)&lt;/DisplayText&gt;&lt;record&gt;&lt;rec-number&gt;234&lt;/rec-number&gt;&lt;foreign-keys&gt;&lt;key app="EN" db-id="stz20wxtldaxabew9t8vpe0q0x9xd0rfew5a" timestamp="1756354732"&gt;234&lt;/key&gt;&lt;/foreign-keys&gt;&lt;ref-type name="Journal Article"&gt;17&lt;/ref-type&gt;&lt;contributors&gt;&lt;authors&gt;&lt;author&gt;Serrani Azcurra, D. J.&lt;/author&gt;&lt;/authors&gt;&lt;/contributors&gt;&lt;auth-address&gt;Professor at Department of Biological Sciences, Faculty of Psychology, National University of Rosario, Rosario, Argentina.&lt;/auth-address&gt;&lt;titles&gt;&lt;title&gt;Elders Health Empowerment Scale: Spanish adaptation and psychometric analysis&lt;/title&gt;&lt;secondary-title&gt;Colomb Med (Cali)&lt;/secondary-title&gt;&lt;/titles&gt;&lt;periodical&gt;&lt;full-title&gt;Colomb Med (Cali)&lt;/full-title&gt;&lt;/periodical&gt;&lt;pages&gt;179-85&lt;/pages&gt;&lt;volume&gt;45&lt;/volume&gt;&lt;number&gt;4&lt;/number&gt;&lt;edition&gt;20141230&lt;/edition&gt;&lt;keywords&gt;&lt;keyword&gt;Aged&lt;/keyword&gt;&lt;keyword&gt;Aged, 80 and over&lt;/keyword&gt;&lt;keyword&gt;*Decision Making&lt;/keyword&gt;&lt;keyword&gt;Female&lt;/keyword&gt;&lt;keyword&gt;Humans&lt;/keyword&gt;&lt;keyword&gt;Language&lt;/keyword&gt;&lt;keyword&gt;Male&lt;/keyword&gt;&lt;keyword&gt;Middle Aged&lt;/keyword&gt;&lt;keyword&gt;*Power, Psychological&lt;/keyword&gt;&lt;keyword&gt;*Psychometrics&lt;/keyword&gt;&lt;keyword&gt;Reproducibility of Results&lt;/keyword&gt;&lt;keyword&gt;Self Care/*psychology&lt;/keyword&gt;&lt;keyword&gt;Self Efficacy&lt;/keyword&gt;&lt;keyword&gt;Health&lt;/keyword&gt;&lt;keyword&gt;chronic disease&lt;/keyword&gt;&lt;keyword&gt;elders&lt;/keyword&gt;&lt;keyword&gt;empowerment&lt;/keyword&gt;&lt;keyword&gt;psychometric analysis&lt;/keyword&gt;&lt;keyword&gt;rating scale&lt;/keyword&gt;&lt;keyword&gt;self-efficacy&lt;/keyword&gt;&lt;/keywords&gt;&lt;dates&gt;&lt;year&gt;2014&lt;/year&gt;&lt;pub-dates&gt;&lt;date&gt;Oct-Dec&lt;/date&gt;&lt;/pub-dates&gt;&lt;/dates&gt;&lt;isbn&gt;0120-8322 (Print)&amp;#xD;0120-8322&lt;/isbn&gt;&lt;accession-num&gt;25767307&lt;/accession-num&gt;&lt;urls&gt;&lt;/urls&gt;&lt;custom1&gt;Conflict of interest: Not conflict of interest&lt;/custom1&gt;&lt;custom2&gt;PMC4350384&lt;/custom2&gt;&lt;remote-database-provider&gt;NLM&lt;/remote-database-provider&gt;&lt;language&gt;eng&lt;/language&gt;&lt;/record&gt;&lt;/Cite&gt;&lt;/EndNote&gt;</w:instrText>
      </w:r>
      <w:r>
        <w:rPr>
          <w:rFonts w:asciiTheme="minorHAnsi" w:hAnsiTheme="minorHAnsi" w:cs="Calibri"/>
          <w:color w:val="000000" w:themeColor="text1"/>
          <w:sz w:val="22"/>
          <w:szCs w:val="22"/>
        </w:rPr>
        <w:fldChar w:fldCharType="separate"/>
      </w:r>
      <w:r>
        <w:rPr>
          <w:rFonts w:asciiTheme="minorHAnsi" w:hAnsiTheme="minorHAnsi" w:cs="Calibri"/>
          <w:noProof/>
          <w:color w:val="000000" w:themeColor="text1"/>
          <w:sz w:val="22"/>
          <w:szCs w:val="22"/>
        </w:rPr>
        <w:t>(1)</w:t>
      </w:r>
      <w:r>
        <w:rPr>
          <w:rFonts w:asciiTheme="minorHAnsi" w:hAnsiTheme="minorHAnsi" w:cs="Calibri"/>
          <w:color w:val="000000" w:themeColor="text1"/>
          <w:sz w:val="22"/>
          <w:szCs w:val="22"/>
        </w:rPr>
        <w:fldChar w:fldCharType="end"/>
      </w:r>
      <w:r w:rsidRPr="4AC6F306">
        <w:rPr>
          <w:rFonts w:asciiTheme="minorHAnsi" w:hAnsiTheme="minorHAnsi" w:cs="Calibri"/>
          <w:color w:val="000000" w:themeColor="text1"/>
          <w:sz w:val="22"/>
          <w:szCs w:val="22"/>
        </w:rPr>
        <w:t xml:space="preserve">. To modify, the </w:t>
      </w:r>
      <w:r w:rsidRPr="5207C9D3">
        <w:rPr>
          <w:rFonts w:asciiTheme="minorHAnsi" w:hAnsiTheme="minorHAnsi" w:cs="Calibri"/>
          <w:color w:val="000000" w:themeColor="text1"/>
          <w:sz w:val="22"/>
          <w:szCs w:val="22"/>
        </w:rPr>
        <w:t>word</w:t>
      </w:r>
      <w:r w:rsidRPr="4AC6F306">
        <w:rPr>
          <w:rFonts w:asciiTheme="minorHAnsi" w:hAnsiTheme="minorHAnsi" w:cs="Calibri"/>
          <w:color w:val="000000" w:themeColor="text1"/>
          <w:sz w:val="22"/>
          <w:szCs w:val="22"/>
        </w:rPr>
        <w:t xml:space="preserve"> “health” was replaced by the word “wellbeing”, with resulting items such as “I am able to turn my wellbeing goals into a workable plan” and “I can try out different ways of overcoming barriers to my wellbeing goals</w:t>
      </w:r>
      <w:r w:rsidRPr="5207C9D3">
        <w:rPr>
          <w:rFonts w:asciiTheme="minorHAnsi" w:hAnsiTheme="minorHAnsi" w:cs="Calibri"/>
          <w:color w:val="000000" w:themeColor="text1"/>
          <w:sz w:val="22"/>
          <w:szCs w:val="22"/>
        </w:rPr>
        <w:t>”</w:t>
      </w:r>
      <w:r w:rsidRPr="4AC6F306">
        <w:rPr>
          <w:rFonts w:asciiTheme="minorHAnsi" w:hAnsiTheme="minorHAnsi" w:cs="Calibri"/>
          <w:color w:val="000000" w:themeColor="text1"/>
          <w:sz w:val="22"/>
          <w:szCs w:val="22"/>
        </w:rPr>
        <w:t xml:space="preserve"> A total score is calculated by averaging item responses. Higher scores related to greater empowerment.</w:t>
      </w:r>
      <w:r>
        <w:rPr>
          <w:rFonts w:asciiTheme="minorHAnsi" w:hAnsiTheme="minorHAnsi" w:cs="Calibri"/>
          <w:color w:val="000000" w:themeColor="text1"/>
          <w:sz w:val="22"/>
          <w:szCs w:val="22"/>
        </w:rPr>
        <w:t xml:space="preserve"> </w:t>
      </w:r>
      <w:r w:rsidRPr="00401AB7">
        <w:rPr>
          <w:rFonts w:asciiTheme="minorHAnsi" w:hAnsiTheme="minorHAnsi" w:cs="Calibri"/>
          <w:color w:val="000000" w:themeColor="text1"/>
          <w:sz w:val="22"/>
          <w:szCs w:val="22"/>
        </w:rPr>
        <w:t xml:space="preserve">Reliability estimates indicated </w:t>
      </w:r>
      <w:r>
        <w:rPr>
          <w:rFonts w:asciiTheme="minorHAnsi" w:hAnsiTheme="minorHAnsi" w:cs="Calibri"/>
          <w:color w:val="000000" w:themeColor="text1"/>
          <w:sz w:val="22"/>
          <w:szCs w:val="22"/>
        </w:rPr>
        <w:t>acceptable</w:t>
      </w:r>
      <w:r w:rsidRPr="00401AB7">
        <w:rPr>
          <w:rFonts w:asciiTheme="minorHAnsi" w:hAnsiTheme="minorHAnsi" w:cs="Calibri"/>
          <w:color w:val="000000" w:themeColor="text1"/>
          <w:sz w:val="22"/>
          <w:szCs w:val="22"/>
        </w:rPr>
        <w:t xml:space="preserve"> internal consistency (α = .89</w:t>
      </w:r>
      <w:r>
        <w:rPr>
          <w:rFonts w:asciiTheme="minorHAnsi" w:hAnsiTheme="minorHAnsi" w:cs="Calibri"/>
          <w:color w:val="000000" w:themeColor="text1"/>
          <w:sz w:val="22"/>
          <w:szCs w:val="22"/>
        </w:rPr>
        <w:t>)</w:t>
      </w:r>
      <w:r w:rsidRPr="00401AB7">
        <w:rPr>
          <w:rFonts w:asciiTheme="minorHAnsi" w:hAnsiTheme="minorHAnsi" w:cs="Calibri"/>
          <w:color w:val="000000" w:themeColor="text1"/>
          <w:sz w:val="22"/>
          <w:szCs w:val="22"/>
        </w:rPr>
        <w:t>.</w:t>
      </w:r>
    </w:p>
    <w:p w14:paraId="724D00D2" w14:textId="77777777" w:rsidR="002742B0"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p>
    <w:p w14:paraId="0F2563E4" w14:textId="4562E1EA" w:rsidR="002742B0" w:rsidRPr="003C14DB"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r w:rsidRPr="001C0D30">
        <w:rPr>
          <w:rFonts w:asciiTheme="minorHAnsi" w:hAnsiTheme="minorHAnsi" w:cs="Calibri"/>
          <w:i/>
          <w:iCs/>
          <w:color w:val="000000" w:themeColor="text1"/>
          <w:sz w:val="22"/>
          <w:szCs w:val="22"/>
        </w:rPr>
        <w:t>Mental Wellbeing</w:t>
      </w:r>
      <w:r>
        <w:rPr>
          <w:rFonts w:asciiTheme="minorHAnsi" w:hAnsiTheme="minorHAnsi" w:cs="Calibri"/>
          <w:color w:val="000000" w:themeColor="text1"/>
          <w:sz w:val="22"/>
          <w:szCs w:val="22"/>
        </w:rPr>
        <w:t>. M</w:t>
      </w:r>
      <w:r w:rsidRPr="003C14DB">
        <w:rPr>
          <w:rFonts w:asciiTheme="minorHAnsi" w:hAnsiTheme="minorHAnsi" w:cs="Calibri"/>
          <w:color w:val="000000" w:themeColor="text1"/>
          <w:sz w:val="22"/>
          <w:szCs w:val="22"/>
        </w:rPr>
        <w:t>ental wellbeing</w:t>
      </w:r>
      <w:r>
        <w:rPr>
          <w:rFonts w:asciiTheme="minorHAnsi" w:hAnsiTheme="minorHAnsi" w:cs="Calibri"/>
          <w:color w:val="000000" w:themeColor="text1"/>
          <w:sz w:val="22"/>
          <w:szCs w:val="22"/>
        </w:rPr>
        <w:t xml:space="preserve"> was </w:t>
      </w:r>
      <w:r w:rsidRPr="003C14DB">
        <w:rPr>
          <w:rFonts w:asciiTheme="minorHAnsi" w:hAnsiTheme="minorHAnsi" w:cs="Calibri"/>
          <w:color w:val="000000" w:themeColor="text1"/>
          <w:sz w:val="22"/>
          <w:szCs w:val="22"/>
        </w:rPr>
        <w:t>assessed using the 14-item Warwick-Edinburgh Mental Well-being Scale</w:t>
      </w:r>
      <w:r>
        <w:rPr>
          <w:rFonts w:asciiTheme="minorHAnsi" w:hAnsiTheme="minorHAnsi" w:cs="Calibri"/>
          <w:color w:val="000000" w:themeColor="text1"/>
          <w:sz w:val="22"/>
          <w:szCs w:val="22"/>
        </w:rPr>
        <w:t xml:space="preserve"> (WEMWBS) </w:t>
      </w:r>
      <w:r w:rsidRPr="003C14DB">
        <w:rPr>
          <w:rFonts w:asciiTheme="minorHAnsi" w:hAnsiTheme="minorHAnsi" w:cs="Calibri"/>
          <w:color w:val="000000" w:themeColor="text1"/>
          <w:sz w:val="22"/>
          <w:szCs w:val="22"/>
        </w:rPr>
        <w:fldChar w:fldCharType="begin"/>
      </w:r>
      <w:r>
        <w:rPr>
          <w:rFonts w:asciiTheme="minorHAnsi" w:hAnsiTheme="minorHAnsi" w:cs="Calibri"/>
          <w:color w:val="000000" w:themeColor="text1"/>
          <w:sz w:val="22"/>
          <w:szCs w:val="22"/>
        </w:rPr>
        <w:instrText xml:space="preserve"> ADDIN EN.CITE &lt;EndNote&gt;&lt;Cite&gt;&lt;Author&gt;Shah&lt;/Author&gt;&lt;Year&gt;2021&lt;/Year&gt;&lt;RecNum&gt;130&lt;/RecNum&gt;&lt;DisplayText&gt;(2)&lt;/DisplayText&gt;&lt;record&gt;&lt;rec-number&gt;130&lt;/rec-number&gt;&lt;foreign-keys&gt;&lt;key app="EN" db-id="stz20wxtldaxabew9t8vpe0q0x9xd0rfew5a" timestamp="1734986737"&gt;130&lt;/key&gt;&lt;/foreign-keys&gt;&lt;ref-type name="Journal Article"&gt;17&lt;/ref-type&gt;&lt;contributors&gt;&lt;authors&gt;&lt;author&gt;Shah, Neha&lt;/author&gt;&lt;author&gt;Cader, Mizaya&lt;/author&gt;&lt;author&gt;Andrews, Bill&lt;/author&gt;&lt;author&gt;McCabe, Rose&lt;/author&gt;&lt;author&gt;Stewart-Brown, Sarah L.&lt;/author&gt;&lt;/authors&gt;&lt;/contributors&gt;&lt;titles&gt;&lt;title&gt;Short Warwick-Edinburgh Mental Well-being Scale (SWEMWBS): performance in a clinical sample in relation to PHQ-9 and GAD-7&lt;/title&gt;&lt;secondary-title&gt;Health and Quality of Life Outcomes&lt;/secondary-title&gt;&lt;/titles&gt;&lt;periodical&gt;&lt;full-title&gt;Health and Quality of Life Outcomes&lt;/full-title&gt;&lt;/periodical&gt;&lt;pages&gt;260&lt;/pages&gt;&lt;volume&gt;19&lt;/volume&gt;&lt;number&gt;1&lt;/number&gt;&lt;dates&gt;&lt;year&gt;2021&lt;/year&gt;&lt;pub-dates&gt;&lt;date&gt;2021/11/24&lt;/date&gt;&lt;/pub-dates&gt;&lt;/dates&gt;&lt;isbn&gt;1477-7525&lt;/isbn&gt;&lt;urls&gt;&lt;related-urls&gt;&lt;url&gt;https://doi.org/10.1186/s12955-021-01882-x&lt;/url&gt;&lt;/related-urls&gt;&lt;/urls&gt;&lt;electronic-resource-num&gt;10.1186/s12955-021-01882-x&lt;/electronic-resource-num&gt;&lt;/record&gt;&lt;/Cite&gt;&lt;/EndNote&gt;</w:instrText>
      </w:r>
      <w:r w:rsidRPr="003C14DB">
        <w:rPr>
          <w:rFonts w:asciiTheme="minorHAnsi" w:hAnsiTheme="minorHAnsi" w:cs="Calibri"/>
          <w:color w:val="000000" w:themeColor="text1"/>
          <w:sz w:val="22"/>
          <w:szCs w:val="22"/>
        </w:rPr>
        <w:fldChar w:fldCharType="separate"/>
      </w:r>
      <w:r>
        <w:rPr>
          <w:rFonts w:asciiTheme="minorHAnsi" w:hAnsiTheme="minorHAnsi" w:cs="Calibri"/>
          <w:noProof/>
          <w:color w:val="000000" w:themeColor="text1"/>
          <w:sz w:val="22"/>
          <w:szCs w:val="22"/>
        </w:rPr>
        <w:t>(2)</w:t>
      </w:r>
      <w:r w:rsidRPr="003C14DB">
        <w:rPr>
          <w:rFonts w:asciiTheme="minorHAnsi" w:hAnsiTheme="minorHAnsi" w:cs="Calibri"/>
          <w:color w:val="000000" w:themeColor="text1"/>
          <w:sz w:val="22"/>
          <w:szCs w:val="22"/>
        </w:rPr>
        <w:fldChar w:fldCharType="end"/>
      </w:r>
      <w:r w:rsidRPr="003C14DB">
        <w:rPr>
          <w:rFonts w:asciiTheme="minorHAnsi" w:hAnsiTheme="minorHAnsi" w:cs="Calibri"/>
          <w:color w:val="000000" w:themeColor="text1"/>
          <w:sz w:val="22"/>
          <w:szCs w:val="22"/>
        </w:rPr>
        <w:t xml:space="preserve">. This scale measures both eudaimonic and hedonic aspects of </w:t>
      </w:r>
      <w:r>
        <w:rPr>
          <w:rFonts w:asciiTheme="minorHAnsi" w:hAnsiTheme="minorHAnsi" w:cs="Calibri"/>
          <w:color w:val="000000" w:themeColor="text1"/>
          <w:sz w:val="22"/>
          <w:szCs w:val="22"/>
        </w:rPr>
        <w:lastRenderedPageBreak/>
        <w:t xml:space="preserve">mental </w:t>
      </w:r>
      <w:r w:rsidRPr="003C14DB">
        <w:rPr>
          <w:rFonts w:asciiTheme="minorHAnsi" w:hAnsiTheme="minorHAnsi" w:cs="Calibri"/>
          <w:color w:val="000000" w:themeColor="text1"/>
          <w:sz w:val="22"/>
          <w:szCs w:val="22"/>
        </w:rPr>
        <w:t xml:space="preserve">wellbeing. </w:t>
      </w:r>
      <w:r>
        <w:rPr>
          <w:rFonts w:asciiTheme="minorHAnsi" w:hAnsiTheme="minorHAnsi" w:cs="Calibri"/>
          <w:color w:val="000000" w:themeColor="text1"/>
          <w:sz w:val="22"/>
          <w:szCs w:val="22"/>
        </w:rPr>
        <w:t>Consumer</w:t>
      </w:r>
      <w:r w:rsidRPr="003C14DB">
        <w:rPr>
          <w:rFonts w:asciiTheme="minorHAnsi" w:hAnsiTheme="minorHAnsi" w:cs="Calibri"/>
          <w:color w:val="000000" w:themeColor="text1"/>
          <w:sz w:val="22"/>
          <w:szCs w:val="22"/>
        </w:rPr>
        <w:t xml:space="preserve">s respond on a 6-point Likert scale (0 = none of the time to 5 = </w:t>
      </w:r>
      <w:proofErr w:type="gramStart"/>
      <w:r w:rsidRPr="003C14DB">
        <w:rPr>
          <w:rFonts w:asciiTheme="minorHAnsi" w:hAnsiTheme="minorHAnsi" w:cs="Calibri"/>
          <w:color w:val="000000" w:themeColor="text1"/>
          <w:sz w:val="22"/>
          <w:szCs w:val="22"/>
        </w:rPr>
        <w:t>all of</w:t>
      </w:r>
      <w:proofErr w:type="gramEnd"/>
      <w:r w:rsidRPr="003C14DB">
        <w:rPr>
          <w:rFonts w:asciiTheme="minorHAnsi" w:hAnsiTheme="minorHAnsi" w:cs="Calibri"/>
          <w:color w:val="000000" w:themeColor="text1"/>
          <w:sz w:val="22"/>
          <w:szCs w:val="22"/>
        </w:rPr>
        <w:t xml:space="preserve"> the time), indicating how often they had experienced various thoughts and feelings over the past two weeks (e.g., “I’ve been feeling optimistic about the future”). Total scores range from 0 to 70, with higher scores reflecting greater mental wellbeing.</w:t>
      </w:r>
      <w:r>
        <w:rPr>
          <w:rFonts w:asciiTheme="minorHAnsi" w:hAnsiTheme="minorHAnsi" w:cs="Calibri"/>
          <w:color w:val="000000" w:themeColor="text1"/>
          <w:sz w:val="22"/>
          <w:szCs w:val="22"/>
        </w:rPr>
        <w:t xml:space="preserve"> </w:t>
      </w:r>
      <w:r w:rsidRPr="00401AB7">
        <w:rPr>
          <w:rFonts w:asciiTheme="minorHAnsi" w:hAnsiTheme="minorHAnsi" w:cs="Calibri"/>
          <w:color w:val="000000" w:themeColor="text1"/>
          <w:sz w:val="22"/>
          <w:szCs w:val="22"/>
        </w:rPr>
        <w:t xml:space="preserve">Reliability estimates indicated </w:t>
      </w:r>
      <w:r>
        <w:rPr>
          <w:rFonts w:asciiTheme="minorHAnsi" w:hAnsiTheme="minorHAnsi" w:cs="Calibri"/>
          <w:color w:val="000000" w:themeColor="text1"/>
          <w:sz w:val="22"/>
          <w:szCs w:val="22"/>
        </w:rPr>
        <w:t>acceptable</w:t>
      </w:r>
      <w:r w:rsidRPr="00401AB7">
        <w:rPr>
          <w:rFonts w:asciiTheme="minorHAnsi" w:hAnsiTheme="minorHAnsi" w:cs="Calibri"/>
          <w:color w:val="000000" w:themeColor="text1"/>
          <w:sz w:val="22"/>
          <w:szCs w:val="22"/>
        </w:rPr>
        <w:t xml:space="preserve"> internal consistency (α = .93).</w:t>
      </w:r>
    </w:p>
    <w:p w14:paraId="2875CF03" w14:textId="77777777" w:rsidR="002742B0"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p>
    <w:p w14:paraId="4A936DDF" w14:textId="48D38D22" w:rsidR="002742B0"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r w:rsidRPr="001C0D30">
        <w:rPr>
          <w:rFonts w:asciiTheme="minorHAnsi" w:hAnsiTheme="minorHAnsi" w:cs="Calibri"/>
          <w:i/>
          <w:iCs/>
          <w:color w:val="000000" w:themeColor="text1"/>
          <w:sz w:val="22"/>
          <w:szCs w:val="22"/>
        </w:rPr>
        <w:t>Anxiety</w:t>
      </w:r>
      <w:r>
        <w:rPr>
          <w:rFonts w:asciiTheme="minorHAnsi" w:hAnsiTheme="minorHAnsi" w:cs="Calibri"/>
          <w:color w:val="000000" w:themeColor="text1"/>
          <w:sz w:val="22"/>
          <w:szCs w:val="22"/>
        </w:rPr>
        <w:t xml:space="preserve">. </w:t>
      </w:r>
      <w:r w:rsidRPr="003C14DB">
        <w:rPr>
          <w:rFonts w:asciiTheme="minorHAnsi" w:hAnsiTheme="minorHAnsi" w:cs="Calibri"/>
          <w:color w:val="000000" w:themeColor="text1"/>
          <w:sz w:val="22"/>
          <w:szCs w:val="22"/>
        </w:rPr>
        <w:t>Anxiety was measured using the 7-item Generalized Anxiety Disorder scale (GAD-7)</w:t>
      </w:r>
      <w:r w:rsidRPr="003C14DB">
        <w:rPr>
          <w:rFonts w:asciiTheme="minorHAnsi" w:hAnsiTheme="minorHAnsi" w:cs="Calibri"/>
          <w:color w:val="000000" w:themeColor="text1"/>
          <w:sz w:val="22"/>
          <w:szCs w:val="22"/>
        </w:rPr>
        <w:fldChar w:fldCharType="begin"/>
      </w:r>
      <w:r>
        <w:rPr>
          <w:rFonts w:asciiTheme="minorHAnsi" w:hAnsiTheme="minorHAnsi" w:cs="Calibri"/>
          <w:color w:val="000000" w:themeColor="text1"/>
          <w:sz w:val="22"/>
          <w:szCs w:val="22"/>
        </w:rPr>
        <w:instrText xml:space="preserve"> ADDIN EN.CITE &lt;EndNote&gt;&lt;Cite&gt;&lt;Author&gt;Saracino&lt;/Author&gt;&lt;Year&gt;2024&lt;/Year&gt;&lt;RecNum&gt;186&lt;/RecNum&gt;&lt;DisplayText&gt;(3)&lt;/DisplayText&gt;&lt;record&gt;&lt;rec-number&gt;186&lt;/rec-number&gt;&lt;foreign-keys&gt;&lt;key app="EN" db-id="stz20wxtldaxabew9t8vpe0q0x9xd0rfew5a" timestamp="1748326238"&gt;186&lt;/key&gt;&lt;/foreign-keys&gt;&lt;ref-type name="Journal Article"&gt;17&lt;/ref-type&gt;&lt;contributors&gt;&lt;authors&gt;&lt;author&gt;Saracino, Rebecca M.&lt;/author&gt;&lt;author&gt;Kehoe, Lee A.&lt;/author&gt;&lt;author&gt;Sohn, Michael B.&lt;/author&gt;&lt;author&gt;Wang, Lu&lt;/author&gt;&lt;author&gt;Mohile, Supriya&lt;/author&gt;&lt;author&gt;Wells, Megan&lt;/author&gt;&lt;author&gt;Mustian, Karen&lt;/author&gt;&lt;author&gt;Morrow, Gary&lt;/author&gt;&lt;author&gt;Bradley, Thomas&lt;/author&gt;&lt;author&gt;Onitilo, Adedayo&lt;/author&gt;&lt;author&gt;Giguere, Jeffrey&lt;/author&gt;&lt;author&gt;McConnell, Kelly M.&lt;/author&gt;&lt;/authors&gt;&lt;/contributors&gt;&lt;titles&gt;&lt;title&gt;Psychometric Properties of the Generalized Anxiety Disorder Scale (GAD-7) in Older Adults With Advanced Cancer&lt;/title&gt;&lt;secondary-title&gt;Psycho-Oncology&lt;/secondary-title&gt;&lt;/titles&gt;&lt;periodical&gt;&lt;full-title&gt;Psycho-Oncology&lt;/full-title&gt;&lt;/periodical&gt;&lt;pages&gt;e70012&lt;/pages&gt;&lt;volume&gt;33&lt;/volume&gt;&lt;number&gt;11&lt;/number&gt;&lt;dates&gt;&lt;year&gt;2024&lt;/year&gt;&lt;/dates&gt;&lt;isbn&gt;1057-9249&lt;/isbn&gt;&lt;urls&gt;&lt;related-urls&gt;&lt;url&gt;https://onlinelibrary.wiley.com/doi/abs/10.1002/pon.70012&lt;/url&gt;&lt;/related-urls&gt;&lt;/urls&gt;&lt;electronic-resource-num&gt;https://doi.org/10.1002/pon.70012&lt;/electronic-resource-num&gt;&lt;/record&gt;&lt;/Cite&gt;&lt;/EndNote&gt;</w:instrText>
      </w:r>
      <w:r w:rsidRPr="003C14DB">
        <w:rPr>
          <w:rFonts w:asciiTheme="minorHAnsi" w:hAnsiTheme="minorHAnsi" w:cs="Calibri"/>
          <w:color w:val="000000" w:themeColor="text1"/>
          <w:sz w:val="22"/>
          <w:szCs w:val="22"/>
        </w:rPr>
        <w:fldChar w:fldCharType="separate"/>
      </w:r>
      <w:r>
        <w:rPr>
          <w:rFonts w:asciiTheme="minorHAnsi" w:hAnsiTheme="minorHAnsi" w:cs="Calibri"/>
          <w:noProof/>
          <w:color w:val="000000" w:themeColor="text1"/>
          <w:sz w:val="22"/>
          <w:szCs w:val="22"/>
        </w:rPr>
        <w:t>(3)</w:t>
      </w:r>
      <w:r w:rsidRPr="003C14DB">
        <w:rPr>
          <w:rFonts w:asciiTheme="minorHAnsi" w:hAnsiTheme="minorHAnsi" w:cs="Calibri"/>
          <w:color w:val="000000" w:themeColor="text1"/>
          <w:sz w:val="22"/>
          <w:szCs w:val="22"/>
        </w:rPr>
        <w:fldChar w:fldCharType="end"/>
      </w:r>
      <w:r w:rsidRPr="003C14DB">
        <w:rPr>
          <w:rFonts w:asciiTheme="minorHAnsi" w:hAnsiTheme="minorHAnsi" w:cs="Calibri"/>
          <w:color w:val="000000" w:themeColor="text1"/>
          <w:sz w:val="22"/>
          <w:szCs w:val="22"/>
        </w:rPr>
        <w:t xml:space="preserve">. </w:t>
      </w:r>
      <w:r>
        <w:rPr>
          <w:rFonts w:asciiTheme="minorHAnsi" w:hAnsiTheme="minorHAnsi" w:cs="Calibri"/>
          <w:color w:val="000000" w:themeColor="text1"/>
          <w:sz w:val="22"/>
          <w:szCs w:val="22"/>
        </w:rPr>
        <w:t>Consumer</w:t>
      </w:r>
      <w:r w:rsidRPr="003C14DB">
        <w:rPr>
          <w:rFonts w:asciiTheme="minorHAnsi" w:hAnsiTheme="minorHAnsi" w:cs="Calibri"/>
          <w:color w:val="000000" w:themeColor="text1"/>
          <w:sz w:val="22"/>
          <w:szCs w:val="22"/>
        </w:rPr>
        <w:t>s rated how often they had experienced symptoms of anxiety over the past two weeks (e.g., “Not being able to stop or control worrying”) on a 4-point Likert scale ranging from 0 (not at all) to 3 (nearly every day). Total scores range from 0 to 21, with higher scores indicating greater anxiety severity.</w:t>
      </w:r>
      <w:r>
        <w:rPr>
          <w:rFonts w:asciiTheme="minorHAnsi" w:hAnsiTheme="minorHAnsi" w:cs="Calibri"/>
          <w:color w:val="000000" w:themeColor="text1"/>
          <w:sz w:val="22"/>
          <w:szCs w:val="22"/>
        </w:rPr>
        <w:t xml:space="preserve"> </w:t>
      </w:r>
      <w:r w:rsidRPr="00401AB7">
        <w:rPr>
          <w:rFonts w:asciiTheme="minorHAnsi" w:hAnsiTheme="minorHAnsi" w:cs="Calibri"/>
          <w:color w:val="000000" w:themeColor="text1"/>
          <w:sz w:val="22"/>
          <w:szCs w:val="22"/>
        </w:rPr>
        <w:t xml:space="preserve">Reliability estimates indicated </w:t>
      </w:r>
      <w:r>
        <w:rPr>
          <w:rFonts w:asciiTheme="minorHAnsi" w:hAnsiTheme="minorHAnsi" w:cs="Calibri"/>
          <w:color w:val="000000" w:themeColor="text1"/>
          <w:sz w:val="22"/>
          <w:szCs w:val="22"/>
        </w:rPr>
        <w:t>acceptable</w:t>
      </w:r>
      <w:r w:rsidRPr="00401AB7">
        <w:rPr>
          <w:rFonts w:asciiTheme="minorHAnsi" w:hAnsiTheme="minorHAnsi" w:cs="Calibri"/>
          <w:color w:val="000000" w:themeColor="text1"/>
          <w:sz w:val="22"/>
          <w:szCs w:val="22"/>
        </w:rPr>
        <w:t xml:space="preserve"> internal consistency (α = .87).</w:t>
      </w:r>
    </w:p>
    <w:p w14:paraId="14EADE4E" w14:textId="77777777" w:rsidR="002742B0" w:rsidRPr="003C14DB"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p>
    <w:p w14:paraId="115F0518" w14:textId="1CE779DE" w:rsidR="002742B0" w:rsidRDefault="002742B0" w:rsidP="002742B0">
      <w:pPr>
        <w:pStyle w:val="NormalWeb"/>
        <w:spacing w:before="0" w:beforeAutospacing="0" w:after="0" w:afterAutospacing="0" w:line="360" w:lineRule="auto"/>
        <w:jc w:val="both"/>
        <w:rPr>
          <w:rFonts w:asciiTheme="minorHAnsi" w:hAnsiTheme="minorHAnsi" w:cs="Calibri"/>
          <w:color w:val="000000" w:themeColor="text1"/>
          <w:sz w:val="22"/>
          <w:szCs w:val="22"/>
        </w:rPr>
      </w:pPr>
      <w:r w:rsidRPr="001C0D30">
        <w:rPr>
          <w:rFonts w:asciiTheme="minorHAnsi" w:hAnsiTheme="minorHAnsi" w:cs="Calibri"/>
          <w:i/>
          <w:iCs/>
          <w:color w:val="000000" w:themeColor="text1"/>
          <w:sz w:val="22"/>
          <w:szCs w:val="22"/>
        </w:rPr>
        <w:t>Depressive symptoms</w:t>
      </w:r>
      <w:r>
        <w:rPr>
          <w:rFonts w:asciiTheme="minorHAnsi" w:hAnsiTheme="minorHAnsi" w:cs="Calibri"/>
          <w:color w:val="000000" w:themeColor="text1"/>
          <w:sz w:val="22"/>
          <w:szCs w:val="22"/>
        </w:rPr>
        <w:t xml:space="preserve">. </w:t>
      </w:r>
      <w:r w:rsidRPr="003C14DB">
        <w:rPr>
          <w:rFonts w:asciiTheme="minorHAnsi" w:hAnsiTheme="minorHAnsi" w:cs="Calibri"/>
          <w:color w:val="000000" w:themeColor="text1"/>
          <w:sz w:val="22"/>
          <w:szCs w:val="22"/>
        </w:rPr>
        <w:t>Depressive symptoms were measured using the 9-item Patient Health Questionnaire (PHQ-9)</w:t>
      </w:r>
      <w:r w:rsidRPr="003C14DB">
        <w:rPr>
          <w:rFonts w:asciiTheme="minorHAnsi" w:hAnsiTheme="minorHAnsi" w:cs="Calibri"/>
          <w:color w:val="000000" w:themeColor="text1"/>
          <w:sz w:val="22"/>
          <w:szCs w:val="22"/>
        </w:rPr>
        <w:fldChar w:fldCharType="begin"/>
      </w:r>
      <w:r>
        <w:rPr>
          <w:rFonts w:asciiTheme="minorHAnsi" w:hAnsiTheme="minorHAnsi" w:cs="Calibri"/>
          <w:color w:val="000000" w:themeColor="text1"/>
          <w:sz w:val="22"/>
          <w:szCs w:val="22"/>
        </w:rPr>
        <w:instrText xml:space="preserve"> ADDIN EN.CITE &lt;EndNote&gt;&lt;Cite&gt;&lt;Author&gt;Hinz&lt;/Author&gt;&lt;Year&gt;2016&lt;/Year&gt;&lt;RecNum&gt;187&lt;/RecNum&gt;&lt;DisplayText&gt;(4)&lt;/DisplayText&gt;&lt;record&gt;&lt;rec-number&gt;187&lt;/rec-number&gt;&lt;foreign-keys&gt;&lt;key app="EN" db-id="stz20wxtldaxabew9t8vpe0q0x9xd0rfew5a" timestamp="1748326609"&gt;187&lt;/key&gt;&lt;/foreign-keys&gt;&lt;ref-type name="Journal Article"&gt;17&lt;/ref-type&gt;&lt;contributors&gt;&lt;authors&gt;&lt;author&gt;Hinz, Andreas&lt;/author&gt;&lt;author&gt;Mehnert, Anja&lt;/author&gt;&lt;author&gt;Kocalevent, Rüya-Daniela&lt;/author&gt;&lt;author&gt;Brähler, Elmar&lt;/author&gt;&lt;author&gt;Forkmann, Thomas&lt;/author&gt;&lt;author&gt;Singer, Susanne&lt;/author&gt;&lt;author&gt;Schulte, Thomas&lt;/author&gt;&lt;/authors&gt;&lt;/contributors&gt;&lt;titles&gt;&lt;title&gt;Assessment of depression severity with the PHQ-9 in cancer patients and in the general population&lt;/title&gt;&lt;secondary-title&gt;BMC Psychiatry&lt;/secondary-title&gt;&lt;/titles&gt;&lt;periodical&gt;&lt;full-title&gt;BMC Psychiatry&lt;/full-title&gt;&lt;/periodical&gt;&lt;pages&gt;22&lt;/pages&gt;&lt;volume&gt;16&lt;/volume&gt;&lt;number&gt;1&lt;/number&gt;&lt;dates&gt;&lt;year&gt;2016&lt;/year&gt;&lt;pub-dates&gt;&lt;date&gt;2016/02/02&lt;/date&gt;&lt;/pub-dates&gt;&lt;/dates&gt;&lt;isbn&gt;1471-244X&lt;/isbn&gt;&lt;urls&gt;&lt;related-urls&gt;&lt;url&gt;https://doi.org/10.1186/s12888-016-0728-6&lt;/url&gt;&lt;/related-urls&gt;&lt;/urls&gt;&lt;electronic-resource-num&gt;10.1186/s12888-016-0728-6&lt;/electronic-resource-num&gt;&lt;/record&gt;&lt;/Cite&gt;&lt;/EndNote&gt;</w:instrText>
      </w:r>
      <w:r w:rsidRPr="003C14DB">
        <w:rPr>
          <w:rFonts w:asciiTheme="minorHAnsi" w:hAnsiTheme="minorHAnsi" w:cs="Calibri"/>
          <w:color w:val="000000" w:themeColor="text1"/>
          <w:sz w:val="22"/>
          <w:szCs w:val="22"/>
        </w:rPr>
        <w:fldChar w:fldCharType="separate"/>
      </w:r>
      <w:r>
        <w:rPr>
          <w:rFonts w:asciiTheme="minorHAnsi" w:hAnsiTheme="minorHAnsi" w:cs="Calibri"/>
          <w:noProof/>
          <w:color w:val="000000" w:themeColor="text1"/>
          <w:sz w:val="22"/>
          <w:szCs w:val="22"/>
        </w:rPr>
        <w:t>(4)</w:t>
      </w:r>
      <w:r w:rsidRPr="003C14DB">
        <w:rPr>
          <w:rFonts w:asciiTheme="minorHAnsi" w:hAnsiTheme="minorHAnsi" w:cs="Calibri"/>
          <w:color w:val="000000" w:themeColor="text1"/>
          <w:sz w:val="22"/>
          <w:szCs w:val="22"/>
        </w:rPr>
        <w:fldChar w:fldCharType="end"/>
      </w:r>
      <w:r w:rsidRPr="003C14DB">
        <w:rPr>
          <w:rFonts w:asciiTheme="minorHAnsi" w:hAnsiTheme="minorHAnsi" w:cs="Calibri"/>
          <w:color w:val="000000" w:themeColor="text1"/>
          <w:sz w:val="22"/>
          <w:szCs w:val="22"/>
        </w:rPr>
        <w:t xml:space="preserve">. </w:t>
      </w:r>
      <w:r>
        <w:rPr>
          <w:rFonts w:asciiTheme="minorHAnsi" w:hAnsiTheme="minorHAnsi" w:cs="Calibri"/>
          <w:color w:val="000000" w:themeColor="text1"/>
          <w:sz w:val="22"/>
          <w:szCs w:val="22"/>
        </w:rPr>
        <w:t>Consumer</w:t>
      </w:r>
      <w:r w:rsidRPr="003C14DB">
        <w:rPr>
          <w:rFonts w:asciiTheme="minorHAnsi" w:hAnsiTheme="minorHAnsi" w:cs="Calibri"/>
          <w:color w:val="000000" w:themeColor="text1"/>
          <w:sz w:val="22"/>
          <w:szCs w:val="22"/>
        </w:rPr>
        <w:t>s indicated how often they had experienced symptoms of depression over the past two weeks (e.g., “Feeling negative about yourself or that you are a failure or have let yourself or your family down”) using a 4-point Likert scale ranging from 0 (not at all) to 3 (nearly every day). Total scores range from 0 to 27, with higher scores reflecting greater severity of depressive symptoms.</w:t>
      </w:r>
      <w:r>
        <w:rPr>
          <w:rFonts w:asciiTheme="minorHAnsi" w:hAnsiTheme="minorHAnsi" w:cs="Calibri"/>
          <w:color w:val="000000" w:themeColor="text1"/>
          <w:sz w:val="22"/>
          <w:szCs w:val="22"/>
        </w:rPr>
        <w:t xml:space="preserve"> </w:t>
      </w:r>
      <w:r w:rsidRPr="00401AB7">
        <w:rPr>
          <w:rFonts w:asciiTheme="minorHAnsi" w:hAnsiTheme="minorHAnsi" w:cs="Calibri"/>
          <w:color w:val="000000" w:themeColor="text1"/>
          <w:sz w:val="22"/>
          <w:szCs w:val="22"/>
        </w:rPr>
        <w:t xml:space="preserve">Reliability estimates indicated </w:t>
      </w:r>
      <w:r>
        <w:rPr>
          <w:rFonts w:asciiTheme="minorHAnsi" w:hAnsiTheme="minorHAnsi" w:cs="Calibri"/>
          <w:color w:val="000000" w:themeColor="text1"/>
          <w:sz w:val="22"/>
          <w:szCs w:val="22"/>
        </w:rPr>
        <w:t>acceptable</w:t>
      </w:r>
      <w:r w:rsidRPr="00401AB7">
        <w:rPr>
          <w:rFonts w:asciiTheme="minorHAnsi" w:hAnsiTheme="minorHAnsi" w:cs="Calibri"/>
          <w:color w:val="000000" w:themeColor="text1"/>
          <w:sz w:val="22"/>
          <w:szCs w:val="22"/>
        </w:rPr>
        <w:t xml:space="preserve"> internal consistency (α = .82).</w:t>
      </w:r>
    </w:p>
    <w:p w14:paraId="32749BEE" w14:textId="656B0128" w:rsidR="00D1252E" w:rsidRDefault="00D1252E" w:rsidP="002742B0"/>
    <w:p w14:paraId="2CCDED73" w14:textId="7E6EE7E8" w:rsidR="002742B0" w:rsidRDefault="002742B0" w:rsidP="002742B0">
      <w:r w:rsidRPr="002742B0">
        <w:rPr>
          <w:b/>
          <w:bCs/>
        </w:rPr>
        <w:t>References</w:t>
      </w:r>
    </w:p>
    <w:p w14:paraId="08809056" w14:textId="77777777" w:rsidR="002742B0" w:rsidRPr="002742B0" w:rsidRDefault="002742B0" w:rsidP="002742B0">
      <w:pPr>
        <w:pStyle w:val="EndNoteBibliography"/>
        <w:rPr>
          <w:noProof/>
        </w:rPr>
      </w:pPr>
      <w:r>
        <w:fldChar w:fldCharType="begin"/>
      </w:r>
      <w:r>
        <w:instrText xml:space="preserve"> ADDIN EN.REFLIST </w:instrText>
      </w:r>
      <w:r>
        <w:fldChar w:fldCharType="separate"/>
      </w:r>
      <w:r w:rsidRPr="002742B0">
        <w:rPr>
          <w:noProof/>
        </w:rPr>
        <w:t>1.</w:t>
      </w:r>
      <w:r w:rsidRPr="002742B0">
        <w:rPr>
          <w:noProof/>
        </w:rPr>
        <w:tab/>
        <w:t>Serrani Azcurra DJ. Elders Health Empowerment Scale: Spanish adaptation and psychometric analysis. Colomb Med (Cali). 2014;45(4):179-85.</w:t>
      </w:r>
    </w:p>
    <w:p w14:paraId="4DDAF9EA" w14:textId="77777777" w:rsidR="002742B0" w:rsidRPr="002742B0" w:rsidRDefault="002742B0" w:rsidP="002742B0">
      <w:pPr>
        <w:pStyle w:val="EndNoteBibliography"/>
        <w:rPr>
          <w:noProof/>
        </w:rPr>
      </w:pPr>
      <w:r w:rsidRPr="002742B0">
        <w:rPr>
          <w:noProof/>
        </w:rPr>
        <w:t>2.</w:t>
      </w:r>
      <w:r w:rsidRPr="002742B0">
        <w:rPr>
          <w:noProof/>
        </w:rPr>
        <w:tab/>
        <w:t>Shah N, Cader M, Andrews B, McCabe R, Stewart-Brown SL. Short Warwick-Edinburgh Mental Well-being Scale (SWEMWBS): performance in a clinical sample in relation to PHQ-9 and GAD-7. Health and Quality of Life Outcomes. 2021;19(1):260.</w:t>
      </w:r>
    </w:p>
    <w:p w14:paraId="7B699F1B" w14:textId="77777777" w:rsidR="002742B0" w:rsidRPr="002742B0" w:rsidRDefault="002742B0" w:rsidP="002742B0">
      <w:pPr>
        <w:pStyle w:val="EndNoteBibliography"/>
        <w:rPr>
          <w:noProof/>
        </w:rPr>
      </w:pPr>
      <w:r w:rsidRPr="002742B0">
        <w:rPr>
          <w:noProof/>
        </w:rPr>
        <w:t>3.</w:t>
      </w:r>
      <w:r w:rsidRPr="002742B0">
        <w:rPr>
          <w:noProof/>
        </w:rPr>
        <w:tab/>
        <w:t>Saracino RM, Kehoe LA, Sohn MB, Wang L, Mohile S, Wells M, et al. Psychometric Properties of the Generalized Anxiety Disorder Scale (GAD-7) in Older Adults With Advanced Cancer. Psycho-Oncology. 2024;33(11):e70012.</w:t>
      </w:r>
    </w:p>
    <w:p w14:paraId="78D0E364" w14:textId="77777777" w:rsidR="002742B0" w:rsidRPr="002742B0" w:rsidRDefault="002742B0" w:rsidP="002742B0">
      <w:pPr>
        <w:pStyle w:val="EndNoteBibliography"/>
        <w:rPr>
          <w:noProof/>
        </w:rPr>
      </w:pPr>
      <w:r w:rsidRPr="002742B0">
        <w:rPr>
          <w:noProof/>
        </w:rPr>
        <w:t>4.</w:t>
      </w:r>
      <w:r w:rsidRPr="002742B0">
        <w:rPr>
          <w:noProof/>
        </w:rPr>
        <w:tab/>
        <w:t>Hinz A, Mehnert A, Kocalevent R-D, Brähler E, Forkmann T, Singer S, et al. Assessment of depression severity with the PHQ-9 in cancer patients and in the general population. BMC Psychiatry. 2016;16(1):22.</w:t>
      </w:r>
    </w:p>
    <w:p w14:paraId="5186FC3C" w14:textId="76DC3457" w:rsidR="002742B0" w:rsidRPr="002742B0" w:rsidRDefault="002742B0" w:rsidP="002742B0">
      <w:r>
        <w:fldChar w:fldCharType="end"/>
      </w:r>
    </w:p>
    <w:sectPr w:rsidR="002742B0" w:rsidRPr="00274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3AE1"/>
    <w:multiLevelType w:val="multilevel"/>
    <w:tmpl w:val="F920E01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 w15:restartNumberingAfterBreak="0">
    <w:nsid w:val="32617898"/>
    <w:multiLevelType w:val="hybridMultilevel"/>
    <w:tmpl w:val="D8C6E4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13AD8"/>
    <w:multiLevelType w:val="multilevel"/>
    <w:tmpl w:val="3C68B632"/>
    <w:lvl w:ilvl="0">
      <w:start w:val="1"/>
      <w:numFmt w:val="bullet"/>
      <w:lvlText w:val="o"/>
      <w:lvlJc w:val="left"/>
      <w:pPr>
        <w:tabs>
          <w:tab w:val="num" w:pos="1800"/>
        </w:tabs>
        <w:ind w:left="1800" w:hanging="360"/>
      </w:pPr>
      <w:rPr>
        <w:rFonts w:ascii="Courier New" w:hAnsi="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 w15:restartNumberingAfterBreak="0">
    <w:nsid w:val="49C95783"/>
    <w:multiLevelType w:val="multilevel"/>
    <w:tmpl w:val="10F295D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 w15:restartNumberingAfterBreak="0">
    <w:nsid w:val="7F1F2053"/>
    <w:multiLevelType w:val="multilevel"/>
    <w:tmpl w:val="90A0D536"/>
    <w:lvl w:ilvl="0">
      <w:start w:val="1"/>
      <w:numFmt w:val="bullet"/>
      <w:lvlText w:val="o"/>
      <w:lvlJc w:val="left"/>
      <w:pPr>
        <w:tabs>
          <w:tab w:val="num" w:pos="1494"/>
        </w:tabs>
        <w:ind w:left="1494" w:hanging="360"/>
      </w:pPr>
      <w:rPr>
        <w:rFonts w:ascii="Courier New" w:hAnsi="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o"/>
      <w:lvlJc w:val="left"/>
      <w:pPr>
        <w:tabs>
          <w:tab w:val="num" w:pos="2934"/>
        </w:tabs>
        <w:ind w:left="2934" w:hanging="360"/>
      </w:pPr>
      <w:rPr>
        <w:rFonts w:ascii="Courier New" w:hAnsi="Courier New" w:hint="default"/>
        <w:sz w:val="20"/>
      </w:rPr>
    </w:lvl>
    <w:lvl w:ilvl="3" w:tentative="1">
      <w:start w:val="1"/>
      <w:numFmt w:val="bullet"/>
      <w:lvlText w:val="o"/>
      <w:lvlJc w:val="left"/>
      <w:pPr>
        <w:tabs>
          <w:tab w:val="num" w:pos="3654"/>
        </w:tabs>
        <w:ind w:left="3654" w:hanging="360"/>
      </w:pPr>
      <w:rPr>
        <w:rFonts w:ascii="Courier New" w:hAnsi="Courier New" w:hint="default"/>
        <w:sz w:val="20"/>
      </w:rPr>
    </w:lvl>
    <w:lvl w:ilvl="4" w:tentative="1">
      <w:start w:val="1"/>
      <w:numFmt w:val="bullet"/>
      <w:lvlText w:val="o"/>
      <w:lvlJc w:val="left"/>
      <w:pPr>
        <w:tabs>
          <w:tab w:val="num" w:pos="4374"/>
        </w:tabs>
        <w:ind w:left="4374" w:hanging="360"/>
      </w:pPr>
      <w:rPr>
        <w:rFonts w:ascii="Courier New" w:hAnsi="Courier New" w:hint="default"/>
        <w:sz w:val="20"/>
      </w:rPr>
    </w:lvl>
    <w:lvl w:ilvl="5" w:tentative="1">
      <w:start w:val="1"/>
      <w:numFmt w:val="bullet"/>
      <w:lvlText w:val="o"/>
      <w:lvlJc w:val="left"/>
      <w:pPr>
        <w:tabs>
          <w:tab w:val="num" w:pos="5094"/>
        </w:tabs>
        <w:ind w:left="5094" w:hanging="360"/>
      </w:pPr>
      <w:rPr>
        <w:rFonts w:ascii="Courier New" w:hAnsi="Courier New" w:hint="default"/>
        <w:sz w:val="20"/>
      </w:rPr>
    </w:lvl>
    <w:lvl w:ilvl="6" w:tentative="1">
      <w:start w:val="1"/>
      <w:numFmt w:val="bullet"/>
      <w:lvlText w:val="o"/>
      <w:lvlJc w:val="left"/>
      <w:pPr>
        <w:tabs>
          <w:tab w:val="num" w:pos="5814"/>
        </w:tabs>
        <w:ind w:left="5814" w:hanging="360"/>
      </w:pPr>
      <w:rPr>
        <w:rFonts w:ascii="Courier New" w:hAnsi="Courier New" w:hint="default"/>
        <w:sz w:val="20"/>
      </w:rPr>
    </w:lvl>
    <w:lvl w:ilvl="7" w:tentative="1">
      <w:start w:val="1"/>
      <w:numFmt w:val="bullet"/>
      <w:lvlText w:val="o"/>
      <w:lvlJc w:val="left"/>
      <w:pPr>
        <w:tabs>
          <w:tab w:val="num" w:pos="6534"/>
        </w:tabs>
        <w:ind w:left="6534" w:hanging="360"/>
      </w:pPr>
      <w:rPr>
        <w:rFonts w:ascii="Courier New" w:hAnsi="Courier New" w:hint="default"/>
        <w:sz w:val="20"/>
      </w:rPr>
    </w:lvl>
    <w:lvl w:ilvl="8" w:tentative="1">
      <w:start w:val="1"/>
      <w:numFmt w:val="bullet"/>
      <w:lvlText w:val="o"/>
      <w:lvlJc w:val="left"/>
      <w:pPr>
        <w:tabs>
          <w:tab w:val="num" w:pos="7254"/>
        </w:tabs>
        <w:ind w:left="7254" w:hanging="360"/>
      </w:pPr>
      <w:rPr>
        <w:rFonts w:ascii="Courier New" w:hAnsi="Courier New" w:hint="default"/>
        <w:sz w:val="20"/>
      </w:rPr>
    </w:lvl>
  </w:abstractNum>
  <w:num w:numId="1" w16cid:durableId="664404249">
    <w:abstractNumId w:val="0"/>
  </w:num>
  <w:num w:numId="2" w16cid:durableId="337313954">
    <w:abstractNumId w:val="2"/>
  </w:num>
  <w:num w:numId="3" w16cid:durableId="337470164">
    <w:abstractNumId w:val="4"/>
  </w:num>
  <w:num w:numId="4" w16cid:durableId="2055078158">
    <w:abstractNumId w:val="3"/>
  </w:num>
  <w:num w:numId="5" w16cid:durableId="186424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z20wxtldaxabew9t8vpe0q0x9xd0rfew5a&quot;&gt;My EndNote Library PhD (3)-2&lt;record-ids&gt;&lt;item&gt;130&lt;/item&gt;&lt;item&gt;186&lt;/item&gt;&lt;item&gt;187&lt;/item&gt;&lt;item&gt;234&lt;/item&gt;&lt;/record-ids&gt;&lt;/item&gt;&lt;/Libraries&gt;"/>
    <w:docVar w:name="EN.UseJSCitationFormat" w:val="False"/>
  </w:docVars>
  <w:rsids>
    <w:rsidRoot w:val="002742B0"/>
    <w:rsid w:val="00030599"/>
    <w:rsid w:val="00061AAA"/>
    <w:rsid w:val="00093EAC"/>
    <w:rsid w:val="000D5E96"/>
    <w:rsid w:val="000E6624"/>
    <w:rsid w:val="00103A52"/>
    <w:rsid w:val="00114AE8"/>
    <w:rsid w:val="00121A01"/>
    <w:rsid w:val="00127901"/>
    <w:rsid w:val="00132CCF"/>
    <w:rsid w:val="0016564C"/>
    <w:rsid w:val="001C5BF3"/>
    <w:rsid w:val="00205B18"/>
    <w:rsid w:val="00232802"/>
    <w:rsid w:val="002742B0"/>
    <w:rsid w:val="002A0AAA"/>
    <w:rsid w:val="002A6A0C"/>
    <w:rsid w:val="002D5D8C"/>
    <w:rsid w:val="002E6BBD"/>
    <w:rsid w:val="002F1B33"/>
    <w:rsid w:val="003040B4"/>
    <w:rsid w:val="00311B55"/>
    <w:rsid w:val="00315FC2"/>
    <w:rsid w:val="003519A8"/>
    <w:rsid w:val="003550BD"/>
    <w:rsid w:val="00391A8A"/>
    <w:rsid w:val="00395145"/>
    <w:rsid w:val="003A43AE"/>
    <w:rsid w:val="003C3BF7"/>
    <w:rsid w:val="003C4576"/>
    <w:rsid w:val="003E4812"/>
    <w:rsid w:val="00430EA1"/>
    <w:rsid w:val="00446C54"/>
    <w:rsid w:val="00451531"/>
    <w:rsid w:val="00487E65"/>
    <w:rsid w:val="00491CEA"/>
    <w:rsid w:val="00493E13"/>
    <w:rsid w:val="004A594B"/>
    <w:rsid w:val="004F120F"/>
    <w:rsid w:val="00500886"/>
    <w:rsid w:val="005140B0"/>
    <w:rsid w:val="005165CA"/>
    <w:rsid w:val="00527A48"/>
    <w:rsid w:val="005527CB"/>
    <w:rsid w:val="00585F5A"/>
    <w:rsid w:val="00592ABA"/>
    <w:rsid w:val="005B7DC2"/>
    <w:rsid w:val="005E0571"/>
    <w:rsid w:val="005F4F13"/>
    <w:rsid w:val="00624CCD"/>
    <w:rsid w:val="00627D7F"/>
    <w:rsid w:val="0065452A"/>
    <w:rsid w:val="00657278"/>
    <w:rsid w:val="006A0AA4"/>
    <w:rsid w:val="006B3564"/>
    <w:rsid w:val="006D6998"/>
    <w:rsid w:val="006E3D56"/>
    <w:rsid w:val="006F6F4E"/>
    <w:rsid w:val="00736DB4"/>
    <w:rsid w:val="00757DAB"/>
    <w:rsid w:val="007635E4"/>
    <w:rsid w:val="007749B0"/>
    <w:rsid w:val="007B7D3A"/>
    <w:rsid w:val="007E7D4C"/>
    <w:rsid w:val="008171DA"/>
    <w:rsid w:val="00824910"/>
    <w:rsid w:val="00834492"/>
    <w:rsid w:val="0084206E"/>
    <w:rsid w:val="00844934"/>
    <w:rsid w:val="00891ADB"/>
    <w:rsid w:val="008C5C5B"/>
    <w:rsid w:val="008D1DBA"/>
    <w:rsid w:val="008E26AF"/>
    <w:rsid w:val="00917416"/>
    <w:rsid w:val="00917F73"/>
    <w:rsid w:val="00925DF9"/>
    <w:rsid w:val="00931316"/>
    <w:rsid w:val="00974B9F"/>
    <w:rsid w:val="0098320B"/>
    <w:rsid w:val="00A46809"/>
    <w:rsid w:val="00A54CED"/>
    <w:rsid w:val="00A553F4"/>
    <w:rsid w:val="00A64FD5"/>
    <w:rsid w:val="00A667B3"/>
    <w:rsid w:val="00A71566"/>
    <w:rsid w:val="00A77FC8"/>
    <w:rsid w:val="00A937E6"/>
    <w:rsid w:val="00AC3AB8"/>
    <w:rsid w:val="00AD7161"/>
    <w:rsid w:val="00B04177"/>
    <w:rsid w:val="00B10132"/>
    <w:rsid w:val="00B14E5D"/>
    <w:rsid w:val="00B357A9"/>
    <w:rsid w:val="00B5488A"/>
    <w:rsid w:val="00B73EFE"/>
    <w:rsid w:val="00BB0B0F"/>
    <w:rsid w:val="00BE5013"/>
    <w:rsid w:val="00C00EB7"/>
    <w:rsid w:val="00C12021"/>
    <w:rsid w:val="00C36092"/>
    <w:rsid w:val="00C50564"/>
    <w:rsid w:val="00C77509"/>
    <w:rsid w:val="00CA1508"/>
    <w:rsid w:val="00CA2BC6"/>
    <w:rsid w:val="00D1252E"/>
    <w:rsid w:val="00D242FE"/>
    <w:rsid w:val="00D8559E"/>
    <w:rsid w:val="00D934D9"/>
    <w:rsid w:val="00E0174E"/>
    <w:rsid w:val="00E117F9"/>
    <w:rsid w:val="00E26F5F"/>
    <w:rsid w:val="00E43B70"/>
    <w:rsid w:val="00E745C4"/>
    <w:rsid w:val="00E747FF"/>
    <w:rsid w:val="00E77625"/>
    <w:rsid w:val="00EA0E1A"/>
    <w:rsid w:val="00EA1473"/>
    <w:rsid w:val="00EE2DD3"/>
    <w:rsid w:val="00EE68A8"/>
    <w:rsid w:val="00F32EE2"/>
    <w:rsid w:val="00F74435"/>
    <w:rsid w:val="00F835F6"/>
    <w:rsid w:val="00F97900"/>
    <w:rsid w:val="00FD3F19"/>
    <w:rsid w:val="00FF5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D2715F"/>
  <w15:chartTrackingRefBased/>
  <w15:docId w15:val="{FB3C5B73-1600-894B-A15D-8EBC64A3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B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74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2B0"/>
    <w:rPr>
      <w:rFonts w:eastAsiaTheme="majorEastAsia" w:cstheme="majorBidi"/>
      <w:color w:val="272727" w:themeColor="text1" w:themeTint="D8"/>
    </w:rPr>
  </w:style>
  <w:style w:type="paragraph" w:styleId="Title">
    <w:name w:val="Title"/>
    <w:basedOn w:val="Normal"/>
    <w:next w:val="Normal"/>
    <w:link w:val="TitleChar"/>
    <w:uiPriority w:val="10"/>
    <w:qFormat/>
    <w:rsid w:val="00274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2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2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2B0"/>
    <w:rPr>
      <w:i/>
      <w:iCs/>
      <w:color w:val="404040" w:themeColor="text1" w:themeTint="BF"/>
    </w:rPr>
  </w:style>
  <w:style w:type="paragraph" w:styleId="ListParagraph">
    <w:name w:val="List Paragraph"/>
    <w:basedOn w:val="Normal"/>
    <w:uiPriority w:val="34"/>
    <w:qFormat/>
    <w:rsid w:val="002742B0"/>
    <w:pPr>
      <w:ind w:left="720"/>
      <w:contextualSpacing/>
    </w:pPr>
  </w:style>
  <w:style w:type="character" w:styleId="IntenseEmphasis">
    <w:name w:val="Intense Emphasis"/>
    <w:basedOn w:val="DefaultParagraphFont"/>
    <w:uiPriority w:val="21"/>
    <w:qFormat/>
    <w:rsid w:val="002742B0"/>
    <w:rPr>
      <w:i/>
      <w:iCs/>
      <w:color w:val="0F4761" w:themeColor="accent1" w:themeShade="BF"/>
    </w:rPr>
  </w:style>
  <w:style w:type="paragraph" w:styleId="IntenseQuote">
    <w:name w:val="Intense Quote"/>
    <w:basedOn w:val="Normal"/>
    <w:next w:val="Normal"/>
    <w:link w:val="IntenseQuoteChar"/>
    <w:uiPriority w:val="30"/>
    <w:qFormat/>
    <w:rsid w:val="00274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2B0"/>
    <w:rPr>
      <w:i/>
      <w:iCs/>
      <w:color w:val="0F4761" w:themeColor="accent1" w:themeShade="BF"/>
    </w:rPr>
  </w:style>
  <w:style w:type="character" w:styleId="IntenseReference">
    <w:name w:val="Intense Reference"/>
    <w:basedOn w:val="DefaultParagraphFont"/>
    <w:uiPriority w:val="32"/>
    <w:qFormat/>
    <w:rsid w:val="002742B0"/>
    <w:rPr>
      <w:b/>
      <w:bCs/>
      <w:smallCaps/>
      <w:color w:val="0F4761" w:themeColor="accent1" w:themeShade="BF"/>
      <w:spacing w:val="5"/>
    </w:rPr>
  </w:style>
  <w:style w:type="paragraph" w:styleId="NormalWeb">
    <w:name w:val="Normal (Web)"/>
    <w:basedOn w:val="Normal"/>
    <w:uiPriority w:val="99"/>
    <w:unhideWhenUsed/>
    <w:rsid w:val="002742B0"/>
    <w:pPr>
      <w:spacing w:before="100" w:beforeAutospacing="1" w:after="100" w:afterAutospacing="1"/>
    </w:pPr>
  </w:style>
  <w:style w:type="paragraph" w:customStyle="1" w:styleId="EndNoteBibliographyTitle">
    <w:name w:val="EndNote Bibliography Title"/>
    <w:basedOn w:val="Normal"/>
    <w:link w:val="EndNoteBibliographyTitleChar"/>
    <w:rsid w:val="002742B0"/>
    <w:pPr>
      <w:jc w:val="center"/>
    </w:pPr>
    <w:rPr>
      <w:rFonts w:ascii="Aptos" w:hAnsi="Aptos"/>
      <w:sz w:val="22"/>
      <w:lang w:val="en-GB"/>
    </w:rPr>
  </w:style>
  <w:style w:type="character" w:customStyle="1" w:styleId="EndNoteBibliographyTitleChar">
    <w:name w:val="EndNote Bibliography Title Char"/>
    <w:basedOn w:val="DefaultParagraphFont"/>
    <w:link w:val="EndNoteBibliographyTitle"/>
    <w:rsid w:val="002742B0"/>
    <w:rPr>
      <w:rFonts w:ascii="Aptos" w:eastAsia="Times New Roman" w:hAnsi="Aptos" w:cs="Times New Roman"/>
      <w:kern w:val="0"/>
      <w:sz w:val="22"/>
      <w:lang w:val="en-GB" w:eastAsia="en-GB"/>
      <w14:ligatures w14:val="none"/>
    </w:rPr>
  </w:style>
  <w:style w:type="paragraph" w:customStyle="1" w:styleId="EndNoteBibliography">
    <w:name w:val="EndNote Bibliography"/>
    <w:basedOn w:val="Normal"/>
    <w:link w:val="EndNoteBibliographyChar"/>
    <w:rsid w:val="002742B0"/>
    <w:rPr>
      <w:rFonts w:ascii="Aptos" w:hAnsi="Aptos"/>
      <w:sz w:val="22"/>
      <w:lang w:val="en-GB"/>
    </w:rPr>
  </w:style>
  <w:style w:type="character" w:customStyle="1" w:styleId="EndNoteBibliographyChar">
    <w:name w:val="EndNote Bibliography Char"/>
    <w:basedOn w:val="DefaultParagraphFont"/>
    <w:link w:val="EndNoteBibliography"/>
    <w:rsid w:val="002742B0"/>
    <w:rPr>
      <w:rFonts w:ascii="Aptos" w:eastAsia="Times New Roman" w:hAnsi="Aptos" w:cs="Times New Roman"/>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1799</Words>
  <Characters>10258</Characters>
  <Application>Microsoft Office Word</Application>
  <DocSecurity>0</DocSecurity>
  <Lines>85</Lines>
  <Paragraphs>24</Paragraphs>
  <ScaleCrop>false</ScaleCrop>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Tuckey</dc:creator>
  <cp:keywords/>
  <dc:description/>
  <cp:lastModifiedBy>Natalie Tuckey</cp:lastModifiedBy>
  <cp:revision>1</cp:revision>
  <dcterms:created xsi:type="dcterms:W3CDTF">2025-10-02T22:20:00Z</dcterms:created>
  <dcterms:modified xsi:type="dcterms:W3CDTF">2025-10-02T22:21:00Z</dcterms:modified>
</cp:coreProperties>
</file>