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739DD" w14:textId="77777777" w:rsidR="00470A56" w:rsidRPr="00575BF6" w:rsidRDefault="00000000">
      <w:pPr>
        <w:pStyle w:val="Nadpis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BF6">
        <w:rPr>
          <w:rFonts w:ascii="Times New Roman" w:hAnsi="Times New Roman" w:cs="Times New Roman"/>
          <w:color w:val="000000" w:themeColor="text1"/>
          <w:sz w:val="24"/>
          <w:szCs w:val="24"/>
        </w:rPr>
        <w:t>Supplementary Table S1. Proposed Technological Extensions for Future DIGITECH-Oriented Research</w:t>
      </w: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1202"/>
        <w:gridCol w:w="1364"/>
        <w:gridCol w:w="1217"/>
        <w:gridCol w:w="1333"/>
        <w:gridCol w:w="3740"/>
      </w:tblGrid>
      <w:tr w:rsidR="00470A56" w:rsidRPr="00575BF6" w14:paraId="60CBD214" w14:textId="77777777" w:rsidTr="00575BF6">
        <w:tc>
          <w:tcPr>
            <w:tcW w:w="1728" w:type="dxa"/>
          </w:tcPr>
          <w:p w14:paraId="3863C0AE" w14:textId="77777777" w:rsidR="00470A56" w:rsidRPr="00575BF6" w:rsidRDefault="00000000" w:rsidP="00575B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Domain</w:t>
            </w:r>
          </w:p>
        </w:tc>
        <w:tc>
          <w:tcPr>
            <w:tcW w:w="1728" w:type="dxa"/>
          </w:tcPr>
          <w:p w14:paraId="65E3B48A" w14:textId="77777777" w:rsidR="00470A56" w:rsidRPr="00575BF6" w:rsidRDefault="00000000" w:rsidP="00575B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Recommended Technology</w:t>
            </w:r>
          </w:p>
        </w:tc>
        <w:tc>
          <w:tcPr>
            <w:tcW w:w="1728" w:type="dxa"/>
          </w:tcPr>
          <w:p w14:paraId="6B921076" w14:textId="77777777" w:rsidR="00470A56" w:rsidRPr="00575BF6" w:rsidRDefault="00000000" w:rsidP="00575B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 Data</w:t>
            </w:r>
          </w:p>
        </w:tc>
        <w:tc>
          <w:tcPr>
            <w:tcW w:w="1728" w:type="dxa"/>
          </w:tcPr>
          <w:p w14:paraId="5D8E6225" w14:textId="77777777" w:rsidR="00470A56" w:rsidRPr="00575BF6" w:rsidRDefault="00000000" w:rsidP="00575B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1728" w:type="dxa"/>
          </w:tcPr>
          <w:p w14:paraId="3A581935" w14:textId="77777777" w:rsidR="00470A56" w:rsidRPr="00575BF6" w:rsidRDefault="00000000" w:rsidP="00575B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Example Studies (APA 7)</w:t>
            </w:r>
          </w:p>
        </w:tc>
      </w:tr>
      <w:tr w:rsidR="00470A56" w:rsidRPr="00575BF6" w14:paraId="58685777" w14:textId="77777777" w:rsidTr="00575BF6">
        <w:tc>
          <w:tcPr>
            <w:tcW w:w="1728" w:type="dxa"/>
          </w:tcPr>
          <w:p w14:paraId="06474294" w14:textId="77777777" w:rsidR="00470A56" w:rsidRPr="00575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sz w:val="24"/>
                <w:szCs w:val="24"/>
              </w:rPr>
              <w:t>Motor Activity</w:t>
            </w:r>
          </w:p>
        </w:tc>
        <w:tc>
          <w:tcPr>
            <w:tcW w:w="1728" w:type="dxa"/>
          </w:tcPr>
          <w:p w14:paraId="76D1DE29" w14:textId="77777777" w:rsidR="00470A56" w:rsidRPr="00575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sz w:val="24"/>
                <w:szCs w:val="24"/>
              </w:rPr>
              <w:t>Wearable sensors (Fitbit, ActiGraph, Empatica)</w:t>
            </w:r>
          </w:p>
        </w:tc>
        <w:tc>
          <w:tcPr>
            <w:tcW w:w="1728" w:type="dxa"/>
          </w:tcPr>
          <w:p w14:paraId="6C44C626" w14:textId="77777777" w:rsidR="00470A56" w:rsidRPr="00575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sz w:val="24"/>
                <w:szCs w:val="24"/>
              </w:rPr>
              <w:t>Steps, sleep, heart rate, mobility</w:t>
            </w:r>
          </w:p>
        </w:tc>
        <w:tc>
          <w:tcPr>
            <w:tcW w:w="1728" w:type="dxa"/>
          </w:tcPr>
          <w:p w14:paraId="2572985E" w14:textId="77777777" w:rsidR="00470A56" w:rsidRPr="00575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sz w:val="24"/>
                <w:szCs w:val="24"/>
              </w:rPr>
              <w:t>Objective measurement of physical activity and daily rhythm</w:t>
            </w:r>
          </w:p>
        </w:tc>
        <w:tc>
          <w:tcPr>
            <w:tcW w:w="1728" w:type="dxa"/>
          </w:tcPr>
          <w:p w14:paraId="384C0BAA" w14:textId="77777777" w:rsidR="00470A56" w:rsidRPr="00575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sz w:val="24"/>
                <w:szCs w:val="24"/>
              </w:rPr>
              <w:t>Martin, C. L., et al. (2022). Using wearable sensors to measure goal achievement in older veterans with dementia. *Sensors, 22*(24), 9923. https://doi.org/10.3390/s22249923</w:t>
            </w:r>
            <w:r w:rsidRPr="00575B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5BF6">
              <w:rPr>
                <w:rFonts w:ascii="Times New Roman" w:hAnsi="Times New Roman" w:cs="Times New Roman"/>
                <w:sz w:val="24"/>
                <w:szCs w:val="24"/>
              </w:rPr>
              <w:br/>
              <w:t>Hülsmann, S., Kirschner, J., &amp; Kohler, F. (2023). Sensor-based assessment of mobility-related behavior in dementia: Feasibility and relevance in a hospital context. *International Psychogeriatrics, 35*(6), 567–579. https://doi.org/10.1017/S1041610223000130</w:t>
            </w:r>
          </w:p>
        </w:tc>
      </w:tr>
      <w:tr w:rsidR="00470A56" w:rsidRPr="00575BF6" w14:paraId="26E1334E" w14:textId="77777777" w:rsidTr="00575BF6">
        <w:tc>
          <w:tcPr>
            <w:tcW w:w="1728" w:type="dxa"/>
          </w:tcPr>
          <w:p w14:paraId="35F060D9" w14:textId="77777777" w:rsidR="00470A56" w:rsidRPr="00575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sz w:val="24"/>
                <w:szCs w:val="24"/>
              </w:rPr>
              <w:t>Cognitive Performance</w:t>
            </w:r>
          </w:p>
        </w:tc>
        <w:tc>
          <w:tcPr>
            <w:tcW w:w="1728" w:type="dxa"/>
          </w:tcPr>
          <w:p w14:paraId="61C03EE5" w14:textId="77777777" w:rsidR="00470A56" w:rsidRPr="00575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sz w:val="24"/>
                <w:szCs w:val="24"/>
              </w:rPr>
              <w:t>Tablet applications (Cognifit, NeuroNation, custom app)</w:t>
            </w:r>
          </w:p>
        </w:tc>
        <w:tc>
          <w:tcPr>
            <w:tcW w:w="1728" w:type="dxa"/>
          </w:tcPr>
          <w:p w14:paraId="2739BDC5" w14:textId="77777777" w:rsidR="00470A56" w:rsidRPr="00575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sz w:val="24"/>
                <w:szCs w:val="24"/>
              </w:rPr>
              <w:t>Memory and attention task scores, reaction times</w:t>
            </w:r>
          </w:p>
        </w:tc>
        <w:tc>
          <w:tcPr>
            <w:tcW w:w="1728" w:type="dxa"/>
          </w:tcPr>
          <w:p w14:paraId="6D31FB97" w14:textId="77777777" w:rsidR="00470A56" w:rsidRPr="00575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sz w:val="24"/>
                <w:szCs w:val="24"/>
              </w:rPr>
              <w:t>Sensitive detection of cognitive changes and training</w:t>
            </w:r>
          </w:p>
        </w:tc>
        <w:tc>
          <w:tcPr>
            <w:tcW w:w="1728" w:type="dxa"/>
          </w:tcPr>
          <w:p w14:paraId="318DC592" w14:textId="77777777" w:rsidR="00470A56" w:rsidRPr="00575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sz w:val="24"/>
                <w:szCs w:val="24"/>
              </w:rPr>
              <w:t>Larrabee, G. J., et al. (2021). Detecting Alzheimer’s disease biomarkers with a brief tablet-based cognitive battery. *Alzheimer’s Research &amp; Therapy, 13*(1), 165. https://doi.org/10.1186/s13195-021-00776-w</w:t>
            </w:r>
            <w:r w:rsidRPr="00575B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5BF6">
              <w:rPr>
                <w:rFonts w:ascii="Times New Roman" w:hAnsi="Times New Roman" w:cs="Times New Roman"/>
                <w:sz w:val="24"/>
                <w:szCs w:val="24"/>
              </w:rPr>
              <w:br/>
              <w:t>Tomlinson, S. E., Bae, S. H., &amp; Choi, Y. J. (2024). Tablet- and group-based multicomponent cognitive stimulation for older adults with mild cognitive impairment. *Clinical Gerontologist, 47*(2), 142–156. https://pubmed.ncbi.nlm.nih.gov/39983114</w:t>
            </w:r>
          </w:p>
        </w:tc>
      </w:tr>
      <w:tr w:rsidR="00470A56" w:rsidRPr="00575BF6" w14:paraId="0ACBEE6E" w14:textId="77777777" w:rsidTr="00575BF6">
        <w:tc>
          <w:tcPr>
            <w:tcW w:w="1728" w:type="dxa"/>
          </w:tcPr>
          <w:p w14:paraId="2879F2D5" w14:textId="77777777" w:rsidR="00470A56" w:rsidRPr="00575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sz w:val="24"/>
                <w:szCs w:val="24"/>
              </w:rPr>
              <w:t>Social Interaction</w:t>
            </w:r>
          </w:p>
        </w:tc>
        <w:tc>
          <w:tcPr>
            <w:tcW w:w="1728" w:type="dxa"/>
          </w:tcPr>
          <w:p w14:paraId="69659165" w14:textId="77777777" w:rsidR="00470A56" w:rsidRPr="00575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sz w:val="24"/>
                <w:szCs w:val="24"/>
              </w:rPr>
              <w:t>BLE tags, audio sensors, EMA applications</w:t>
            </w:r>
          </w:p>
        </w:tc>
        <w:tc>
          <w:tcPr>
            <w:tcW w:w="1728" w:type="dxa"/>
          </w:tcPr>
          <w:p w14:paraId="7887BC7C" w14:textId="77777777" w:rsidR="00470A56" w:rsidRPr="00575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sz w:val="24"/>
                <w:szCs w:val="24"/>
              </w:rPr>
              <w:t>Frequency and duration of social contacts</w:t>
            </w:r>
          </w:p>
        </w:tc>
        <w:tc>
          <w:tcPr>
            <w:tcW w:w="1728" w:type="dxa"/>
          </w:tcPr>
          <w:p w14:paraId="0A56D75D" w14:textId="77777777" w:rsidR="00470A56" w:rsidRPr="00575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sz w:val="24"/>
                <w:szCs w:val="24"/>
              </w:rPr>
              <w:t xml:space="preserve">Measurement of social adaptability and interaction </w:t>
            </w:r>
            <w:r w:rsidRPr="00575B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patterns</w:t>
            </w:r>
          </w:p>
        </w:tc>
        <w:tc>
          <w:tcPr>
            <w:tcW w:w="1728" w:type="dxa"/>
          </w:tcPr>
          <w:p w14:paraId="4090B711" w14:textId="77777777" w:rsidR="00470A56" w:rsidRPr="00575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Hoover, E. L., Neshyba, C. M., &amp; Smith, G. E. (2021). Daily social interactions related to daily performance on mobile cognitive tests among older adults. *The Journals of Gerontology Series B, </w:t>
            </w:r>
            <w:r w:rsidRPr="00575B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76*(9), 1723–1732. https://doi.org/10.1093/geronb/gbab071</w:t>
            </w:r>
          </w:p>
        </w:tc>
      </w:tr>
      <w:tr w:rsidR="00470A56" w:rsidRPr="00575BF6" w14:paraId="07259D4A" w14:textId="77777777" w:rsidTr="00575BF6">
        <w:tc>
          <w:tcPr>
            <w:tcW w:w="1728" w:type="dxa"/>
          </w:tcPr>
          <w:p w14:paraId="4C86B0FA" w14:textId="77777777" w:rsidR="00470A56" w:rsidRPr="00575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Therapeutic Data</w:t>
            </w:r>
          </w:p>
        </w:tc>
        <w:tc>
          <w:tcPr>
            <w:tcW w:w="1728" w:type="dxa"/>
          </w:tcPr>
          <w:p w14:paraId="66403771" w14:textId="77777777" w:rsidR="00470A56" w:rsidRPr="00575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sz w:val="24"/>
                <w:szCs w:val="24"/>
              </w:rPr>
              <w:t>Electronic diary (REDCap, Qualtrics, Google Forms)</w:t>
            </w:r>
          </w:p>
        </w:tc>
        <w:tc>
          <w:tcPr>
            <w:tcW w:w="1728" w:type="dxa"/>
          </w:tcPr>
          <w:p w14:paraId="489BD4F9" w14:textId="77777777" w:rsidR="00470A56" w:rsidRPr="00575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sz w:val="24"/>
                <w:szCs w:val="24"/>
              </w:rPr>
              <w:t>Subjective observations, adherence, mood</w:t>
            </w:r>
          </w:p>
        </w:tc>
        <w:tc>
          <w:tcPr>
            <w:tcW w:w="1728" w:type="dxa"/>
          </w:tcPr>
          <w:p w14:paraId="1D463604" w14:textId="77777777" w:rsidR="00470A56" w:rsidRPr="00575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sz w:val="24"/>
                <w:szCs w:val="24"/>
              </w:rPr>
              <w:t>Documentation of therapy quality and protocol consistency</w:t>
            </w:r>
          </w:p>
        </w:tc>
        <w:tc>
          <w:tcPr>
            <w:tcW w:w="1728" w:type="dxa"/>
          </w:tcPr>
          <w:p w14:paraId="2992FDF6" w14:textId="77777777" w:rsidR="00470A56" w:rsidRPr="00575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sz w:val="24"/>
                <w:szCs w:val="24"/>
              </w:rPr>
              <w:t>Handerg, C., Mygind, O., &amp; Johansen, J. S. (2019). Lessons learnt on involvement and co‑creation in community‑based rehabilitation. *Disability and Rehabilitation, 44*(15), 3052–3060. https://doi.org/10.1080/09638288.2020.1717662</w:t>
            </w:r>
          </w:p>
        </w:tc>
      </w:tr>
      <w:tr w:rsidR="00470A56" w:rsidRPr="00575BF6" w14:paraId="1650E14B" w14:textId="77777777" w:rsidTr="00575BF6">
        <w:tc>
          <w:tcPr>
            <w:tcW w:w="1728" w:type="dxa"/>
          </w:tcPr>
          <w:p w14:paraId="490FC7F8" w14:textId="77777777" w:rsidR="00470A56" w:rsidRPr="00575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sz w:val="24"/>
                <w:szCs w:val="24"/>
              </w:rPr>
              <w:t>Database Infrastructure</w:t>
            </w:r>
          </w:p>
        </w:tc>
        <w:tc>
          <w:tcPr>
            <w:tcW w:w="1728" w:type="dxa"/>
          </w:tcPr>
          <w:p w14:paraId="7D7755BF" w14:textId="77777777" w:rsidR="00470A56" w:rsidRPr="00575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sz w:val="24"/>
                <w:szCs w:val="24"/>
              </w:rPr>
              <w:t>REDCap, Castor EDC, OpenClinica</w:t>
            </w:r>
          </w:p>
        </w:tc>
        <w:tc>
          <w:tcPr>
            <w:tcW w:w="1728" w:type="dxa"/>
          </w:tcPr>
          <w:p w14:paraId="66218CBA" w14:textId="77777777" w:rsidR="00470A56" w:rsidRPr="00575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sz w:val="24"/>
                <w:szCs w:val="24"/>
              </w:rPr>
              <w:t>Clinical, sensor-based, and questionnaire data</w:t>
            </w:r>
          </w:p>
        </w:tc>
        <w:tc>
          <w:tcPr>
            <w:tcW w:w="1728" w:type="dxa"/>
          </w:tcPr>
          <w:p w14:paraId="30209DA7" w14:textId="77777777" w:rsidR="00470A56" w:rsidRPr="00575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sz w:val="24"/>
                <w:szCs w:val="24"/>
              </w:rPr>
              <w:t>Centralization and secure storage of data</w:t>
            </w:r>
          </w:p>
        </w:tc>
        <w:tc>
          <w:tcPr>
            <w:tcW w:w="1728" w:type="dxa"/>
          </w:tcPr>
          <w:p w14:paraId="6E4CE097" w14:textId="77777777" w:rsidR="00470A56" w:rsidRPr="00575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sz w:val="24"/>
                <w:szCs w:val="24"/>
              </w:rPr>
              <w:t>Harris, P. A., et al. (2019). The REDCap consortium: Building an international community of software partners. *Journal of Biomedical Informatics, 95*, 103208. https://doi.org/10.1016/j.jbi.2019.103208</w:t>
            </w:r>
          </w:p>
        </w:tc>
      </w:tr>
      <w:tr w:rsidR="00470A56" w:rsidRPr="00575BF6" w14:paraId="196B5421" w14:textId="77777777" w:rsidTr="00575BF6">
        <w:tc>
          <w:tcPr>
            <w:tcW w:w="1728" w:type="dxa"/>
          </w:tcPr>
          <w:p w14:paraId="37DFA508" w14:textId="77777777" w:rsidR="00470A56" w:rsidRPr="00575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sz w:val="24"/>
                <w:szCs w:val="24"/>
              </w:rPr>
              <w:t>Virtual Reality (VR)</w:t>
            </w:r>
          </w:p>
        </w:tc>
        <w:tc>
          <w:tcPr>
            <w:tcW w:w="1728" w:type="dxa"/>
          </w:tcPr>
          <w:p w14:paraId="19CAF2E2" w14:textId="77777777" w:rsidR="00470A56" w:rsidRPr="00575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sz w:val="24"/>
                <w:szCs w:val="24"/>
              </w:rPr>
              <w:t>VR headsets (Oculus Quest, HTC Vive) with 360° video or interactive tasks</w:t>
            </w:r>
          </w:p>
        </w:tc>
        <w:tc>
          <w:tcPr>
            <w:tcW w:w="1728" w:type="dxa"/>
          </w:tcPr>
          <w:p w14:paraId="19D48CD0" w14:textId="77777777" w:rsidR="00470A56" w:rsidRPr="00575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sz w:val="24"/>
                <w:szCs w:val="24"/>
              </w:rPr>
              <w:t>Cognitive stimulation, reminiscence, emotional state</w:t>
            </w:r>
          </w:p>
        </w:tc>
        <w:tc>
          <w:tcPr>
            <w:tcW w:w="1728" w:type="dxa"/>
          </w:tcPr>
          <w:p w14:paraId="0A2AD0B2" w14:textId="77777777" w:rsidR="00470A56" w:rsidRPr="00575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sz w:val="24"/>
                <w:szCs w:val="24"/>
              </w:rPr>
              <w:t>Multisensory stimulation; reduction of apathy and BPSD</w:t>
            </w:r>
          </w:p>
        </w:tc>
        <w:tc>
          <w:tcPr>
            <w:tcW w:w="1728" w:type="dxa"/>
          </w:tcPr>
          <w:p w14:paraId="2794FAEE" w14:textId="77777777" w:rsidR="00470A56" w:rsidRPr="00575BF6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BF6">
              <w:rPr>
                <w:rFonts w:ascii="Times New Roman" w:hAnsi="Times New Roman" w:cs="Times New Roman"/>
                <w:sz w:val="24"/>
                <w:szCs w:val="24"/>
              </w:rPr>
              <w:t>Manera, V., et al. (2020). Promoting reminiscences with VR headsets: A pilot study. *International Journal of Environmental Research and Public Health, 17*(24), 9301. https://doi.org/10.3390/ijerph17249301</w:t>
            </w:r>
            <w:r w:rsidRPr="00575B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5BF6">
              <w:rPr>
                <w:rFonts w:ascii="Times New Roman" w:hAnsi="Times New Roman" w:cs="Times New Roman"/>
                <w:sz w:val="24"/>
                <w:szCs w:val="24"/>
              </w:rPr>
              <w:br/>
              <w:t>Appalachian, G., et al. (2024). Impact of VR on behavioral and psychological symptoms of dementia. *JMIR Serious Games, 12*, e54724. https://doi.org/10.2196/54724</w:t>
            </w:r>
            <w:r w:rsidRPr="00575B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5BF6">
              <w:rPr>
                <w:rFonts w:ascii="Times New Roman" w:hAnsi="Times New Roman" w:cs="Times New Roman"/>
                <w:sz w:val="24"/>
                <w:szCs w:val="24"/>
              </w:rPr>
              <w:br/>
              <w:t>Serrano, J., et al. (2021). VR‑based cognitive stimulation for people with dementia. *International Journal of Environmental Research and Public Health, 18*(10), 5290. https://doi.org/10.3390/ijerph18105290</w:t>
            </w:r>
          </w:p>
        </w:tc>
      </w:tr>
    </w:tbl>
    <w:p w14:paraId="45873D65" w14:textId="77777777" w:rsidR="007522BF" w:rsidRPr="00575BF6" w:rsidRDefault="007522BF">
      <w:pPr>
        <w:rPr>
          <w:rFonts w:ascii="Times New Roman" w:hAnsi="Times New Roman" w:cs="Times New Roman"/>
          <w:sz w:val="24"/>
          <w:szCs w:val="24"/>
        </w:rPr>
      </w:pPr>
    </w:p>
    <w:sectPr w:rsidR="007522BF" w:rsidRPr="00575B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925869">
    <w:abstractNumId w:val="8"/>
  </w:num>
  <w:num w:numId="2" w16cid:durableId="860824471">
    <w:abstractNumId w:val="6"/>
  </w:num>
  <w:num w:numId="3" w16cid:durableId="1784106802">
    <w:abstractNumId w:val="5"/>
  </w:num>
  <w:num w:numId="4" w16cid:durableId="548956142">
    <w:abstractNumId w:val="4"/>
  </w:num>
  <w:num w:numId="5" w16cid:durableId="2065830490">
    <w:abstractNumId w:val="7"/>
  </w:num>
  <w:num w:numId="6" w16cid:durableId="475681968">
    <w:abstractNumId w:val="3"/>
  </w:num>
  <w:num w:numId="7" w16cid:durableId="2111776507">
    <w:abstractNumId w:val="2"/>
  </w:num>
  <w:num w:numId="8" w16cid:durableId="23215145">
    <w:abstractNumId w:val="1"/>
  </w:num>
  <w:num w:numId="9" w16cid:durableId="1827891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0A56"/>
    <w:rsid w:val="00575BF6"/>
    <w:rsid w:val="007522BF"/>
    <w:rsid w:val="00AA1D8D"/>
    <w:rsid w:val="00B25B2C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EB1E0"/>
  <w14:defaultImageDpi w14:val="300"/>
  <w15:docId w15:val="{A2DE1650-2EF1-A043-8F80-5174E1DF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vtlmkatabulky">
    <w:name w:val="Grid Table Light"/>
    <w:basedOn w:val="Normlntabulka"/>
    <w:uiPriority w:val="99"/>
    <w:rsid w:val="00575B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484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michal.vostry</cp:lastModifiedBy>
  <cp:revision>2</cp:revision>
  <dcterms:created xsi:type="dcterms:W3CDTF">2013-12-23T23:15:00Z</dcterms:created>
  <dcterms:modified xsi:type="dcterms:W3CDTF">2025-11-17T11:46:00Z</dcterms:modified>
  <cp:category/>
</cp:coreProperties>
</file>