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DC6D" w14:textId="77777777" w:rsidR="003D108C" w:rsidRDefault="003D108C" w:rsidP="002675AF">
      <w:pPr>
        <w:spacing w:after="0"/>
        <w:jc w:val="center"/>
      </w:pPr>
    </w:p>
    <w:p w14:paraId="27C6397C" w14:textId="77777777" w:rsidR="00CB76E7" w:rsidRDefault="00CB76E7" w:rsidP="00790794">
      <w:pPr>
        <w:spacing w:after="0"/>
        <w:rPr>
          <w:rFonts w:ascii="Arial" w:hAnsi="Arial" w:cs="Times"/>
          <w:b/>
          <w:sz w:val="28"/>
          <w:szCs w:val="20"/>
        </w:rPr>
      </w:pPr>
    </w:p>
    <w:p w14:paraId="7A98157F" w14:textId="77777777" w:rsidR="00CB76E7" w:rsidRDefault="00CB76E7" w:rsidP="00790794">
      <w:pPr>
        <w:spacing w:after="0"/>
        <w:rPr>
          <w:rFonts w:ascii="Arial" w:hAnsi="Arial" w:cs="Times"/>
          <w:b/>
          <w:sz w:val="28"/>
          <w:szCs w:val="20"/>
        </w:rPr>
      </w:pPr>
    </w:p>
    <w:p w14:paraId="377DA5F8" w14:textId="77777777" w:rsidR="009D0195" w:rsidRPr="00E13E47" w:rsidRDefault="00F86160" w:rsidP="00790794">
      <w:pPr>
        <w:spacing w:after="0"/>
        <w:rPr>
          <w:rFonts w:ascii="Arial" w:hAnsi="Arial" w:cs="Times"/>
          <w:b/>
          <w:sz w:val="28"/>
          <w:szCs w:val="20"/>
        </w:rPr>
      </w:pPr>
      <w:r>
        <w:rPr>
          <w:rFonts w:ascii="Arial" w:hAnsi="Arial" w:cs="Times"/>
          <w:b/>
          <w:sz w:val="28"/>
          <w:szCs w:val="20"/>
        </w:rPr>
        <w:t>Standards for Reporting Qualitative Research (SRQR)</w:t>
      </w:r>
    </w:p>
    <w:p w14:paraId="6A54E63F" w14:textId="77777777" w:rsidR="00CB76E7" w:rsidRPr="00A26F20" w:rsidRDefault="00CB76E7" w:rsidP="00790794">
      <w:pPr>
        <w:spacing w:after="0"/>
        <w:rPr>
          <w:rFonts w:ascii="Arial" w:hAnsi="Arial" w:cs="Times"/>
          <w:sz w:val="22"/>
          <w:szCs w:val="20"/>
        </w:rPr>
      </w:pPr>
    </w:p>
    <w:p w14:paraId="5611DFD8" w14:textId="77777777" w:rsidR="00790794" w:rsidRDefault="00F86160" w:rsidP="00790794">
      <w:pPr>
        <w:spacing w:after="0"/>
        <w:rPr>
          <w:rFonts w:ascii="Arial" w:hAnsi="Arial" w:cs="Times"/>
          <w:sz w:val="20"/>
          <w:szCs w:val="20"/>
        </w:rPr>
      </w:pPr>
      <w:r w:rsidRPr="00F86160">
        <w:rPr>
          <w:rFonts w:ascii="Arial" w:hAnsi="Arial" w:cs="Times"/>
          <w:sz w:val="20"/>
          <w:szCs w:val="20"/>
        </w:rPr>
        <w:t>O’Brien B.C., Harris, I.B., Beckman, T.J., Reed, D.A., &amp; Cook, D.A. (</w:t>
      </w:r>
      <w:r>
        <w:rPr>
          <w:rFonts w:ascii="Arial" w:hAnsi="Arial" w:cs="Times"/>
          <w:sz w:val="20"/>
          <w:szCs w:val="20"/>
        </w:rPr>
        <w:t xml:space="preserve">2014). Standards for reporting qualitative research: a synthesis of recommendations. </w:t>
      </w:r>
      <w:r>
        <w:rPr>
          <w:rFonts w:ascii="Arial" w:hAnsi="Arial" w:cs="Times"/>
          <w:i/>
          <w:sz w:val="20"/>
          <w:szCs w:val="20"/>
        </w:rPr>
        <w:t>Academic Medicine, 89(9)</w:t>
      </w:r>
      <w:r>
        <w:rPr>
          <w:rFonts w:ascii="Arial" w:hAnsi="Arial" w:cs="Times"/>
          <w:sz w:val="20"/>
          <w:szCs w:val="20"/>
        </w:rPr>
        <w:t>, 1245-1251.</w:t>
      </w:r>
    </w:p>
    <w:p w14:paraId="06C53CF6" w14:textId="77777777" w:rsidR="00CB76E7" w:rsidRDefault="00CB76E7" w:rsidP="00790794">
      <w:pPr>
        <w:spacing w:after="0"/>
        <w:rPr>
          <w:rFonts w:ascii="Arial" w:hAnsi="Arial" w:cs="Times"/>
          <w:sz w:val="20"/>
          <w:szCs w:val="20"/>
        </w:rPr>
      </w:pPr>
    </w:p>
    <w:p w14:paraId="57C05486" w14:textId="77777777" w:rsidR="00790794" w:rsidRDefault="00790794" w:rsidP="00790794">
      <w:pPr>
        <w:spacing w:after="0"/>
        <w:rPr>
          <w:rFonts w:ascii="Arial" w:hAnsi="Arial"/>
          <w:sz w:val="22"/>
        </w:rPr>
      </w:pPr>
    </w:p>
    <w:tbl>
      <w:tblPr>
        <w:tblW w:w="10890" w:type="dxa"/>
        <w:tblInd w:w="-1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4014"/>
        <w:gridCol w:w="6876"/>
      </w:tblGrid>
      <w:tr w:rsidR="007C05CA" w:rsidRPr="0091109C" w14:paraId="10FDA129" w14:textId="77777777" w:rsidTr="007C05CA">
        <w:tc>
          <w:tcPr>
            <w:tcW w:w="4014" w:type="dxa"/>
            <w:shd w:val="clear" w:color="auto" w:fill="C0C0C0"/>
          </w:tcPr>
          <w:p w14:paraId="08778A80" w14:textId="77777777" w:rsidR="007C05CA" w:rsidRPr="0091109C" w:rsidRDefault="005F2B9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No.    Topic</w:t>
            </w:r>
            <w:r w:rsidR="007C05CA" w:rsidRPr="0091109C">
              <w:rPr>
                <w:rFonts w:ascii="Arial" w:hAnsi="Arial" w:cs="Times"/>
                <w:b/>
                <w:sz w:val="22"/>
                <w:szCs w:val="20"/>
              </w:rPr>
              <w:t xml:space="preserve"> </w:t>
            </w:r>
          </w:p>
          <w:p w14:paraId="6D09009A" w14:textId="77777777" w:rsidR="007C05CA" w:rsidRPr="0091109C" w:rsidRDefault="007C05CA" w:rsidP="00790794">
            <w:pPr>
              <w:spacing w:after="0"/>
              <w:rPr>
                <w:rFonts w:ascii="Arial" w:eastAsia="Calibri" w:hAnsi="Arial"/>
                <w:b/>
                <w:sz w:val="22"/>
              </w:rPr>
            </w:pPr>
          </w:p>
        </w:tc>
        <w:tc>
          <w:tcPr>
            <w:tcW w:w="6876" w:type="dxa"/>
            <w:shd w:val="clear" w:color="auto" w:fill="C0C0C0"/>
          </w:tcPr>
          <w:p w14:paraId="0D690551" w14:textId="77777777" w:rsidR="007C05CA" w:rsidRPr="0091109C" w:rsidRDefault="005F2B95" w:rsidP="00790794">
            <w:pPr>
              <w:spacing w:after="0"/>
              <w:rPr>
                <w:rFonts w:ascii="Arial" w:eastAsia="Calibri" w:hAnsi="Arial"/>
                <w:b/>
                <w:sz w:val="22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Item</w:t>
            </w:r>
          </w:p>
        </w:tc>
      </w:tr>
      <w:tr w:rsidR="007C05CA" w:rsidRPr="0091109C" w14:paraId="1FD5CE0B" w14:textId="77777777" w:rsidTr="007C05CA">
        <w:tc>
          <w:tcPr>
            <w:tcW w:w="4014" w:type="dxa"/>
          </w:tcPr>
          <w:p w14:paraId="6D1C663A" w14:textId="77777777" w:rsidR="00CB76E7" w:rsidRDefault="00CB76E7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  <w:p w14:paraId="758AB215" w14:textId="77777777" w:rsidR="00CB76E7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Title and abstract</w:t>
            </w:r>
          </w:p>
          <w:p w14:paraId="64DEC8F0" w14:textId="77777777" w:rsidR="00CB76E7" w:rsidRPr="00CB76E7" w:rsidRDefault="00CB76E7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</w:tc>
        <w:tc>
          <w:tcPr>
            <w:tcW w:w="6876" w:type="dxa"/>
          </w:tcPr>
          <w:p w14:paraId="51CF7C06" w14:textId="77777777" w:rsidR="007C05CA" w:rsidRPr="0091109C" w:rsidRDefault="007C05CA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</w:tc>
      </w:tr>
      <w:tr w:rsidR="007C05CA" w:rsidRPr="0091109C" w14:paraId="39E9952C" w14:textId="77777777" w:rsidTr="007C05CA">
        <w:tc>
          <w:tcPr>
            <w:tcW w:w="4014" w:type="dxa"/>
          </w:tcPr>
          <w:p w14:paraId="684E49FF" w14:textId="77777777" w:rsidR="007C05CA" w:rsidRPr="007C05CA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S1     Title</w:t>
            </w:r>
          </w:p>
        </w:tc>
        <w:tc>
          <w:tcPr>
            <w:tcW w:w="6876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A37C5" w:rsidRPr="00CA37C5" w14:paraId="641713DA" w14:textId="77777777" w:rsidTr="00CA37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D56C02B" w14:textId="77777777" w:rsidR="00CA37C5" w:rsidRPr="00CA37C5" w:rsidRDefault="00CA37C5" w:rsidP="00CA37C5">
                  <w:pPr>
                    <w:spacing w:after="0"/>
                    <w:rPr>
                      <w:rFonts w:ascii="Arial" w:eastAsia="Calibri" w:hAnsi="Arial"/>
                      <w:sz w:val="22"/>
                      <w:lang w:val="en-GB"/>
                    </w:rPr>
                  </w:pPr>
                </w:p>
              </w:tc>
            </w:tr>
          </w:tbl>
          <w:p w14:paraId="6461710D" w14:textId="77777777" w:rsidR="00CA37C5" w:rsidRPr="00CA37C5" w:rsidRDefault="00CA37C5" w:rsidP="00CA37C5">
            <w:pPr>
              <w:spacing w:after="0"/>
              <w:rPr>
                <w:rFonts w:ascii="Arial" w:eastAsia="Calibri" w:hAnsi="Arial"/>
                <w:vanish/>
                <w:sz w:val="22"/>
                <w:lang w:val="en-GB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60"/>
            </w:tblGrid>
            <w:tr w:rsidR="00CA37C5" w:rsidRPr="00CA37C5" w14:paraId="3739BB9E" w14:textId="77777777" w:rsidTr="00CA37C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3AFE48" w14:textId="40B95DC7" w:rsidR="00CA37C5" w:rsidRPr="00CA37C5" w:rsidRDefault="00CA37C5" w:rsidP="00CA37C5">
                  <w:pPr>
                    <w:spacing w:after="0"/>
                    <w:rPr>
                      <w:rFonts w:ascii="Arial" w:eastAsia="Calibri" w:hAnsi="Arial"/>
                      <w:sz w:val="22"/>
                      <w:lang w:val="en-GB"/>
                    </w:rPr>
                  </w:pPr>
                  <w:r w:rsidRPr="00CA37C5">
                    <w:rPr>
                      <w:rFonts w:ascii="Arial" w:eastAsia="Calibri" w:hAnsi="Arial"/>
                      <w:sz w:val="22"/>
                      <w:lang w:val="en-GB"/>
                    </w:rPr>
                    <w:t xml:space="preserve">The title clearly identifies the study topic and design </w:t>
                  </w:r>
                  <w:r>
                    <w:rPr>
                      <w:rFonts w:ascii="Arial" w:eastAsia="Calibri" w:hAnsi="Arial"/>
                      <w:sz w:val="22"/>
                      <w:lang w:val="en-GB"/>
                    </w:rPr>
                    <w:t>“</w:t>
                  </w:r>
                  <w:r w:rsidRPr="00CA37C5">
                    <w:rPr>
                      <w:rFonts w:ascii="Arial" w:eastAsia="Calibri" w:hAnsi="Arial"/>
                      <w:sz w:val="22"/>
                      <w:lang w:val="en-GB"/>
                    </w:rPr>
                    <w:t xml:space="preserve">a </w:t>
                  </w:r>
                  <w:r w:rsidRPr="00CA37C5">
                    <w:rPr>
                      <w:rFonts w:ascii="Arial" w:eastAsia="Calibri" w:hAnsi="Arial"/>
                      <w:i/>
                      <w:iCs/>
                      <w:sz w:val="22"/>
                      <w:lang w:val="en-GB"/>
                    </w:rPr>
                    <w:t>qualitative interview study</w:t>
                  </w:r>
                  <w:r>
                    <w:rPr>
                      <w:rFonts w:ascii="Arial" w:eastAsia="Calibri" w:hAnsi="Arial"/>
                      <w:i/>
                      <w:iCs/>
                      <w:sz w:val="22"/>
                      <w:lang w:val="en-GB"/>
                    </w:rPr>
                    <w:t>”</w:t>
                  </w:r>
                  <w:r w:rsidRPr="00CA37C5">
                    <w:rPr>
                      <w:rFonts w:ascii="Arial" w:eastAsia="Calibri" w:hAnsi="Arial"/>
                      <w:sz w:val="22"/>
                      <w:lang w:val="en-GB"/>
                    </w:rPr>
                    <w:t xml:space="preserve"> and specifies the focus: </w:t>
                  </w:r>
                  <w:r w:rsidRPr="00CA37C5">
                    <w:rPr>
                      <w:rFonts w:ascii="Arial" w:eastAsia="Calibri" w:hAnsi="Arial"/>
                      <w:i/>
                      <w:iCs/>
                      <w:sz w:val="22"/>
                      <w:lang w:val="en-GB"/>
                    </w:rPr>
                    <w:t>impact of the harmonised education tariff on undergraduate GP teaching</w:t>
                  </w:r>
                  <w:r w:rsidRPr="00CA37C5">
                    <w:rPr>
                      <w:rFonts w:ascii="Arial" w:eastAsia="Calibri" w:hAnsi="Arial"/>
                      <w:sz w:val="22"/>
                      <w:lang w:val="en-GB"/>
                    </w:rPr>
                    <w:t>.</w:t>
                  </w:r>
                </w:p>
              </w:tc>
            </w:tr>
          </w:tbl>
          <w:p w14:paraId="1E7998DA" w14:textId="7D450ED3" w:rsidR="007C05CA" w:rsidRPr="0091109C" w:rsidRDefault="007C05CA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</w:tc>
      </w:tr>
      <w:tr w:rsidR="007C05CA" w:rsidRPr="0091109C" w14:paraId="734148E7" w14:textId="77777777" w:rsidTr="007C05CA">
        <w:tc>
          <w:tcPr>
            <w:tcW w:w="4014" w:type="dxa"/>
          </w:tcPr>
          <w:p w14:paraId="510C98BE" w14:textId="77777777" w:rsidR="007C05CA" w:rsidRPr="0091109C" w:rsidRDefault="00902C08" w:rsidP="00902C08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S2     Abstract</w:t>
            </w:r>
          </w:p>
        </w:tc>
        <w:tc>
          <w:tcPr>
            <w:tcW w:w="6876" w:type="dxa"/>
          </w:tcPr>
          <w:p w14:paraId="6B4C901B" w14:textId="56A8AA2C" w:rsidR="007C05CA" w:rsidRPr="00991380" w:rsidRDefault="00CA37C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CA37C5">
              <w:rPr>
                <w:rFonts w:ascii="Arial" w:hAnsi="Arial" w:cs="Times"/>
                <w:sz w:val="22"/>
                <w:szCs w:val="20"/>
              </w:rPr>
              <w:t xml:space="preserve">Structured abstract following BJGP format, </w:t>
            </w:r>
            <w:proofErr w:type="spellStart"/>
            <w:r w:rsidRPr="00CA37C5">
              <w:rPr>
                <w:rFonts w:ascii="Arial" w:hAnsi="Arial" w:cs="Times"/>
                <w:sz w:val="22"/>
                <w:szCs w:val="20"/>
              </w:rPr>
              <w:t>summarising</w:t>
            </w:r>
            <w:proofErr w:type="spellEnd"/>
            <w:r w:rsidRPr="00CA37C5">
              <w:rPr>
                <w:rFonts w:ascii="Arial" w:hAnsi="Arial" w:cs="Times"/>
                <w:sz w:val="22"/>
                <w:szCs w:val="20"/>
              </w:rPr>
              <w:t xml:space="preserve"> objective, design, setting, participants, methods, results (six themes), and conclusion on the tariff’s </w:t>
            </w:r>
            <w:proofErr w:type="spellStart"/>
            <w:r w:rsidRPr="00CA37C5">
              <w:rPr>
                <w:rFonts w:ascii="Arial" w:hAnsi="Arial" w:cs="Times"/>
                <w:sz w:val="22"/>
                <w:szCs w:val="20"/>
              </w:rPr>
              <w:t>organisational</w:t>
            </w:r>
            <w:proofErr w:type="spellEnd"/>
            <w:r w:rsidRPr="00CA37C5">
              <w:rPr>
                <w:rFonts w:ascii="Arial" w:hAnsi="Arial" w:cs="Times"/>
                <w:sz w:val="22"/>
                <w:szCs w:val="20"/>
              </w:rPr>
              <w:t xml:space="preserve"> and educational impact.</w:t>
            </w:r>
          </w:p>
        </w:tc>
      </w:tr>
      <w:tr w:rsidR="007C05CA" w:rsidRPr="0091109C" w14:paraId="42EFC295" w14:textId="77777777" w:rsidTr="007C05CA">
        <w:tc>
          <w:tcPr>
            <w:tcW w:w="4014" w:type="dxa"/>
          </w:tcPr>
          <w:p w14:paraId="2A96B1BE" w14:textId="77777777" w:rsidR="00CB76E7" w:rsidRDefault="00CB76E7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  <w:p w14:paraId="722D882F" w14:textId="77777777" w:rsidR="00CB76E7" w:rsidRDefault="00E32AD8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Introduction</w:t>
            </w:r>
          </w:p>
          <w:p w14:paraId="57CE5BD3" w14:textId="77777777" w:rsidR="00CB76E7" w:rsidRPr="00CB76E7" w:rsidRDefault="00CB76E7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</w:tc>
        <w:tc>
          <w:tcPr>
            <w:tcW w:w="6876" w:type="dxa"/>
          </w:tcPr>
          <w:p w14:paraId="22A58519" w14:textId="77777777" w:rsidR="007C05CA" w:rsidRPr="00150B92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2DA0B2C3" w14:textId="77777777" w:rsidTr="007C05CA">
        <w:tc>
          <w:tcPr>
            <w:tcW w:w="4014" w:type="dxa"/>
          </w:tcPr>
          <w:p w14:paraId="0308B84E" w14:textId="77777777" w:rsidR="007C05CA" w:rsidRPr="0091109C" w:rsidRDefault="00E32AD8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S3     Problem formulation</w:t>
            </w:r>
          </w:p>
        </w:tc>
        <w:tc>
          <w:tcPr>
            <w:tcW w:w="6876" w:type="dxa"/>
          </w:tcPr>
          <w:p w14:paraId="64DA7ECE" w14:textId="77777777" w:rsidR="00450735" w:rsidRDefault="0045073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</w:p>
          <w:p w14:paraId="09010B87" w14:textId="0823EA27" w:rsidR="007C05CA" w:rsidRDefault="0045073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  <w:r w:rsidRPr="00450735">
              <w:rPr>
                <w:rFonts w:ascii="Arial" w:hAnsi="Arial" w:cs="Times"/>
                <w:sz w:val="22"/>
                <w:szCs w:val="20"/>
              </w:rPr>
              <w:t xml:space="preserve">Situates the problem in the long-standing funding inequity between primary and secondary care placements, referencing SIFT and its limitations. </w:t>
            </w:r>
            <w:proofErr w:type="spellStart"/>
            <w:r w:rsidRPr="00450735">
              <w:rPr>
                <w:rFonts w:ascii="Arial" w:hAnsi="Arial" w:cs="Times"/>
                <w:sz w:val="22"/>
                <w:szCs w:val="20"/>
              </w:rPr>
              <w:t>Synthesises</w:t>
            </w:r>
            <w:proofErr w:type="spellEnd"/>
            <w:r w:rsidRPr="00450735">
              <w:rPr>
                <w:rFonts w:ascii="Arial" w:hAnsi="Arial" w:cs="Times"/>
                <w:sz w:val="22"/>
                <w:szCs w:val="20"/>
              </w:rPr>
              <w:t xml:space="preserve"> policy history, the Wass Report, and existing evidence gaps. Establishes significance: underfunding threatens GP exposure and recruitment.</w:t>
            </w:r>
          </w:p>
          <w:p w14:paraId="00934A94" w14:textId="3BE2DB3A" w:rsidR="00450735" w:rsidRPr="00150B92" w:rsidRDefault="0045073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07315EE6" w14:textId="77777777" w:rsidTr="007C05CA">
        <w:tc>
          <w:tcPr>
            <w:tcW w:w="4014" w:type="dxa"/>
          </w:tcPr>
          <w:p w14:paraId="08F6A6A6" w14:textId="77777777" w:rsidR="007C05CA" w:rsidRPr="0091109C" w:rsidRDefault="00E32AD8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S4     Purpose or research question</w:t>
            </w:r>
          </w:p>
        </w:tc>
        <w:tc>
          <w:tcPr>
            <w:tcW w:w="6876" w:type="dxa"/>
          </w:tcPr>
          <w:p w14:paraId="1ABA7FFD" w14:textId="77777777" w:rsidR="00450735" w:rsidRDefault="0045073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</w:p>
          <w:p w14:paraId="7E979C71" w14:textId="195987C6" w:rsidR="007C05CA" w:rsidRDefault="0045073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  <w:r w:rsidRPr="00450735">
              <w:rPr>
                <w:rFonts w:ascii="Arial" w:hAnsi="Arial" w:cs="Times"/>
                <w:sz w:val="22"/>
                <w:szCs w:val="20"/>
              </w:rPr>
              <w:t xml:space="preserve">To examine how the </w:t>
            </w:r>
            <w:proofErr w:type="spellStart"/>
            <w:r w:rsidRPr="00450735">
              <w:rPr>
                <w:rFonts w:ascii="Arial" w:hAnsi="Arial" w:cs="Times"/>
                <w:sz w:val="22"/>
                <w:szCs w:val="20"/>
              </w:rPr>
              <w:t>harmonised</w:t>
            </w:r>
            <w:proofErr w:type="spellEnd"/>
            <w:r w:rsidRPr="00450735">
              <w:rPr>
                <w:rFonts w:ascii="Arial" w:hAnsi="Arial" w:cs="Times"/>
                <w:sz w:val="22"/>
                <w:szCs w:val="20"/>
              </w:rPr>
              <w:t xml:space="preserve"> undergraduate tariff has impacted the coordination, delivery, and sustainability of undergraduate GP teaching across England.</w:t>
            </w:r>
          </w:p>
          <w:p w14:paraId="7963DD65" w14:textId="1B49F062" w:rsidR="00450735" w:rsidRPr="00150B92" w:rsidRDefault="0045073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3E01176D" w14:textId="77777777" w:rsidTr="007C05CA">
        <w:tc>
          <w:tcPr>
            <w:tcW w:w="4014" w:type="dxa"/>
          </w:tcPr>
          <w:p w14:paraId="0C124858" w14:textId="77777777" w:rsidR="00CB76E7" w:rsidRDefault="00CB76E7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  <w:p w14:paraId="346E0095" w14:textId="77777777" w:rsidR="00CB76E7" w:rsidRDefault="00E32AD8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Methods</w:t>
            </w:r>
          </w:p>
          <w:p w14:paraId="7B1918D6" w14:textId="77777777" w:rsidR="00CB76E7" w:rsidRPr="00CB76E7" w:rsidRDefault="00CB76E7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</w:tc>
        <w:tc>
          <w:tcPr>
            <w:tcW w:w="6876" w:type="dxa"/>
          </w:tcPr>
          <w:p w14:paraId="0CDAB93D" w14:textId="77777777" w:rsidR="007C05CA" w:rsidRPr="00150B92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4757EFFB" w14:textId="77777777" w:rsidTr="007C05CA">
        <w:tc>
          <w:tcPr>
            <w:tcW w:w="4014" w:type="dxa"/>
          </w:tcPr>
          <w:p w14:paraId="4AEC8843" w14:textId="77777777" w:rsidR="007C05CA" w:rsidRPr="00E32AD8" w:rsidRDefault="00E32AD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S5     Qualitative approach and             research paradigm</w:t>
            </w:r>
          </w:p>
        </w:tc>
        <w:tc>
          <w:tcPr>
            <w:tcW w:w="6876" w:type="dxa"/>
          </w:tcPr>
          <w:p w14:paraId="50E4AFF8" w14:textId="77777777" w:rsidR="00450735" w:rsidRDefault="00450735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  <w:p w14:paraId="5186701D" w14:textId="2D87E18D" w:rsidR="007C05CA" w:rsidRDefault="00450735" w:rsidP="00790794">
            <w:pPr>
              <w:spacing w:after="0"/>
              <w:rPr>
                <w:rFonts w:ascii="Arial" w:eastAsia="Calibri" w:hAnsi="Arial"/>
                <w:sz w:val="22"/>
              </w:rPr>
            </w:pPr>
            <w:r w:rsidRPr="00450735">
              <w:rPr>
                <w:rFonts w:ascii="Arial" w:eastAsia="Calibri" w:hAnsi="Arial"/>
                <w:sz w:val="22"/>
              </w:rPr>
              <w:t xml:space="preserve">Adopts a </w:t>
            </w:r>
            <w:r w:rsidRPr="00450735">
              <w:rPr>
                <w:rFonts w:ascii="Arial" w:eastAsia="Calibri" w:hAnsi="Arial"/>
                <w:i/>
                <w:iCs/>
                <w:sz w:val="22"/>
              </w:rPr>
              <w:t>reflexive thematic analysis</w:t>
            </w:r>
            <w:r w:rsidRPr="00450735">
              <w:rPr>
                <w:rFonts w:ascii="Arial" w:eastAsia="Calibri" w:hAnsi="Arial"/>
                <w:sz w:val="22"/>
              </w:rPr>
              <w:t xml:space="preserve"> (Braun &amp; Clarke) within a </w:t>
            </w:r>
            <w:r w:rsidRPr="00450735">
              <w:rPr>
                <w:rFonts w:ascii="Arial" w:eastAsia="Calibri" w:hAnsi="Arial"/>
                <w:i/>
                <w:iCs/>
                <w:sz w:val="22"/>
              </w:rPr>
              <w:t>constructivist–interpretivist</w:t>
            </w:r>
            <w:r w:rsidRPr="00450735">
              <w:rPr>
                <w:rFonts w:ascii="Arial" w:eastAsia="Calibri" w:hAnsi="Arial"/>
                <w:sz w:val="22"/>
              </w:rPr>
              <w:t xml:space="preserve"> paradigm. Theoretical framing integrates </w:t>
            </w:r>
            <w:r w:rsidRPr="00450735">
              <w:rPr>
                <w:rFonts w:ascii="Arial" w:eastAsia="Calibri" w:hAnsi="Arial"/>
                <w:i/>
                <w:iCs/>
                <w:sz w:val="22"/>
              </w:rPr>
              <w:t>Principal–Agent Theory</w:t>
            </w:r>
            <w:r w:rsidRPr="00450735">
              <w:rPr>
                <w:rFonts w:ascii="Arial" w:eastAsia="Calibri" w:hAnsi="Arial"/>
                <w:sz w:val="22"/>
              </w:rPr>
              <w:t xml:space="preserve">, </w:t>
            </w:r>
            <w:r w:rsidRPr="00450735">
              <w:rPr>
                <w:rFonts w:ascii="Arial" w:eastAsia="Calibri" w:hAnsi="Arial"/>
                <w:i/>
                <w:iCs/>
                <w:sz w:val="22"/>
              </w:rPr>
              <w:t>Resource Dependence Theory</w:t>
            </w:r>
            <w:r w:rsidRPr="00450735">
              <w:rPr>
                <w:rFonts w:ascii="Arial" w:eastAsia="Calibri" w:hAnsi="Arial"/>
                <w:sz w:val="22"/>
              </w:rPr>
              <w:t xml:space="preserve">, and </w:t>
            </w:r>
            <w:r w:rsidRPr="00450735">
              <w:rPr>
                <w:rFonts w:ascii="Arial" w:eastAsia="Calibri" w:hAnsi="Arial"/>
                <w:i/>
                <w:iCs/>
                <w:sz w:val="22"/>
              </w:rPr>
              <w:t>Institutional Theory</w:t>
            </w:r>
            <w:r w:rsidRPr="00450735">
              <w:rPr>
                <w:rFonts w:ascii="Arial" w:eastAsia="Calibri" w:hAnsi="Arial"/>
                <w:sz w:val="22"/>
              </w:rPr>
              <w:t xml:space="preserve"> to interpret </w:t>
            </w:r>
            <w:proofErr w:type="spellStart"/>
            <w:r w:rsidRPr="00450735">
              <w:rPr>
                <w:rFonts w:ascii="Arial" w:eastAsia="Calibri" w:hAnsi="Arial"/>
                <w:sz w:val="22"/>
              </w:rPr>
              <w:t>organisational</w:t>
            </w:r>
            <w:proofErr w:type="spellEnd"/>
            <w:r w:rsidRPr="00450735">
              <w:rPr>
                <w:rFonts w:ascii="Arial" w:eastAsia="Calibri" w:hAnsi="Arial"/>
                <w:sz w:val="22"/>
              </w:rPr>
              <w:t xml:space="preserve"> change.</w:t>
            </w:r>
          </w:p>
          <w:p w14:paraId="6F34601B" w14:textId="54AB7A7A" w:rsidR="00450735" w:rsidRPr="0091109C" w:rsidRDefault="00450735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</w:tc>
      </w:tr>
      <w:tr w:rsidR="007C05CA" w:rsidRPr="0091109C" w14:paraId="448CCA68" w14:textId="77777777" w:rsidTr="007C05CA">
        <w:tc>
          <w:tcPr>
            <w:tcW w:w="4014" w:type="dxa"/>
          </w:tcPr>
          <w:p w14:paraId="139E59E9" w14:textId="77777777" w:rsidR="007C05CA" w:rsidRPr="0091109C" w:rsidRDefault="006B0714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S6     Researcher characteristics and reflexivity</w:t>
            </w:r>
          </w:p>
        </w:tc>
        <w:tc>
          <w:tcPr>
            <w:tcW w:w="6876" w:type="dxa"/>
          </w:tcPr>
          <w:p w14:paraId="30481E04" w14:textId="77777777" w:rsidR="00947BE8" w:rsidRDefault="00947BE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  <w:p w14:paraId="2DF8A2C1" w14:textId="368891A4" w:rsidR="007C05CA" w:rsidRDefault="00450735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450735">
              <w:rPr>
                <w:rFonts w:ascii="Arial" w:hAnsi="Arial" w:cs="Helvetica"/>
                <w:sz w:val="22"/>
              </w:rPr>
              <w:t>Conducted by a DPhil researcher in primary care education and a senior GP academic. The research team’s insider knowledge (education policy, GP teaching) informed data interpretation. Reflexive awareness maintained through team discussions and iterative coding; influence acknowledged as shaping lens rather than biasing findings.</w:t>
            </w:r>
          </w:p>
          <w:p w14:paraId="3CEBFE6F" w14:textId="58541D65" w:rsidR="00947BE8" w:rsidRPr="00150B92" w:rsidRDefault="00947BE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10064CBA" w14:textId="77777777" w:rsidTr="007C05CA">
        <w:tc>
          <w:tcPr>
            <w:tcW w:w="4014" w:type="dxa"/>
          </w:tcPr>
          <w:p w14:paraId="683DC8B4" w14:textId="77777777" w:rsidR="007C05CA" w:rsidRPr="001539DF" w:rsidRDefault="00163C33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S7     Context</w:t>
            </w:r>
          </w:p>
        </w:tc>
        <w:tc>
          <w:tcPr>
            <w:tcW w:w="6876" w:type="dxa"/>
          </w:tcPr>
          <w:p w14:paraId="41BCD8DA" w14:textId="77777777" w:rsidR="00947BE8" w:rsidRDefault="00947BE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</w:p>
          <w:p w14:paraId="6D71EFAC" w14:textId="77777777" w:rsidR="007C05CA" w:rsidRDefault="00163C33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  <w:r>
              <w:rPr>
                <w:rFonts w:ascii="Arial" w:hAnsi="Arial" w:cs="Times"/>
                <w:sz w:val="22"/>
                <w:szCs w:val="20"/>
              </w:rPr>
              <w:t>S</w:t>
            </w:r>
            <w:r w:rsidR="00947BE8" w:rsidRPr="00947BE8">
              <w:rPr>
                <w:rFonts w:ascii="Arial" w:hAnsi="Arial" w:cs="Times"/>
                <w:sz w:val="22"/>
                <w:szCs w:val="20"/>
              </w:rPr>
              <w:t>tudy conducted within UK medical education; setting: twelve medical schools across England and two from devolved nations. Context shaped by recent policy shift (2022 tariff) and transition from NHSE to DHSC.</w:t>
            </w:r>
          </w:p>
          <w:p w14:paraId="254981D3" w14:textId="04D7FF83" w:rsidR="00947BE8" w:rsidRPr="00676835" w:rsidRDefault="00947BE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  <w:vertAlign w:val="superscript"/>
              </w:rPr>
            </w:pPr>
          </w:p>
        </w:tc>
      </w:tr>
      <w:tr w:rsidR="007C05CA" w:rsidRPr="0091109C" w14:paraId="7610AF56" w14:textId="77777777" w:rsidTr="007C05CA">
        <w:tc>
          <w:tcPr>
            <w:tcW w:w="4014" w:type="dxa"/>
          </w:tcPr>
          <w:p w14:paraId="5CBA4393" w14:textId="77777777" w:rsidR="007C05CA" w:rsidRPr="0091109C" w:rsidRDefault="003D7963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S8     Sampling strategy</w:t>
            </w:r>
          </w:p>
        </w:tc>
        <w:tc>
          <w:tcPr>
            <w:tcW w:w="6876" w:type="dxa"/>
          </w:tcPr>
          <w:p w14:paraId="6E2FCD6B" w14:textId="77777777" w:rsidR="00947BE8" w:rsidRDefault="00947BE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  <w:p w14:paraId="3C5A5495" w14:textId="706BAF45" w:rsidR="007C05CA" w:rsidRDefault="00947BE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47BE8">
              <w:rPr>
                <w:rFonts w:ascii="Arial" w:hAnsi="Arial" w:cs="Helvetica"/>
                <w:sz w:val="22"/>
              </w:rPr>
              <w:t xml:space="preserve">Purposive sampling of </w:t>
            </w:r>
            <w:r w:rsidRPr="00947BE8">
              <w:rPr>
                <w:rFonts w:ascii="Arial" w:hAnsi="Arial" w:cs="Helvetica"/>
                <w:i/>
                <w:iCs/>
                <w:sz w:val="22"/>
              </w:rPr>
              <w:t>Heads of Undergraduate GP Teaching</w:t>
            </w:r>
            <w:r w:rsidRPr="00947BE8">
              <w:rPr>
                <w:rFonts w:ascii="Arial" w:hAnsi="Arial" w:cs="Helvetica"/>
                <w:sz w:val="22"/>
              </w:rPr>
              <w:t xml:space="preserve"> (HUGPTs), representing institutional and geographical diversity. Sampling ceased at </w:t>
            </w:r>
            <w:r w:rsidRPr="00947BE8">
              <w:rPr>
                <w:rFonts w:ascii="Arial" w:hAnsi="Arial" w:cs="Helvetica"/>
                <w:i/>
                <w:iCs/>
                <w:sz w:val="22"/>
              </w:rPr>
              <w:t>thematic saturation</w:t>
            </w:r>
            <w:r w:rsidRPr="00947BE8">
              <w:rPr>
                <w:rFonts w:ascii="Arial" w:hAnsi="Arial" w:cs="Helvetica"/>
                <w:sz w:val="22"/>
              </w:rPr>
              <w:t xml:space="preserve"> (n=12), judged sufficient for analytic depth and variation.</w:t>
            </w:r>
          </w:p>
          <w:p w14:paraId="70BF4D98" w14:textId="7DBC501D" w:rsidR="00947BE8" w:rsidRPr="00D73FF8" w:rsidRDefault="00947BE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622B3950" w14:textId="77777777" w:rsidTr="007C05CA">
        <w:tc>
          <w:tcPr>
            <w:tcW w:w="4014" w:type="dxa"/>
          </w:tcPr>
          <w:p w14:paraId="79235E77" w14:textId="77777777" w:rsidR="007C05CA" w:rsidRPr="009D600C" w:rsidRDefault="009D600C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S9     Ethical issues pertaining to human subjects</w:t>
            </w:r>
          </w:p>
        </w:tc>
        <w:tc>
          <w:tcPr>
            <w:tcW w:w="6876" w:type="dxa"/>
          </w:tcPr>
          <w:p w14:paraId="39DCDA67" w14:textId="77777777" w:rsidR="00947BE8" w:rsidRDefault="00947BE8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  <w:p w14:paraId="5FB71DDA" w14:textId="0F01245E" w:rsidR="007C05CA" w:rsidRDefault="00947BE8" w:rsidP="00790794">
            <w:pPr>
              <w:spacing w:after="0"/>
              <w:rPr>
                <w:rFonts w:ascii="Arial" w:eastAsia="Calibri" w:hAnsi="Arial"/>
                <w:sz w:val="22"/>
              </w:rPr>
            </w:pPr>
            <w:r w:rsidRPr="00947BE8">
              <w:rPr>
                <w:rFonts w:ascii="Arial" w:eastAsia="Calibri" w:hAnsi="Arial"/>
                <w:sz w:val="22"/>
              </w:rPr>
              <w:t xml:space="preserve">Classified by University of Oxford MSD IDREC as </w:t>
            </w:r>
            <w:r w:rsidRPr="00947BE8">
              <w:rPr>
                <w:rFonts w:ascii="Arial" w:eastAsia="Calibri" w:hAnsi="Arial"/>
                <w:i/>
                <w:iCs/>
                <w:sz w:val="22"/>
              </w:rPr>
              <w:t>service evaluation</w:t>
            </w:r>
            <w:r w:rsidRPr="00947BE8">
              <w:rPr>
                <w:rFonts w:ascii="Arial" w:eastAsia="Calibri" w:hAnsi="Arial"/>
                <w:sz w:val="22"/>
              </w:rPr>
              <w:t xml:space="preserve">; formal ethics review not required. Informed consent obtained verbally and recorded. Data </w:t>
            </w:r>
            <w:proofErr w:type="spellStart"/>
            <w:r w:rsidRPr="00947BE8">
              <w:rPr>
                <w:rFonts w:ascii="Arial" w:eastAsia="Calibri" w:hAnsi="Arial"/>
                <w:sz w:val="22"/>
              </w:rPr>
              <w:t>anonymised</w:t>
            </w:r>
            <w:proofErr w:type="spellEnd"/>
            <w:r w:rsidRPr="00947BE8">
              <w:rPr>
                <w:rFonts w:ascii="Arial" w:eastAsia="Calibri" w:hAnsi="Arial"/>
                <w:sz w:val="22"/>
              </w:rPr>
              <w:t>, stored on encrypted servers, adhering to GDPR.</w:t>
            </w:r>
          </w:p>
          <w:p w14:paraId="5CEBEE8B" w14:textId="2FAECB39" w:rsidR="00947BE8" w:rsidRPr="0091109C" w:rsidRDefault="00947BE8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</w:tc>
      </w:tr>
      <w:tr w:rsidR="007C05CA" w:rsidRPr="0091109C" w14:paraId="0BC1DA0F" w14:textId="77777777" w:rsidTr="007C05CA">
        <w:tc>
          <w:tcPr>
            <w:tcW w:w="4014" w:type="dxa"/>
          </w:tcPr>
          <w:p w14:paraId="2F42A4B4" w14:textId="77777777" w:rsidR="007C05CA" w:rsidRPr="009D600C" w:rsidRDefault="009D600C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S10    Data collection methods</w:t>
            </w:r>
          </w:p>
        </w:tc>
        <w:tc>
          <w:tcPr>
            <w:tcW w:w="6876" w:type="dxa"/>
          </w:tcPr>
          <w:p w14:paraId="7B9EE3E0" w14:textId="77777777" w:rsidR="0087570D" w:rsidRDefault="0087570D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  <w:p w14:paraId="4511BA81" w14:textId="6518987D" w:rsidR="007C05CA" w:rsidRDefault="00947BE8" w:rsidP="00790794">
            <w:pPr>
              <w:spacing w:after="0"/>
              <w:rPr>
                <w:rFonts w:ascii="Arial" w:eastAsia="Calibri" w:hAnsi="Arial"/>
                <w:sz w:val="22"/>
              </w:rPr>
            </w:pPr>
            <w:r w:rsidRPr="00947BE8">
              <w:rPr>
                <w:rFonts w:ascii="Arial" w:eastAsia="Calibri" w:hAnsi="Arial"/>
                <w:sz w:val="22"/>
              </w:rPr>
              <w:t>Semi-structured interviews (30–60 minutes) via Microsoft Teams, June–August 2025. Iterative approach: topic guide refined as themes emerged. Data collection ended after saturation.</w:t>
            </w:r>
          </w:p>
          <w:p w14:paraId="2AB563C9" w14:textId="1EF200B4" w:rsidR="00947BE8" w:rsidRPr="009D600C" w:rsidRDefault="00947BE8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</w:tc>
      </w:tr>
      <w:tr w:rsidR="007C05CA" w:rsidRPr="0091109C" w14:paraId="56EF9FE4" w14:textId="77777777" w:rsidTr="007C05CA">
        <w:tc>
          <w:tcPr>
            <w:tcW w:w="4014" w:type="dxa"/>
          </w:tcPr>
          <w:p w14:paraId="26D7223B" w14:textId="77777777" w:rsidR="007C05CA" w:rsidRPr="001539DF" w:rsidRDefault="009D600C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S11    </w:t>
            </w:r>
            <w:r w:rsidR="00C55AAD">
              <w:rPr>
                <w:rFonts w:ascii="Arial" w:hAnsi="Arial" w:cs="Times"/>
                <w:sz w:val="22"/>
                <w:szCs w:val="20"/>
              </w:rPr>
              <w:t>Data collection instruments and technologies</w:t>
            </w:r>
          </w:p>
        </w:tc>
        <w:tc>
          <w:tcPr>
            <w:tcW w:w="6876" w:type="dxa"/>
          </w:tcPr>
          <w:p w14:paraId="6067DB15" w14:textId="77777777" w:rsidR="007C05CA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</w:p>
          <w:p w14:paraId="636B2EB0" w14:textId="77777777" w:rsidR="0087570D" w:rsidRDefault="0087570D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87570D">
              <w:rPr>
                <w:rFonts w:ascii="Arial" w:hAnsi="Arial" w:cs="Helvetica"/>
                <w:sz w:val="22"/>
              </w:rPr>
              <w:t>Interview topic guide (Box 1) informed by literature and early insights. Microsoft Teams used for recording. Minor adjustments made to prompts during data collection to explore emergent issues.</w:t>
            </w:r>
          </w:p>
          <w:p w14:paraId="2648EE6D" w14:textId="10F6B42F" w:rsidR="0087570D" w:rsidRPr="001539DF" w:rsidRDefault="0087570D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695BC7C8" w14:textId="77777777" w:rsidTr="007C05CA">
        <w:tc>
          <w:tcPr>
            <w:tcW w:w="4014" w:type="dxa"/>
          </w:tcPr>
          <w:p w14:paraId="41D5D4EE" w14:textId="77777777" w:rsidR="007C05CA" w:rsidRPr="00544767" w:rsidRDefault="00544767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S12    Units of study</w:t>
            </w:r>
          </w:p>
        </w:tc>
        <w:tc>
          <w:tcPr>
            <w:tcW w:w="6876" w:type="dxa"/>
          </w:tcPr>
          <w:p w14:paraId="31310E69" w14:textId="77777777" w:rsidR="00992E76" w:rsidRDefault="00992E76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  <w:p w14:paraId="7A8DFF9D" w14:textId="34941D33" w:rsidR="007C05CA" w:rsidRDefault="00992E76" w:rsidP="00790794">
            <w:pPr>
              <w:spacing w:after="0"/>
              <w:rPr>
                <w:rFonts w:ascii="Arial" w:eastAsia="Calibri" w:hAnsi="Arial"/>
                <w:sz w:val="22"/>
              </w:rPr>
            </w:pPr>
            <w:r w:rsidRPr="00992E76">
              <w:rPr>
                <w:rFonts w:ascii="Arial" w:eastAsia="Calibri" w:hAnsi="Arial"/>
                <w:sz w:val="22"/>
              </w:rPr>
              <w:t>Twelve HUGPTs across 12 UK medical schools (mix of Russell Group, established, and new schools). Participants varied by role tenure, institutional type, and curriculum model.</w:t>
            </w:r>
          </w:p>
          <w:p w14:paraId="435685E7" w14:textId="2F76C5C6" w:rsidR="00992E76" w:rsidRPr="0091109C" w:rsidRDefault="00992E76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</w:tc>
      </w:tr>
      <w:tr w:rsidR="007C05CA" w:rsidRPr="0091109C" w14:paraId="7ED5A4C0" w14:textId="77777777" w:rsidTr="007C05CA">
        <w:tc>
          <w:tcPr>
            <w:tcW w:w="4014" w:type="dxa"/>
          </w:tcPr>
          <w:p w14:paraId="010C2DD5" w14:textId="77777777" w:rsidR="007C05CA" w:rsidRPr="0091109C" w:rsidRDefault="00544767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S13    Data processing</w:t>
            </w:r>
          </w:p>
        </w:tc>
        <w:tc>
          <w:tcPr>
            <w:tcW w:w="6876" w:type="dxa"/>
          </w:tcPr>
          <w:p w14:paraId="4153E76E" w14:textId="77777777" w:rsidR="00992E76" w:rsidRDefault="00992E76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</w:p>
          <w:p w14:paraId="7E6020D7" w14:textId="48D8D443" w:rsidR="007C05CA" w:rsidRDefault="00992E76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  <w:r w:rsidRPr="00992E76">
              <w:rPr>
                <w:rFonts w:ascii="Arial" w:hAnsi="Arial" w:cs="Times"/>
                <w:sz w:val="22"/>
                <w:szCs w:val="20"/>
              </w:rPr>
              <w:t xml:space="preserve">Interviews transcribed verbatim, </w:t>
            </w:r>
            <w:proofErr w:type="spellStart"/>
            <w:r w:rsidRPr="00992E76">
              <w:rPr>
                <w:rFonts w:ascii="Arial" w:hAnsi="Arial" w:cs="Times"/>
                <w:sz w:val="22"/>
                <w:szCs w:val="20"/>
              </w:rPr>
              <w:t>anonymised</w:t>
            </w:r>
            <w:proofErr w:type="spellEnd"/>
            <w:r w:rsidRPr="00992E76">
              <w:rPr>
                <w:rFonts w:ascii="Arial" w:hAnsi="Arial" w:cs="Times"/>
                <w:sz w:val="22"/>
                <w:szCs w:val="20"/>
              </w:rPr>
              <w:t xml:space="preserve">, checked for accuracy. Managed in NVivo 15. Secure storage on </w:t>
            </w:r>
            <w:proofErr w:type="gramStart"/>
            <w:r w:rsidRPr="00992E76">
              <w:rPr>
                <w:rFonts w:ascii="Arial" w:hAnsi="Arial" w:cs="Times"/>
                <w:sz w:val="22"/>
                <w:szCs w:val="20"/>
              </w:rPr>
              <w:t>University</w:t>
            </w:r>
            <w:proofErr w:type="gramEnd"/>
            <w:r w:rsidRPr="00992E76">
              <w:rPr>
                <w:rFonts w:ascii="Arial" w:hAnsi="Arial" w:cs="Times"/>
                <w:sz w:val="22"/>
                <w:szCs w:val="20"/>
              </w:rPr>
              <w:t xml:space="preserve"> servers.</w:t>
            </w:r>
          </w:p>
          <w:p w14:paraId="4B47069D" w14:textId="717DB39A" w:rsidR="00992E76" w:rsidRPr="00515CBE" w:rsidRDefault="00992E76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15BBAA54" w14:textId="77777777" w:rsidTr="007C05CA">
        <w:tc>
          <w:tcPr>
            <w:tcW w:w="4014" w:type="dxa"/>
          </w:tcPr>
          <w:p w14:paraId="651E5EBF" w14:textId="77777777" w:rsidR="007C05CA" w:rsidRPr="0091109C" w:rsidRDefault="00A1472D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S14    Data analysis</w:t>
            </w:r>
          </w:p>
        </w:tc>
        <w:tc>
          <w:tcPr>
            <w:tcW w:w="6876" w:type="dxa"/>
          </w:tcPr>
          <w:p w14:paraId="5925AF1C" w14:textId="6FC31C30" w:rsidR="007C05CA" w:rsidRPr="00A1472D" w:rsidRDefault="00992E76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I</w:t>
            </w:r>
            <w:r w:rsidRPr="00992E76">
              <w:rPr>
                <w:rFonts w:ascii="Arial" w:hAnsi="Arial" w:cs="Times"/>
                <w:sz w:val="22"/>
                <w:szCs w:val="20"/>
              </w:rPr>
              <w:t xml:space="preserve">nductive reflexive thematic analysis following Braun &amp; Clarke’s six-phase process. Coding and theme generation iterative, guided by the research question and evolving insights. Theoretical interpretation mapped findings to </w:t>
            </w:r>
            <w:proofErr w:type="spellStart"/>
            <w:r w:rsidRPr="00992E76">
              <w:rPr>
                <w:rFonts w:ascii="Arial" w:hAnsi="Arial" w:cs="Times"/>
                <w:sz w:val="22"/>
                <w:szCs w:val="20"/>
              </w:rPr>
              <w:t>organisational</w:t>
            </w:r>
            <w:proofErr w:type="spellEnd"/>
            <w:r w:rsidRPr="00992E76">
              <w:rPr>
                <w:rFonts w:ascii="Arial" w:hAnsi="Arial" w:cs="Times"/>
                <w:sz w:val="22"/>
                <w:szCs w:val="20"/>
              </w:rPr>
              <w:t xml:space="preserve"> theories</w:t>
            </w:r>
          </w:p>
        </w:tc>
      </w:tr>
      <w:tr w:rsidR="007C05CA" w:rsidRPr="0091109C" w14:paraId="7C8DFD46" w14:textId="77777777" w:rsidTr="007C05CA">
        <w:tc>
          <w:tcPr>
            <w:tcW w:w="4014" w:type="dxa"/>
          </w:tcPr>
          <w:p w14:paraId="5B82143B" w14:textId="77777777" w:rsidR="007C05CA" w:rsidRPr="0091109C" w:rsidRDefault="00A1472D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S15    Techniques to enhance trustworthiness</w:t>
            </w:r>
          </w:p>
        </w:tc>
        <w:tc>
          <w:tcPr>
            <w:tcW w:w="6876" w:type="dxa"/>
          </w:tcPr>
          <w:p w14:paraId="60813607" w14:textId="77777777" w:rsidR="004A2348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</w:p>
          <w:p w14:paraId="76F32EDC" w14:textId="77777777" w:rsidR="007C05CA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  <w:r w:rsidRPr="004A2348">
              <w:rPr>
                <w:rFonts w:ascii="Arial" w:hAnsi="Arial" w:cs="Times"/>
                <w:sz w:val="22"/>
                <w:szCs w:val="20"/>
              </w:rPr>
              <w:t>Multiple readings, iterative coding, analytic memos, and team discussions ensured reflexivity and coherence. OSF pre-registration enhanced transparency; full topic guide and coding tree shared as supplementary files.</w:t>
            </w:r>
          </w:p>
          <w:p w14:paraId="284F12B9" w14:textId="58029AA2" w:rsidR="004A2348" w:rsidRPr="000D069E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caps/>
                <w:sz w:val="22"/>
              </w:rPr>
            </w:pPr>
          </w:p>
        </w:tc>
      </w:tr>
      <w:tr w:rsidR="007C05CA" w:rsidRPr="0091109C" w14:paraId="5FE9E314" w14:textId="77777777" w:rsidTr="007C05CA">
        <w:tc>
          <w:tcPr>
            <w:tcW w:w="4014" w:type="dxa"/>
          </w:tcPr>
          <w:p w14:paraId="6E3A5DDD" w14:textId="77777777" w:rsidR="00CB76E7" w:rsidRDefault="00CB76E7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  <w:p w14:paraId="502FD5CE" w14:textId="77777777" w:rsidR="007C05CA" w:rsidRDefault="00A71B83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Results/Findings</w:t>
            </w:r>
          </w:p>
          <w:p w14:paraId="562A16AD" w14:textId="77777777" w:rsidR="00CB76E7" w:rsidRPr="00A71B83" w:rsidRDefault="00CB76E7" w:rsidP="00790794">
            <w:pPr>
              <w:spacing w:after="0"/>
              <w:rPr>
                <w:rFonts w:ascii="Arial" w:eastAsia="Calibri" w:hAnsi="Arial"/>
                <w:b/>
                <w:sz w:val="22"/>
              </w:rPr>
            </w:pPr>
          </w:p>
        </w:tc>
        <w:tc>
          <w:tcPr>
            <w:tcW w:w="6876" w:type="dxa"/>
          </w:tcPr>
          <w:p w14:paraId="27B4D8B2" w14:textId="77777777" w:rsidR="007C05CA" w:rsidRPr="00515CBE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1DCC51E9" w14:textId="77777777" w:rsidTr="007C05CA">
        <w:tc>
          <w:tcPr>
            <w:tcW w:w="4014" w:type="dxa"/>
          </w:tcPr>
          <w:p w14:paraId="2AB95BDF" w14:textId="77777777" w:rsidR="007C05CA" w:rsidRPr="008F29B1" w:rsidRDefault="008F29B1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eastAsia="Calibri" w:hAnsi="Arial"/>
                <w:sz w:val="22"/>
              </w:rPr>
              <w:t>S16    Synthesis and interpretation</w:t>
            </w:r>
          </w:p>
        </w:tc>
        <w:tc>
          <w:tcPr>
            <w:tcW w:w="6876" w:type="dxa"/>
          </w:tcPr>
          <w:p w14:paraId="01D2F06C" w14:textId="77777777" w:rsidR="007C05CA" w:rsidRDefault="007C05CA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  <w:p w14:paraId="02C55147" w14:textId="77777777" w:rsidR="004A2348" w:rsidRDefault="004A2348" w:rsidP="00790794">
            <w:pPr>
              <w:spacing w:after="0"/>
              <w:rPr>
                <w:rFonts w:ascii="Arial" w:eastAsia="Calibri" w:hAnsi="Arial"/>
                <w:sz w:val="22"/>
              </w:rPr>
            </w:pPr>
            <w:r w:rsidRPr="004A2348">
              <w:rPr>
                <w:rFonts w:ascii="Arial" w:eastAsia="Calibri" w:hAnsi="Arial"/>
                <w:sz w:val="22"/>
              </w:rPr>
              <w:t xml:space="preserve">Six overarching themes identified: budget control and </w:t>
            </w:r>
            <w:proofErr w:type="spellStart"/>
            <w:r w:rsidRPr="004A2348">
              <w:rPr>
                <w:rFonts w:ascii="Arial" w:eastAsia="Calibri" w:hAnsi="Arial"/>
                <w:sz w:val="22"/>
              </w:rPr>
              <w:t>organisational</w:t>
            </w:r>
            <w:proofErr w:type="spellEnd"/>
            <w:r w:rsidRPr="004A2348">
              <w:rPr>
                <w:rFonts w:ascii="Arial" w:eastAsia="Calibri" w:hAnsi="Arial"/>
                <w:sz w:val="22"/>
              </w:rPr>
              <w:t xml:space="preserve"> change; curriculum expansion; placement capacity; teaching quality; student experience; accountability frameworks. Interpretation highlights mechanisms linking tariff reform to structural change.</w:t>
            </w:r>
          </w:p>
          <w:p w14:paraId="2406392E" w14:textId="330C87DF" w:rsidR="004A2348" w:rsidRPr="0091109C" w:rsidRDefault="004A2348" w:rsidP="00790794">
            <w:pPr>
              <w:spacing w:after="0"/>
              <w:rPr>
                <w:rFonts w:ascii="Arial" w:eastAsia="Calibri" w:hAnsi="Arial"/>
                <w:sz w:val="22"/>
              </w:rPr>
            </w:pPr>
          </w:p>
        </w:tc>
      </w:tr>
      <w:tr w:rsidR="007C05CA" w:rsidRPr="0091109C" w14:paraId="35CFFA50" w14:textId="77777777" w:rsidTr="007C05CA">
        <w:tc>
          <w:tcPr>
            <w:tcW w:w="4014" w:type="dxa"/>
          </w:tcPr>
          <w:p w14:paraId="426F13F6" w14:textId="77777777" w:rsidR="007C05CA" w:rsidRPr="0091109C" w:rsidRDefault="008F29B1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S17    </w:t>
            </w:r>
            <w:r w:rsidR="0072170E">
              <w:rPr>
                <w:rFonts w:ascii="Arial" w:hAnsi="Arial" w:cs="Times"/>
                <w:sz w:val="22"/>
                <w:szCs w:val="20"/>
              </w:rPr>
              <w:t>Links to empirical data</w:t>
            </w:r>
          </w:p>
        </w:tc>
        <w:tc>
          <w:tcPr>
            <w:tcW w:w="6876" w:type="dxa"/>
          </w:tcPr>
          <w:p w14:paraId="0FEA4231" w14:textId="77777777" w:rsidR="004A2348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  <w:p w14:paraId="1232DD9C" w14:textId="446C75A6" w:rsidR="007C05CA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4A2348">
              <w:rPr>
                <w:rFonts w:ascii="Arial" w:hAnsi="Arial" w:cs="Helvetica"/>
                <w:sz w:val="22"/>
              </w:rPr>
              <w:t xml:space="preserve">Findings substantiated with </w:t>
            </w:r>
            <w:proofErr w:type="spellStart"/>
            <w:r w:rsidRPr="004A2348">
              <w:rPr>
                <w:rFonts w:ascii="Arial" w:hAnsi="Arial" w:cs="Helvetica"/>
                <w:sz w:val="22"/>
              </w:rPr>
              <w:t>anonymised</w:t>
            </w:r>
            <w:proofErr w:type="spellEnd"/>
            <w:r w:rsidRPr="004A2348">
              <w:rPr>
                <w:rFonts w:ascii="Arial" w:hAnsi="Arial" w:cs="Helvetica"/>
                <w:sz w:val="22"/>
              </w:rPr>
              <w:t xml:space="preserve"> quotes throughout the Results, illustrating variation and consensus across participants.</w:t>
            </w:r>
          </w:p>
          <w:p w14:paraId="3A5DA6AC" w14:textId="17542597" w:rsidR="004A2348" w:rsidRPr="004772CF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31345CE0" w14:textId="77777777" w:rsidTr="007C05CA">
        <w:tc>
          <w:tcPr>
            <w:tcW w:w="4014" w:type="dxa"/>
          </w:tcPr>
          <w:p w14:paraId="06C2A323" w14:textId="77777777" w:rsidR="00CB76E7" w:rsidRDefault="00CB76E7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  <w:p w14:paraId="73F9218C" w14:textId="77777777" w:rsidR="007C05CA" w:rsidRDefault="0072170E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Discussion</w:t>
            </w:r>
          </w:p>
          <w:p w14:paraId="3788DBAA" w14:textId="77777777" w:rsidR="00CB76E7" w:rsidRPr="0072170E" w:rsidRDefault="00CB76E7" w:rsidP="00790794">
            <w:pPr>
              <w:spacing w:after="0"/>
              <w:rPr>
                <w:rFonts w:ascii="Arial" w:eastAsia="Calibri" w:hAnsi="Arial"/>
                <w:b/>
                <w:sz w:val="22"/>
              </w:rPr>
            </w:pPr>
          </w:p>
        </w:tc>
        <w:tc>
          <w:tcPr>
            <w:tcW w:w="6876" w:type="dxa"/>
          </w:tcPr>
          <w:p w14:paraId="185FE080" w14:textId="77777777" w:rsidR="007C05CA" w:rsidRPr="004772CF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58D04E46" w14:textId="77777777" w:rsidTr="007C05CA">
        <w:tc>
          <w:tcPr>
            <w:tcW w:w="4014" w:type="dxa"/>
          </w:tcPr>
          <w:p w14:paraId="40DBD710" w14:textId="77777777" w:rsidR="007C05CA" w:rsidRPr="0072170E" w:rsidRDefault="0072170E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S18    Integration with prior work, implications, transferability, and contribution(s) to the field</w:t>
            </w:r>
          </w:p>
        </w:tc>
        <w:tc>
          <w:tcPr>
            <w:tcW w:w="6876" w:type="dxa"/>
          </w:tcPr>
          <w:p w14:paraId="63AA36D8" w14:textId="77777777" w:rsidR="004A2348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  <w:p w14:paraId="465D58D3" w14:textId="06256542" w:rsidR="007C05CA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4A2348">
              <w:rPr>
                <w:rFonts w:ascii="Arial" w:hAnsi="Arial" w:cs="Helvetica"/>
                <w:sz w:val="22"/>
              </w:rPr>
              <w:t xml:space="preserve">Findings extend Rosenthal et al. (2022) by offering first empirical evaluation of the tariff’s impact. Integrates with policy literature on equity and GP recruitment. </w:t>
            </w:r>
            <w:proofErr w:type="spellStart"/>
            <w:r w:rsidRPr="004A2348">
              <w:rPr>
                <w:rFonts w:ascii="Arial" w:hAnsi="Arial" w:cs="Helvetica"/>
                <w:sz w:val="22"/>
              </w:rPr>
              <w:t>Theorised</w:t>
            </w:r>
            <w:proofErr w:type="spellEnd"/>
            <w:r w:rsidRPr="004A2348">
              <w:rPr>
                <w:rFonts w:ascii="Arial" w:hAnsi="Arial" w:cs="Helvetica"/>
                <w:sz w:val="22"/>
              </w:rPr>
              <w:t xml:space="preserve"> contribution: illustrates how funding parity shifts </w:t>
            </w:r>
            <w:proofErr w:type="spellStart"/>
            <w:r w:rsidRPr="004A2348">
              <w:rPr>
                <w:rFonts w:ascii="Arial" w:hAnsi="Arial" w:cs="Helvetica"/>
                <w:sz w:val="22"/>
              </w:rPr>
              <w:t>organisational</w:t>
            </w:r>
            <w:proofErr w:type="spellEnd"/>
            <w:r w:rsidRPr="004A2348">
              <w:rPr>
                <w:rFonts w:ascii="Arial" w:hAnsi="Arial" w:cs="Helvetica"/>
                <w:sz w:val="22"/>
              </w:rPr>
              <w:t xml:space="preserve"> power, legitimacy, and curriculum capacity. Transferability discussed to similar systems facing funding asymmetry.</w:t>
            </w:r>
          </w:p>
          <w:p w14:paraId="4CD66AE9" w14:textId="1F6D7CE6" w:rsidR="004A2348" w:rsidRPr="004772CF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4D913C4F" w14:textId="77777777" w:rsidTr="007C05CA">
        <w:tc>
          <w:tcPr>
            <w:tcW w:w="4014" w:type="dxa"/>
          </w:tcPr>
          <w:p w14:paraId="4A57C745" w14:textId="77777777" w:rsidR="007C05CA" w:rsidRPr="00191954" w:rsidRDefault="00191954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S19    Limitations</w:t>
            </w:r>
          </w:p>
        </w:tc>
        <w:tc>
          <w:tcPr>
            <w:tcW w:w="6876" w:type="dxa"/>
          </w:tcPr>
          <w:p w14:paraId="2AB08A7F" w14:textId="77777777" w:rsidR="004A2348" w:rsidRDefault="004A2348" w:rsidP="004A2348">
            <w:pPr>
              <w:spacing w:after="0"/>
              <w:rPr>
                <w:rFonts w:ascii="Arial" w:eastAsia="Calibri" w:hAnsi="Arial"/>
                <w:sz w:val="22"/>
              </w:rPr>
            </w:pPr>
          </w:p>
          <w:p w14:paraId="32C4BE15" w14:textId="40BCEBD8" w:rsidR="00191954" w:rsidRDefault="004A2348" w:rsidP="004A2348">
            <w:pPr>
              <w:spacing w:after="0"/>
              <w:rPr>
                <w:rFonts w:ascii="Arial" w:eastAsia="Calibri" w:hAnsi="Arial"/>
                <w:sz w:val="22"/>
              </w:rPr>
            </w:pPr>
            <w:r w:rsidRPr="004A2348">
              <w:rPr>
                <w:rFonts w:ascii="Arial" w:eastAsia="Calibri" w:hAnsi="Arial"/>
                <w:sz w:val="22"/>
              </w:rPr>
              <w:t>Acknowledges small but diverse sample; reliance on HUGPT perspectives; absence of triangulation with tutors/students. Calls for future quantitative and mixed-method studies.</w:t>
            </w:r>
          </w:p>
          <w:p w14:paraId="0884111D" w14:textId="2658ABD4" w:rsidR="004A2348" w:rsidRPr="0091109C" w:rsidRDefault="004A2348" w:rsidP="004A2348">
            <w:pPr>
              <w:spacing w:after="0"/>
              <w:rPr>
                <w:rFonts w:ascii="Arial" w:eastAsia="Calibri" w:hAnsi="Arial"/>
                <w:sz w:val="22"/>
              </w:rPr>
            </w:pPr>
          </w:p>
        </w:tc>
      </w:tr>
      <w:tr w:rsidR="007C05CA" w:rsidRPr="0091109C" w14:paraId="47497F0A" w14:textId="77777777" w:rsidTr="007C05CA">
        <w:tc>
          <w:tcPr>
            <w:tcW w:w="4014" w:type="dxa"/>
          </w:tcPr>
          <w:p w14:paraId="57C37412" w14:textId="77777777" w:rsidR="00CB76E7" w:rsidRDefault="00CB76E7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</w:p>
          <w:p w14:paraId="0048BA6C" w14:textId="77777777" w:rsidR="007C05CA" w:rsidRDefault="00191954" w:rsidP="00790794">
            <w:pPr>
              <w:spacing w:after="0"/>
              <w:rPr>
                <w:rFonts w:ascii="Arial" w:hAnsi="Arial" w:cs="Times"/>
                <w:b/>
                <w:sz w:val="22"/>
                <w:szCs w:val="20"/>
              </w:rPr>
            </w:pPr>
            <w:r>
              <w:rPr>
                <w:rFonts w:ascii="Arial" w:hAnsi="Arial" w:cs="Times"/>
                <w:b/>
                <w:sz w:val="22"/>
                <w:szCs w:val="20"/>
              </w:rPr>
              <w:t>Other</w:t>
            </w:r>
          </w:p>
          <w:p w14:paraId="01247996" w14:textId="77777777" w:rsidR="00CB76E7" w:rsidRPr="00191954" w:rsidRDefault="00CB76E7" w:rsidP="00790794">
            <w:pPr>
              <w:spacing w:after="0"/>
              <w:rPr>
                <w:rFonts w:ascii="Arial" w:eastAsia="Calibri" w:hAnsi="Arial"/>
                <w:b/>
                <w:sz w:val="22"/>
              </w:rPr>
            </w:pPr>
          </w:p>
        </w:tc>
        <w:tc>
          <w:tcPr>
            <w:tcW w:w="6876" w:type="dxa"/>
          </w:tcPr>
          <w:p w14:paraId="6F591362" w14:textId="77777777" w:rsidR="007C05CA" w:rsidRPr="004772CF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52FB69B0" w14:textId="77777777" w:rsidTr="007C05CA">
        <w:tc>
          <w:tcPr>
            <w:tcW w:w="4014" w:type="dxa"/>
          </w:tcPr>
          <w:p w14:paraId="699B792C" w14:textId="77777777" w:rsidR="007C05CA" w:rsidRPr="00191954" w:rsidRDefault="00191954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S20    Conflicts of interest</w:t>
            </w:r>
          </w:p>
        </w:tc>
        <w:tc>
          <w:tcPr>
            <w:tcW w:w="6876" w:type="dxa"/>
          </w:tcPr>
          <w:p w14:paraId="57F95578" w14:textId="77777777" w:rsidR="007C05CA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Times"/>
                <w:sz w:val="22"/>
                <w:szCs w:val="20"/>
              </w:rPr>
            </w:pPr>
          </w:p>
          <w:p w14:paraId="6FFA9C00" w14:textId="77777777" w:rsidR="004A2348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4A2348">
              <w:rPr>
                <w:rFonts w:ascii="Arial" w:hAnsi="Arial" w:cs="Helvetica"/>
                <w:sz w:val="22"/>
              </w:rPr>
              <w:t>None declared.</w:t>
            </w:r>
          </w:p>
          <w:p w14:paraId="0C848553" w14:textId="6803AC6C" w:rsidR="004A2348" w:rsidRPr="004772CF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  <w:tr w:rsidR="007C05CA" w:rsidRPr="0091109C" w14:paraId="33618D24" w14:textId="77777777" w:rsidTr="007C05CA">
        <w:tc>
          <w:tcPr>
            <w:tcW w:w="4014" w:type="dxa"/>
          </w:tcPr>
          <w:p w14:paraId="1212690B" w14:textId="77777777" w:rsidR="007C05CA" w:rsidRPr="0091109C" w:rsidRDefault="00191954" w:rsidP="00790794">
            <w:pPr>
              <w:spacing w:after="0"/>
              <w:rPr>
                <w:rFonts w:ascii="Arial" w:eastAsia="Calibri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S21    Funding</w:t>
            </w:r>
          </w:p>
        </w:tc>
        <w:tc>
          <w:tcPr>
            <w:tcW w:w="6876" w:type="dxa"/>
          </w:tcPr>
          <w:p w14:paraId="3789E6FE" w14:textId="77777777" w:rsidR="007C05CA" w:rsidRDefault="007C05CA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  <w:p w14:paraId="6DA46048" w14:textId="77777777" w:rsidR="004A2348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4A2348">
              <w:rPr>
                <w:rFonts w:ascii="Arial" w:hAnsi="Arial" w:cs="Helvetica"/>
                <w:sz w:val="22"/>
              </w:rPr>
              <w:t>Supported by MRC–Optum Industrial CASE Studentship (MR/W006731/1). Funders had no role in data collection, analysis, or interpretation.</w:t>
            </w:r>
          </w:p>
          <w:p w14:paraId="6754983F" w14:textId="232215A0" w:rsidR="004A2348" w:rsidRPr="004772CF" w:rsidRDefault="004A2348" w:rsidP="0079079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</w:tr>
    </w:tbl>
    <w:p w14:paraId="35E901B7" w14:textId="6318C433" w:rsidR="00790794" w:rsidRPr="003D7963" w:rsidRDefault="00790794" w:rsidP="003D79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Helvetica"/>
          <w:sz w:val="20"/>
          <w:szCs w:val="20"/>
        </w:rPr>
      </w:pPr>
    </w:p>
    <w:sectPr w:rsidR="00790794" w:rsidRPr="003D7963" w:rsidSect="003D108C">
      <w:pgSz w:w="12240" w:h="15840"/>
      <w:pgMar w:top="45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F20"/>
    <w:rsid w:val="000D069E"/>
    <w:rsid w:val="00163C33"/>
    <w:rsid w:val="00191954"/>
    <w:rsid w:val="002048B1"/>
    <w:rsid w:val="002675AF"/>
    <w:rsid w:val="002A556E"/>
    <w:rsid w:val="003D108C"/>
    <w:rsid w:val="003D7963"/>
    <w:rsid w:val="00450735"/>
    <w:rsid w:val="004A2348"/>
    <w:rsid w:val="004A796A"/>
    <w:rsid w:val="00544767"/>
    <w:rsid w:val="005F2B95"/>
    <w:rsid w:val="00676835"/>
    <w:rsid w:val="006A40CD"/>
    <w:rsid w:val="006B0714"/>
    <w:rsid w:val="0072170E"/>
    <w:rsid w:val="00790794"/>
    <w:rsid w:val="007C05CA"/>
    <w:rsid w:val="00820ECB"/>
    <w:rsid w:val="0087570D"/>
    <w:rsid w:val="008D4BCE"/>
    <w:rsid w:val="008F29B1"/>
    <w:rsid w:val="00902C08"/>
    <w:rsid w:val="00947BE8"/>
    <w:rsid w:val="00951A0C"/>
    <w:rsid w:val="00992E76"/>
    <w:rsid w:val="009D0195"/>
    <w:rsid w:val="009D600C"/>
    <w:rsid w:val="00A1472D"/>
    <w:rsid w:val="00A21DC5"/>
    <w:rsid w:val="00A71B83"/>
    <w:rsid w:val="00B54DC7"/>
    <w:rsid w:val="00B914F7"/>
    <w:rsid w:val="00BC6B04"/>
    <w:rsid w:val="00C55AAD"/>
    <w:rsid w:val="00CA37C5"/>
    <w:rsid w:val="00CB76E7"/>
    <w:rsid w:val="00D73FF8"/>
    <w:rsid w:val="00E32AD8"/>
    <w:rsid w:val="00F86160"/>
    <w:rsid w:val="00FF261E"/>
    <w:rsid w:val="00FF6795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1DCED8"/>
  <w15:chartTrackingRefBased/>
  <w15:docId w15:val="{516AA66C-CCBB-A74C-A464-7BD78649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4B40"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A26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2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 Health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Roberts</dc:creator>
  <cp:keywords/>
  <cp:lastModifiedBy>Catharina Savelkoul</cp:lastModifiedBy>
  <cp:revision>7</cp:revision>
  <dcterms:created xsi:type="dcterms:W3CDTF">2025-10-02T13:59:00Z</dcterms:created>
  <dcterms:modified xsi:type="dcterms:W3CDTF">2025-10-02T14:03:00Z</dcterms:modified>
</cp:coreProperties>
</file>