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CC315" w14:textId="3937B809" w:rsidR="007D7968" w:rsidRPr="0093451E" w:rsidRDefault="0093451E" w:rsidP="0093451E">
      <w:pPr>
        <w:jc w:val="both"/>
      </w:pPr>
      <w:r w:rsidRPr="0093451E">
        <w:rPr>
          <w:noProof/>
        </w:rPr>
        <w:drawing>
          <wp:inline distT="0" distB="0" distL="0" distR="0" wp14:anchorId="0F71DCF3" wp14:editId="5ECAAE79">
            <wp:extent cx="5935036" cy="4736799"/>
            <wp:effectExtent l="0" t="0" r="8890" b="6985"/>
            <wp:docPr id="886922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33" cy="4747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4C857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  <w:r w:rsidRPr="0093451E">
        <w:rPr>
          <w:rFonts w:ascii="Times New Roman" w:hAnsi="Times New Roman" w:cs="Times New Roman"/>
        </w:rPr>
        <w:t xml:space="preserve">Figure S1 | Functional enrichment analysis of candidate substrates phosphorylated by </w:t>
      </w:r>
      <w:proofErr w:type="spellStart"/>
      <w:r w:rsidRPr="0093451E">
        <w:rPr>
          <w:rFonts w:ascii="Times New Roman" w:hAnsi="Times New Roman" w:cs="Times New Roman"/>
        </w:rPr>
        <w:t>SymRK</w:t>
      </w:r>
      <w:proofErr w:type="spellEnd"/>
      <w:r w:rsidRPr="0093451E">
        <w:rPr>
          <w:rFonts w:ascii="Times New Roman" w:hAnsi="Times New Roman" w:cs="Times New Roman"/>
        </w:rPr>
        <w:t xml:space="preserve"> identified in the </w:t>
      </w:r>
      <w:proofErr w:type="spellStart"/>
      <w:r w:rsidRPr="0093451E">
        <w:rPr>
          <w:rFonts w:ascii="Times New Roman" w:hAnsi="Times New Roman" w:cs="Times New Roman"/>
        </w:rPr>
        <w:t>KiC</w:t>
      </w:r>
      <w:proofErr w:type="spellEnd"/>
      <w:r w:rsidRPr="0093451E">
        <w:rPr>
          <w:rFonts w:ascii="Times New Roman" w:hAnsi="Times New Roman" w:cs="Times New Roman"/>
        </w:rPr>
        <w:t xml:space="preserve"> assay.</w:t>
      </w:r>
    </w:p>
    <w:p w14:paraId="56B8DF8E" w14:textId="7E52A0EE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  <w:r w:rsidRPr="0093451E">
        <w:rPr>
          <w:rFonts w:ascii="Times New Roman" w:hAnsi="Times New Roman" w:cs="Times New Roman"/>
        </w:rPr>
        <w:t xml:space="preserve">Results from </w:t>
      </w:r>
      <w:proofErr w:type="gramStart"/>
      <w:r w:rsidRPr="0093451E">
        <w:rPr>
          <w:rFonts w:ascii="Times New Roman" w:hAnsi="Times New Roman" w:cs="Times New Roman"/>
        </w:rPr>
        <w:t>g:Profiler</w:t>
      </w:r>
      <w:proofErr w:type="gramEnd"/>
      <w:r w:rsidRPr="0093451E">
        <w:rPr>
          <w:rFonts w:ascii="Times New Roman" w:hAnsi="Times New Roman" w:cs="Times New Roman"/>
        </w:rPr>
        <w:t xml:space="preserve"> analysis are shown as a Manhattan-style plot displaying significantly enriched terms across multiple annotation sources, including Gene Ontology Molecular Function (GO:MF), Biological Process (</w:t>
      </w:r>
      <w:proofErr w:type="gramStart"/>
      <w:r w:rsidRPr="0093451E">
        <w:rPr>
          <w:rFonts w:ascii="Times New Roman" w:hAnsi="Times New Roman" w:cs="Times New Roman"/>
        </w:rPr>
        <w:t>GO:BP</w:t>
      </w:r>
      <w:proofErr w:type="gramEnd"/>
      <w:r w:rsidRPr="0093451E">
        <w:rPr>
          <w:rFonts w:ascii="Times New Roman" w:hAnsi="Times New Roman" w:cs="Times New Roman"/>
        </w:rPr>
        <w:t xml:space="preserve">), and Cellular Component (GO:CC), as well as KEGG pathways. Each dot represents a single enriched term, with the x-axis grouping terms by source and the y-axis showing the –log10 adjusted </w:t>
      </w:r>
      <w:r w:rsidRPr="0093451E">
        <w:rPr>
          <w:rFonts w:ascii="Times New Roman" w:hAnsi="Times New Roman" w:cs="Times New Roman"/>
          <w:i/>
          <w:iCs/>
        </w:rPr>
        <w:t>p</w:t>
      </w:r>
      <w:r w:rsidRPr="0093451E">
        <w:rPr>
          <w:rFonts w:ascii="Times New Roman" w:hAnsi="Times New Roman" w:cs="Times New Roman"/>
        </w:rPr>
        <w:t>-value. The size of each dot corresponds to the number of overlapping genes in the query set, and colors indicate the significance level.</w:t>
      </w:r>
    </w:p>
    <w:p w14:paraId="4DF65BBD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147E150D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7533AE0E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2CD7D5AF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39686B44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59A47172" w14:textId="41F1D1F1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  <w:r w:rsidRPr="0093451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75BE5CF" wp14:editId="1775DB5F">
            <wp:extent cx="5956968" cy="3032098"/>
            <wp:effectExtent l="0" t="0" r="0" b="0"/>
            <wp:docPr id="4595004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52" cy="3044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70B819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  <w:r w:rsidRPr="0093451E">
        <w:rPr>
          <w:rFonts w:ascii="Times New Roman" w:hAnsi="Times New Roman" w:cs="Times New Roman"/>
        </w:rPr>
        <w:t>Figure S2 | Defective nodulation and growth phenotype of syp111 mutant.</w:t>
      </w:r>
    </w:p>
    <w:p w14:paraId="457CCF4A" w14:textId="0B6ACE15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  <w:r w:rsidRPr="0093451E">
        <w:rPr>
          <w:rFonts w:ascii="Times New Roman" w:hAnsi="Times New Roman" w:cs="Times New Roman"/>
        </w:rPr>
        <w:t xml:space="preserve">(a) Representative images of 14-day-old Lotus japonicus wild-type (Gifu), </w:t>
      </w:r>
      <w:proofErr w:type="spellStart"/>
      <w:r w:rsidRPr="0093451E">
        <w:rPr>
          <w:rFonts w:ascii="Times New Roman" w:hAnsi="Times New Roman" w:cs="Times New Roman"/>
        </w:rPr>
        <w:t>symrk</w:t>
      </w:r>
      <w:proofErr w:type="spellEnd"/>
      <w:r w:rsidRPr="0093451E">
        <w:rPr>
          <w:rFonts w:ascii="Times New Roman" w:hAnsi="Times New Roman" w:cs="Times New Roman"/>
        </w:rPr>
        <w:t xml:space="preserve">, and syp111 mutant plants inoculated with </w:t>
      </w:r>
      <w:proofErr w:type="spellStart"/>
      <w:r w:rsidRPr="0093451E">
        <w:rPr>
          <w:rFonts w:ascii="Times New Roman" w:hAnsi="Times New Roman" w:cs="Times New Roman"/>
        </w:rPr>
        <w:t>Mesorhizobium</w:t>
      </w:r>
      <w:proofErr w:type="spellEnd"/>
      <w:r w:rsidRPr="0093451E">
        <w:rPr>
          <w:rFonts w:ascii="Times New Roman" w:hAnsi="Times New Roman" w:cs="Times New Roman"/>
        </w:rPr>
        <w:t xml:space="preserve"> loti MAFF303099. Scale bar, 1 cm.</w:t>
      </w:r>
      <w:r w:rsidRPr="0093451E">
        <w:rPr>
          <w:rFonts w:ascii="Times New Roman" w:hAnsi="Times New Roman" w:cs="Times New Roman" w:hint="eastAsia"/>
        </w:rPr>
        <w:t xml:space="preserve"> </w:t>
      </w:r>
      <w:r w:rsidRPr="0093451E">
        <w:rPr>
          <w:rFonts w:ascii="Times New Roman" w:hAnsi="Times New Roman" w:cs="Times New Roman"/>
        </w:rPr>
        <w:t>(b) Quantification of nodule numbers per plant.</w:t>
      </w:r>
      <w:r w:rsidRPr="0093451E">
        <w:rPr>
          <w:rFonts w:ascii="Times New Roman" w:hAnsi="Times New Roman" w:cs="Times New Roman" w:hint="eastAsia"/>
        </w:rPr>
        <w:t xml:space="preserve"> </w:t>
      </w:r>
      <w:r w:rsidRPr="0093451E">
        <w:rPr>
          <w:rFonts w:ascii="Times New Roman" w:hAnsi="Times New Roman" w:cs="Times New Roman"/>
        </w:rPr>
        <w:t>(c) Quantification of shoot and root lengths.</w:t>
      </w:r>
      <w:r w:rsidRPr="0093451E">
        <w:rPr>
          <w:rFonts w:ascii="Times New Roman" w:hAnsi="Times New Roman" w:cs="Times New Roman"/>
        </w:rPr>
        <w:br/>
        <w:t xml:space="preserve">Data are presented as mean ± </w:t>
      </w:r>
      <w:proofErr w:type="spellStart"/>
      <w:r w:rsidRPr="0093451E">
        <w:rPr>
          <w:rFonts w:ascii="Times New Roman" w:hAnsi="Times New Roman" w:cs="Times New Roman"/>
        </w:rPr>
        <w:t>s.d.</w:t>
      </w:r>
      <w:proofErr w:type="spellEnd"/>
      <w:r w:rsidRPr="0093451E">
        <w:rPr>
          <w:rFonts w:ascii="Times New Roman" w:hAnsi="Times New Roman" w:cs="Times New Roman"/>
        </w:rPr>
        <w:t xml:space="preserve"> (n = 6–8). Statistical significance was determined by unpaired two-tailed t-test; P &lt; 0.05 was considered significant.</w:t>
      </w:r>
    </w:p>
    <w:p w14:paraId="2774290D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6FBB9AF3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720C1504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16DB2492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312337ED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46700542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0D10D166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35CAA860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2E5D91B6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134819B4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615E3140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54AB782E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7AACA607" w14:textId="3414AAA5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  <w:r w:rsidRPr="0093451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4BD9228" wp14:editId="12684366">
            <wp:extent cx="5932964" cy="4296911"/>
            <wp:effectExtent l="0" t="0" r="0" b="8890"/>
            <wp:docPr id="14366706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12" cy="4311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2B527F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  <w:r w:rsidRPr="0093451E">
        <w:rPr>
          <w:rFonts w:ascii="Times New Roman" w:hAnsi="Times New Roman" w:cs="Times New Roman"/>
        </w:rPr>
        <w:t xml:space="preserve">Figure S3 | Characterization of </w:t>
      </w:r>
      <w:r w:rsidRPr="0093451E">
        <w:rPr>
          <w:rFonts w:ascii="Times New Roman" w:hAnsi="Times New Roman" w:cs="Times New Roman"/>
          <w:i/>
          <w:iCs/>
        </w:rPr>
        <w:t>LjSYP111</w:t>
      </w:r>
      <w:r w:rsidRPr="0093451E">
        <w:rPr>
          <w:rFonts w:ascii="Times New Roman" w:hAnsi="Times New Roman" w:cs="Times New Roman"/>
        </w:rPr>
        <w:t xml:space="preserve"> transcript structure and validation of LORE1 insertion mutant.</w:t>
      </w:r>
    </w:p>
    <w:p w14:paraId="04D0B86C" w14:textId="7BC43272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  <w:r w:rsidRPr="0093451E">
        <w:rPr>
          <w:rFonts w:ascii="Times New Roman" w:hAnsi="Times New Roman" w:cs="Times New Roman"/>
        </w:rPr>
        <w:t xml:space="preserve">(a) Diagram of the </w:t>
      </w:r>
      <w:r w:rsidRPr="0093451E">
        <w:rPr>
          <w:rFonts w:ascii="Times New Roman" w:hAnsi="Times New Roman" w:cs="Times New Roman"/>
          <w:i/>
          <w:iCs/>
        </w:rPr>
        <w:t>LjSYP111</w:t>
      </w:r>
      <w:r w:rsidRPr="0093451E">
        <w:rPr>
          <w:rFonts w:ascii="Times New Roman" w:hAnsi="Times New Roman" w:cs="Times New Roman"/>
        </w:rPr>
        <w:t xml:space="preserve"> gene models </w:t>
      </w:r>
      <w:r w:rsidRPr="0093451E">
        <w:rPr>
          <w:rFonts w:ascii="Times New Roman" w:hAnsi="Times New Roman" w:cs="Times New Roman"/>
          <w:i/>
          <w:iCs/>
        </w:rPr>
        <w:t>Lj0g3v0109479.1</w:t>
      </w:r>
      <w:r w:rsidRPr="0093451E">
        <w:rPr>
          <w:rFonts w:ascii="Times New Roman" w:hAnsi="Times New Roman" w:cs="Times New Roman"/>
        </w:rPr>
        <w:t xml:space="preserve"> and </w:t>
      </w:r>
      <w:r w:rsidRPr="0093451E">
        <w:rPr>
          <w:rFonts w:ascii="Times New Roman" w:hAnsi="Times New Roman" w:cs="Times New Roman"/>
          <w:i/>
          <w:iCs/>
        </w:rPr>
        <w:t>Lj0g3v0109489.1</w:t>
      </w:r>
      <w:r w:rsidRPr="0093451E">
        <w:rPr>
          <w:rFonts w:ascii="Times New Roman" w:hAnsi="Times New Roman" w:cs="Times New Roman"/>
        </w:rPr>
        <w:t xml:space="preserve">. Predicted functional domains, and the site of the LORE1 insertion within </w:t>
      </w:r>
      <w:r w:rsidRPr="0093451E">
        <w:rPr>
          <w:rFonts w:ascii="Times New Roman" w:hAnsi="Times New Roman" w:cs="Times New Roman"/>
          <w:i/>
          <w:iCs/>
        </w:rPr>
        <w:t>Lj0g3v0109479.1</w:t>
      </w:r>
      <w:r w:rsidRPr="0093451E">
        <w:rPr>
          <w:rFonts w:ascii="Times New Roman" w:hAnsi="Times New Roman" w:cs="Times New Roman"/>
        </w:rPr>
        <w:t xml:space="preserve"> are shown.</w:t>
      </w:r>
      <w:r w:rsidRPr="0093451E">
        <w:rPr>
          <w:rFonts w:ascii="Times New Roman" w:hAnsi="Times New Roman" w:cs="Times New Roman" w:hint="eastAsia"/>
        </w:rPr>
        <w:t xml:space="preserve"> </w:t>
      </w:r>
      <w:r w:rsidRPr="0093451E">
        <w:rPr>
          <w:rFonts w:ascii="Times New Roman" w:hAnsi="Times New Roman" w:cs="Times New Roman"/>
        </w:rPr>
        <w:t>(b) RT-PCR analysis of LjSYP111 transcripts in wild-type and LORE1(</w:t>
      </w:r>
      <w:r w:rsidRPr="0093451E">
        <w:rPr>
          <w:rFonts w:ascii="Times New Roman" w:hAnsi="Times New Roman" w:cs="Times New Roman"/>
          <w:i/>
          <w:iCs/>
        </w:rPr>
        <w:t>30098745</w:t>
      </w:r>
      <w:r w:rsidRPr="0093451E">
        <w:rPr>
          <w:rFonts w:ascii="Times New Roman" w:hAnsi="Times New Roman" w:cs="Times New Roman"/>
        </w:rPr>
        <w:t>) mutant plants. The amplification regions targeted in each assay are indicated, illustrating the segments of the transcript evaluated for structural integrity.</w:t>
      </w:r>
    </w:p>
    <w:p w14:paraId="6479AA49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60428C7C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3D53E288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175946CB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5BFF48C3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23489BAB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215E995E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243DB4C2" w14:textId="7DB69900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  <w:r w:rsidRPr="0093451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75C85BC" wp14:editId="49C2C3ED">
            <wp:extent cx="5904788" cy="2263407"/>
            <wp:effectExtent l="0" t="0" r="1270" b="3810"/>
            <wp:docPr id="10703669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737" cy="227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A81079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  <w:r w:rsidRPr="0093451E">
        <w:rPr>
          <w:rFonts w:ascii="Times New Roman" w:hAnsi="Times New Roman" w:cs="Times New Roman"/>
        </w:rPr>
        <w:t xml:space="preserve">Figure S4 | Expression profiles of </w:t>
      </w:r>
      <w:r w:rsidRPr="0093451E">
        <w:rPr>
          <w:rFonts w:ascii="Times New Roman" w:hAnsi="Times New Roman" w:cs="Times New Roman"/>
          <w:i/>
          <w:iCs/>
        </w:rPr>
        <w:t>SYP111a</w:t>
      </w:r>
      <w:r w:rsidRPr="0093451E">
        <w:rPr>
          <w:rFonts w:ascii="Times New Roman" w:hAnsi="Times New Roman" w:cs="Times New Roman"/>
        </w:rPr>
        <w:t xml:space="preserve"> (</w:t>
      </w:r>
      <w:r w:rsidRPr="0093451E">
        <w:rPr>
          <w:rFonts w:ascii="Times New Roman" w:hAnsi="Times New Roman" w:cs="Times New Roman"/>
          <w:i/>
          <w:iCs/>
        </w:rPr>
        <w:t>Glyma.02G069700</w:t>
      </w:r>
      <w:r w:rsidRPr="0093451E">
        <w:rPr>
          <w:rFonts w:ascii="Times New Roman" w:hAnsi="Times New Roman" w:cs="Times New Roman"/>
        </w:rPr>
        <w:t xml:space="preserve">) and </w:t>
      </w:r>
      <w:r w:rsidRPr="0093451E">
        <w:rPr>
          <w:rFonts w:ascii="Times New Roman" w:hAnsi="Times New Roman" w:cs="Times New Roman"/>
          <w:i/>
          <w:iCs/>
        </w:rPr>
        <w:t>SYP111b</w:t>
      </w:r>
      <w:r w:rsidRPr="0093451E">
        <w:rPr>
          <w:rFonts w:ascii="Times New Roman" w:hAnsi="Times New Roman" w:cs="Times New Roman"/>
        </w:rPr>
        <w:t xml:space="preserve"> (</w:t>
      </w:r>
      <w:r w:rsidRPr="0093451E">
        <w:rPr>
          <w:rFonts w:ascii="Times New Roman" w:hAnsi="Times New Roman" w:cs="Times New Roman"/>
          <w:i/>
          <w:iCs/>
        </w:rPr>
        <w:t>Glyma.16G151200</w:t>
      </w:r>
      <w:r w:rsidRPr="0093451E">
        <w:rPr>
          <w:rFonts w:ascii="Times New Roman" w:hAnsi="Times New Roman" w:cs="Times New Roman"/>
        </w:rPr>
        <w:t xml:space="preserve">) in soybean tissues and root hairs following inoculation with </w:t>
      </w:r>
      <w:proofErr w:type="spellStart"/>
      <w:r w:rsidRPr="0093451E">
        <w:rPr>
          <w:rFonts w:ascii="Times New Roman" w:hAnsi="Times New Roman" w:cs="Times New Roman"/>
          <w:i/>
          <w:iCs/>
        </w:rPr>
        <w:t>Bradyrhizobium</w:t>
      </w:r>
      <w:proofErr w:type="spellEnd"/>
      <w:r w:rsidRPr="0093451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3451E">
        <w:rPr>
          <w:rFonts w:ascii="Times New Roman" w:hAnsi="Times New Roman" w:cs="Times New Roman"/>
          <w:i/>
          <w:iCs/>
        </w:rPr>
        <w:t>diazoefficiens</w:t>
      </w:r>
      <w:proofErr w:type="spellEnd"/>
      <w:r w:rsidRPr="0093451E">
        <w:rPr>
          <w:rFonts w:ascii="Times New Roman" w:hAnsi="Times New Roman" w:cs="Times New Roman"/>
        </w:rPr>
        <w:t xml:space="preserve"> and mock treatment.</w:t>
      </w:r>
    </w:p>
    <w:p w14:paraId="4ECAA040" w14:textId="108CDF81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  <w:r w:rsidRPr="0093451E">
        <w:rPr>
          <w:rFonts w:ascii="Times New Roman" w:hAnsi="Times New Roman" w:cs="Times New Roman"/>
        </w:rPr>
        <w:t xml:space="preserve">Plant </w:t>
      </w:r>
      <w:proofErr w:type="spellStart"/>
      <w:r w:rsidRPr="0093451E">
        <w:rPr>
          <w:rFonts w:ascii="Times New Roman" w:hAnsi="Times New Roman" w:cs="Times New Roman"/>
        </w:rPr>
        <w:t>eFP</w:t>
      </w:r>
      <w:proofErr w:type="spellEnd"/>
      <w:r w:rsidRPr="0093451E">
        <w:rPr>
          <w:rFonts w:ascii="Times New Roman" w:hAnsi="Times New Roman" w:cs="Times New Roman"/>
        </w:rPr>
        <w:t xml:space="preserve"> Browser–generated illustration of transcript abundance for </w:t>
      </w:r>
      <w:r w:rsidRPr="0093451E">
        <w:rPr>
          <w:rFonts w:ascii="Times New Roman" w:hAnsi="Times New Roman" w:cs="Times New Roman"/>
          <w:i/>
          <w:iCs/>
        </w:rPr>
        <w:t>SYP111a</w:t>
      </w:r>
      <w:r w:rsidRPr="0093451E">
        <w:rPr>
          <w:rFonts w:ascii="Times New Roman" w:hAnsi="Times New Roman" w:cs="Times New Roman"/>
        </w:rPr>
        <w:t xml:space="preserve"> (left) and </w:t>
      </w:r>
      <w:r w:rsidRPr="0093451E">
        <w:rPr>
          <w:rFonts w:ascii="Times New Roman" w:hAnsi="Times New Roman" w:cs="Times New Roman"/>
          <w:i/>
          <w:iCs/>
        </w:rPr>
        <w:t>SYP111b</w:t>
      </w:r>
      <w:r w:rsidRPr="0093451E">
        <w:rPr>
          <w:rFonts w:ascii="Times New Roman" w:hAnsi="Times New Roman" w:cs="Times New Roman"/>
        </w:rPr>
        <w:t xml:space="preserve"> (right) across soybean organs—flower, leaves, green pods, root, shoot apical meristem (SAM), root tip, and nodules—as well as in root hairs at 12, 24, and 48 hours after inoculation (HAI) with </w:t>
      </w:r>
      <w:r w:rsidRPr="0093451E">
        <w:rPr>
          <w:rFonts w:ascii="Times New Roman" w:hAnsi="Times New Roman" w:cs="Times New Roman"/>
          <w:i/>
          <w:iCs/>
        </w:rPr>
        <w:t xml:space="preserve">B. </w:t>
      </w:r>
      <w:proofErr w:type="spellStart"/>
      <w:r w:rsidRPr="0093451E">
        <w:rPr>
          <w:rFonts w:ascii="Times New Roman" w:hAnsi="Times New Roman" w:cs="Times New Roman"/>
          <w:i/>
          <w:iCs/>
        </w:rPr>
        <w:t>diazoefficiens</w:t>
      </w:r>
      <w:proofErr w:type="spellEnd"/>
      <w:r w:rsidRPr="0093451E">
        <w:rPr>
          <w:rFonts w:ascii="Times New Roman" w:hAnsi="Times New Roman" w:cs="Times New Roman"/>
        </w:rPr>
        <w:t xml:space="preserve"> and corresponding mock treatments. Color intensity depicts normalized expression relative to the local maximum within each gene’s dataset.</w:t>
      </w:r>
    </w:p>
    <w:p w14:paraId="1A66B509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1E9BA6B3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23429D9B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4E067E65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2E6D8F13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4C42F74C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27D78F35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22C3D0B9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0A065F62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76713A9C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3A3B4EAD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69AE014D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44BED313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0CB5A1C5" w14:textId="7EB0EED6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  <w:r w:rsidRPr="0093451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37E0427" wp14:editId="0DA1C752">
            <wp:extent cx="2646947" cy="3281964"/>
            <wp:effectExtent l="0" t="0" r="1270" b="0"/>
            <wp:docPr id="8836250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27" cy="3296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B8F477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  <w:r w:rsidRPr="0093451E">
        <w:rPr>
          <w:rFonts w:ascii="Times New Roman" w:hAnsi="Times New Roman" w:cs="Times New Roman"/>
        </w:rPr>
        <w:t xml:space="preserve">Figure S5 | Cross-sectional imaging of internalized YFP–GmSYP111a and </w:t>
      </w:r>
      <w:proofErr w:type="spellStart"/>
      <w:r w:rsidRPr="0093451E">
        <w:rPr>
          <w:rFonts w:ascii="Times New Roman" w:hAnsi="Times New Roman" w:cs="Times New Roman"/>
        </w:rPr>
        <w:t>GmSymRK</w:t>
      </w:r>
      <w:proofErr w:type="spellEnd"/>
      <w:r w:rsidRPr="0093451E">
        <w:rPr>
          <w:rFonts w:ascii="Times New Roman" w:hAnsi="Times New Roman" w:cs="Times New Roman"/>
          <w:lang w:val="el-GR"/>
        </w:rPr>
        <w:t>β–</w:t>
      </w:r>
      <w:r w:rsidRPr="0093451E">
        <w:rPr>
          <w:rFonts w:ascii="Times New Roman" w:hAnsi="Times New Roman" w:cs="Times New Roman"/>
        </w:rPr>
        <w:t>GFP in soybean root hairs.</w:t>
      </w:r>
    </w:p>
    <w:p w14:paraId="1A8ECA22" w14:textId="1D21B8BD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  <w:r w:rsidRPr="0093451E">
        <w:rPr>
          <w:rFonts w:ascii="Times New Roman" w:hAnsi="Times New Roman" w:cs="Times New Roman"/>
        </w:rPr>
        <w:t xml:space="preserve">Confocal images of root hairs expressing YFP–GmSYP111a (top) and </w:t>
      </w:r>
      <w:proofErr w:type="spellStart"/>
      <w:r w:rsidRPr="0093451E">
        <w:rPr>
          <w:rFonts w:ascii="Times New Roman" w:hAnsi="Times New Roman" w:cs="Times New Roman"/>
        </w:rPr>
        <w:t>GmSymRK</w:t>
      </w:r>
      <w:proofErr w:type="spellEnd"/>
      <w:r w:rsidRPr="0093451E">
        <w:rPr>
          <w:rFonts w:ascii="Times New Roman" w:hAnsi="Times New Roman" w:cs="Times New Roman"/>
          <w:lang w:val="el-GR"/>
        </w:rPr>
        <w:t>β–</w:t>
      </w:r>
      <w:r w:rsidRPr="0093451E">
        <w:rPr>
          <w:rFonts w:ascii="Times New Roman" w:hAnsi="Times New Roman" w:cs="Times New Roman"/>
        </w:rPr>
        <w:t>GFP (bottom). White arrows indicate the positions used for cross-sectional analysis, and the corresponding orthogonal views are displayed on the right. Red asterisks mark intracellular puncta localized inside the plasma membrane, representing internalized vesicles.</w:t>
      </w:r>
    </w:p>
    <w:p w14:paraId="5CA053C5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250F10C6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6EBC723B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4DB3D7B1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020A8031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47DF3C06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7CC21A9A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7B7E9D60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14A5D404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3BF57EBD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6B03B76B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0D9665A8" w14:textId="27B479F0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  <w:r w:rsidRPr="0093451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5400D00" wp14:editId="0AF900D6">
            <wp:extent cx="5962416" cy="2939178"/>
            <wp:effectExtent l="0" t="0" r="635" b="0"/>
            <wp:docPr id="8590694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756" cy="2946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8D1C4F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p w14:paraId="6B5A86F9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  <w:r w:rsidRPr="0093451E">
        <w:rPr>
          <w:rFonts w:ascii="Times New Roman" w:hAnsi="Times New Roman" w:cs="Times New Roman"/>
        </w:rPr>
        <w:t>Figure S6. Bimolecular fluorescence complementation (</w:t>
      </w:r>
      <w:proofErr w:type="spellStart"/>
      <w:r w:rsidRPr="0093451E">
        <w:rPr>
          <w:rFonts w:ascii="Times New Roman" w:hAnsi="Times New Roman" w:cs="Times New Roman"/>
        </w:rPr>
        <w:t>BiFC</w:t>
      </w:r>
      <w:proofErr w:type="spellEnd"/>
      <w:r w:rsidRPr="0093451E">
        <w:rPr>
          <w:rFonts w:ascii="Times New Roman" w:hAnsi="Times New Roman" w:cs="Times New Roman"/>
        </w:rPr>
        <w:t xml:space="preserve">) between GmSYP111a variants and Nod-factor receptors in Nicotiana </w:t>
      </w:r>
      <w:proofErr w:type="spellStart"/>
      <w:r w:rsidRPr="0093451E">
        <w:rPr>
          <w:rFonts w:ascii="Times New Roman" w:hAnsi="Times New Roman" w:cs="Times New Roman"/>
        </w:rPr>
        <w:t>benthamiana</w:t>
      </w:r>
      <w:proofErr w:type="spellEnd"/>
      <w:r w:rsidRPr="0093451E">
        <w:rPr>
          <w:rFonts w:ascii="Times New Roman" w:hAnsi="Times New Roman" w:cs="Times New Roman"/>
        </w:rPr>
        <w:t xml:space="preserve"> epidermal cells.</w:t>
      </w:r>
    </w:p>
    <w:p w14:paraId="2DAF3353" w14:textId="622CCA52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  <w:r w:rsidRPr="0093451E">
        <w:rPr>
          <w:rFonts w:ascii="Times New Roman" w:hAnsi="Times New Roman" w:cs="Times New Roman"/>
        </w:rPr>
        <w:t xml:space="preserve">(a) </w:t>
      </w:r>
      <w:proofErr w:type="spellStart"/>
      <w:r w:rsidRPr="0093451E">
        <w:rPr>
          <w:rFonts w:ascii="Times New Roman" w:hAnsi="Times New Roman" w:cs="Times New Roman"/>
        </w:rPr>
        <w:t>BiFC</w:t>
      </w:r>
      <w:proofErr w:type="spellEnd"/>
      <w:r w:rsidRPr="0093451E">
        <w:rPr>
          <w:rFonts w:ascii="Times New Roman" w:hAnsi="Times New Roman" w:cs="Times New Roman"/>
        </w:rPr>
        <w:t xml:space="preserve"> analysis of EYFPN′–GmSYP111a (wild type, S8A, or S8D) co-expressed with GmNFR1a–EYFPC′. EYFPN′ alone was used as a negative control. Fluorescence at the plasma membrane reflects reconstitution of YFP upon interaction with GmNFR1a. Scale bars: 100 </w:t>
      </w:r>
      <w:r w:rsidRPr="0093451E">
        <w:rPr>
          <w:rFonts w:ascii="Times New Roman" w:hAnsi="Times New Roman" w:cs="Times New Roman"/>
          <w:lang w:val="el-GR"/>
        </w:rPr>
        <w:t>μ</w:t>
      </w:r>
      <w:r w:rsidRPr="0093451E">
        <w:rPr>
          <w:rFonts w:ascii="Times New Roman" w:hAnsi="Times New Roman" w:cs="Times New Roman"/>
        </w:rPr>
        <w:t xml:space="preserve">m. (b) </w:t>
      </w:r>
      <w:proofErr w:type="spellStart"/>
      <w:r w:rsidRPr="0093451E">
        <w:rPr>
          <w:rFonts w:ascii="Times New Roman" w:hAnsi="Times New Roman" w:cs="Times New Roman"/>
        </w:rPr>
        <w:t>BiFC</w:t>
      </w:r>
      <w:proofErr w:type="spellEnd"/>
      <w:r w:rsidRPr="0093451E">
        <w:rPr>
          <w:rFonts w:ascii="Times New Roman" w:hAnsi="Times New Roman" w:cs="Times New Roman"/>
        </w:rPr>
        <w:t xml:space="preserve"> analysis of EYFPN′–GmSYP111a (wild type, S8A, or S8D) co-expressed with GmNFR5a–EYFPC′ under the same imaging conditions. EYFPN′ alone served as a negative control. Scale bars: 100 </w:t>
      </w:r>
      <w:r w:rsidRPr="0093451E">
        <w:rPr>
          <w:rFonts w:ascii="Times New Roman" w:hAnsi="Times New Roman" w:cs="Times New Roman"/>
          <w:lang w:val="el-GR"/>
        </w:rPr>
        <w:t>μ</w:t>
      </w:r>
      <w:r w:rsidRPr="0093451E">
        <w:rPr>
          <w:rFonts w:ascii="Times New Roman" w:hAnsi="Times New Roman" w:cs="Times New Roman"/>
        </w:rPr>
        <w:t>m.</w:t>
      </w:r>
    </w:p>
    <w:p w14:paraId="6EA237F5" w14:textId="77777777" w:rsidR="0093451E" w:rsidRPr="0093451E" w:rsidRDefault="0093451E" w:rsidP="0093451E">
      <w:pPr>
        <w:jc w:val="both"/>
        <w:rPr>
          <w:rFonts w:ascii="Times New Roman" w:hAnsi="Times New Roman" w:cs="Times New Roman"/>
        </w:rPr>
      </w:pPr>
    </w:p>
    <w:sectPr w:rsidR="0093451E" w:rsidRPr="009345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BB7"/>
    <w:rsid w:val="0064701A"/>
    <w:rsid w:val="00656069"/>
    <w:rsid w:val="007D7968"/>
    <w:rsid w:val="0093451E"/>
    <w:rsid w:val="00D44BB7"/>
    <w:rsid w:val="00F41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20943B17"/>
  <w15:chartTrackingRefBased/>
  <w15:docId w15:val="{72A45708-D753-4E33-8EE3-E5A721EFE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4B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4B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4B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4B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4B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4B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4B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4B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4B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4B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4B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4B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4B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4B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4B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4B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4B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4B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4B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4B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4B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4B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4B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4B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4B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4B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4B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4B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4BB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513</Words>
  <Characters>2926</Characters>
  <Application>Microsoft Office Word</Application>
  <DocSecurity>0</DocSecurity>
  <Lines>24</Lines>
  <Paragraphs>6</Paragraphs>
  <ScaleCrop>false</ScaleCrop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jaehyo Song</dc:creator>
  <cp:keywords/>
  <dc:description/>
  <cp:lastModifiedBy>jaehyo Song</cp:lastModifiedBy>
  <cp:revision>2</cp:revision>
  <dcterms:created xsi:type="dcterms:W3CDTF">2025-11-17T13:02:00Z</dcterms:created>
  <dcterms:modified xsi:type="dcterms:W3CDTF">2025-11-17T13:08:00Z</dcterms:modified>
</cp:coreProperties>
</file>