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46B8" w14:textId="77777777" w:rsidR="00FE4F57" w:rsidRPr="00C36C9C" w:rsidRDefault="00FE4F57" w:rsidP="00FE4F57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C9C">
        <w:rPr>
          <w:rFonts w:ascii="Times New Roman" w:eastAsia="Times New Roman" w:hAnsi="Times New Roman" w:cs="Times New Roman"/>
          <w:b/>
          <w:sz w:val="24"/>
          <w:szCs w:val="24"/>
        </w:rPr>
        <w:t>Tables</w:t>
      </w:r>
    </w:p>
    <w:p w14:paraId="6CB6CD31" w14:textId="77777777" w:rsidR="00FE4F57" w:rsidRPr="00C36C9C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6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 1 - Demographic and clinical characteristics</w:t>
      </w:r>
    </w:p>
    <w:tbl>
      <w:tblPr>
        <w:tblW w:w="9070" w:type="dxa"/>
        <w:jc w:val="center"/>
        <w:tblLayout w:type="fixed"/>
        <w:tblLook w:val="0420" w:firstRow="1" w:lastRow="0" w:firstColumn="0" w:lastColumn="0" w:noHBand="0" w:noVBand="1"/>
      </w:tblPr>
      <w:tblGrid>
        <w:gridCol w:w="3967"/>
        <w:gridCol w:w="1695"/>
        <w:gridCol w:w="1703"/>
        <w:gridCol w:w="1705"/>
      </w:tblGrid>
      <w:tr w:rsidR="00FE4F57" w:rsidRPr="00C36C9C" w14:paraId="7547E1EE" w14:textId="77777777" w:rsidTr="002D6A1A">
        <w:trPr>
          <w:tblHeader/>
          <w:jc w:val="center"/>
        </w:trPr>
        <w:tc>
          <w:tcPr>
            <w:tcW w:w="39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D48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FEF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b/>
                <w:color w:val="000000"/>
              </w:rPr>
              <w:t>Overall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br/>
              <w:t>N = 111</w:t>
            </w:r>
            <w:r w:rsidRPr="00C36C9C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D48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b/>
                <w:color w:val="000000"/>
              </w:rPr>
              <w:t>negative NGS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br/>
              <w:t>N = 51</w:t>
            </w:r>
            <w:r w:rsidRPr="00C36C9C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D22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b/>
                <w:color w:val="000000"/>
              </w:rPr>
              <w:t>positive NGS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br/>
              <w:t>N = 60</w:t>
            </w:r>
            <w:r w:rsidRPr="00C36C9C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FE4F57" w:rsidRPr="00C36C9C" w14:paraId="2E6AC76B" w14:textId="77777777" w:rsidTr="002D6A1A">
        <w:trPr>
          <w:jc w:val="center"/>
        </w:trPr>
        <w:tc>
          <w:tcPr>
            <w:tcW w:w="39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576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Median age; years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CF27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10.3 (4.5, 12.9)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B11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8.6 (3.4, 12.5)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15E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11.2 (5.3, 13.7)</w:t>
            </w:r>
          </w:p>
        </w:tc>
      </w:tr>
      <w:tr w:rsidR="00FE4F57" w:rsidRPr="00C36C9C" w14:paraId="10C56F65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0EB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C-reactive protein, mg/dl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665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5.0 (1.4, 11.1)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900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3.0 (0.7, 10.6)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9C4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6.0 (2.0, 15.1)</w:t>
            </w:r>
          </w:p>
        </w:tc>
      </w:tr>
      <w:tr w:rsidR="00FE4F57" w:rsidRPr="00C36C9C" w14:paraId="6A2F9617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252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Procalcitonin, ng/ml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EF4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0.2 (0.0, 1.7)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488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0.2 (0.0, 1.0)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C1F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0.1 (0.0, 2.6)</w:t>
            </w:r>
          </w:p>
        </w:tc>
      </w:tr>
      <w:tr w:rsidR="00FE4F57" w:rsidRPr="00C36C9C" w14:paraId="0959ACA3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D22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Antibiotic therapy at time of NGS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642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66 (60%)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108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26 (52%)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7412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40 (67%)</w:t>
            </w:r>
          </w:p>
        </w:tc>
      </w:tr>
      <w:tr w:rsidR="00FE4F57" w:rsidRPr="00C36C9C" w14:paraId="41E0697C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916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Underlying diagnosis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F78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CB5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447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4F57" w:rsidRPr="00C36C9C" w14:paraId="3D695351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89F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Immune compromised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CE3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24 (22%)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A78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9 (18%)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1C4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15 (25%)</w:t>
            </w:r>
          </w:p>
        </w:tc>
      </w:tr>
      <w:tr w:rsidR="00FE4F57" w:rsidRPr="00C36C9C" w14:paraId="7950BB21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129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Oncological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B4E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43 (39%)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9C12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15 (29%)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211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28 (47%)</w:t>
            </w:r>
          </w:p>
        </w:tc>
      </w:tr>
      <w:tr w:rsidR="00FE4F57" w:rsidRPr="00C36C9C" w14:paraId="1BF9E9C2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CA0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Other</w:t>
            </w:r>
            <w:r w:rsidRPr="00C36C9C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AE6E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21 (19%)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B92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12 (24%)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1AE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9 (15%)</w:t>
            </w:r>
          </w:p>
        </w:tc>
      </w:tr>
      <w:tr w:rsidR="00FE4F57" w:rsidRPr="00C36C9C" w14:paraId="6F3FE3FD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892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None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503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23 (21%)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5C6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15 (29%)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9341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8 (13%)</w:t>
            </w:r>
          </w:p>
        </w:tc>
      </w:tr>
      <w:tr w:rsidR="00FE4F57" w:rsidRPr="00C36C9C" w14:paraId="59F07BBB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635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Indication for NGS-testing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A36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37E3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A4AE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4F57" w:rsidRPr="00C36C9C" w14:paraId="2F454B8E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8A9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SIRS of unknown origin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1AD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96 (86%)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AA7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44 (86%)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2A3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52 (87%)</w:t>
            </w:r>
          </w:p>
        </w:tc>
      </w:tr>
      <w:tr w:rsidR="00FE4F57" w:rsidRPr="00C36C9C" w14:paraId="1156A0E4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517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Suspected infection with a rare germ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212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12 (11%)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015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4 (7.8%)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C9D2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8 (13%)</w:t>
            </w:r>
          </w:p>
        </w:tc>
      </w:tr>
      <w:tr w:rsidR="00FE4F57" w:rsidRPr="00C36C9C" w14:paraId="2C963A30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00B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Control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C3DE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3 (2.7%)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0A9E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3 (5.9%)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299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0 (0%)</w:t>
            </w:r>
          </w:p>
        </w:tc>
      </w:tr>
      <w:tr w:rsidR="00FE4F57" w:rsidRPr="00C36C9C" w14:paraId="3FBA5FFA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083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Blood-cultures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42C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2B95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D3D0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4F57" w:rsidRPr="00C36C9C" w14:paraId="045236A1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C30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Positive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A8C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7 (8.4%)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ADD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 (5.1%)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D8F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5 (11%)</w:t>
            </w:r>
          </w:p>
        </w:tc>
      </w:tr>
      <w:tr w:rsidR="00FE4F57" w:rsidRPr="00C36C9C" w14:paraId="42AE74CF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691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Negative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B1A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76 (92%)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93B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37 (95%)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758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39 (89%)</w:t>
            </w:r>
          </w:p>
        </w:tc>
      </w:tr>
      <w:tr w:rsidR="00FE4F57" w:rsidRPr="00C36C9C" w14:paraId="387B622F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03B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Urine-cultures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472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0ABE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EC9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4F57" w:rsidRPr="00C36C9C" w14:paraId="2A4CD0B6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776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Positive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359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10 (18%)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1978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4 (14%)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31F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6 (21%)</w:t>
            </w:r>
          </w:p>
        </w:tc>
      </w:tr>
      <w:tr w:rsidR="00FE4F57" w:rsidRPr="00C36C9C" w14:paraId="48281D8C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F92E2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Negative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CDD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47 (82%)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017A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25 (86%)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84B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22 (79%)</w:t>
            </w:r>
          </w:p>
        </w:tc>
      </w:tr>
      <w:tr w:rsidR="00FE4F57" w:rsidRPr="00C36C9C" w14:paraId="1866A638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5F32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PCR detection of virus in blood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EB1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8B3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C2C2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4F57" w:rsidRPr="00C36C9C" w14:paraId="40A62DF5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61E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Positive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81A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15 (52%)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0672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4 (27%)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FE2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11 (79%)</w:t>
            </w:r>
          </w:p>
        </w:tc>
      </w:tr>
      <w:tr w:rsidR="00FE4F57" w:rsidRPr="00C36C9C" w14:paraId="4C1C337E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D94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Negative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591B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14 (48%)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35A2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11 (73%)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500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3 (21%)</w:t>
            </w:r>
          </w:p>
        </w:tc>
      </w:tr>
      <w:tr w:rsidR="00FE4F57" w:rsidRPr="00C36C9C" w14:paraId="5ABA3E14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4FA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Broncho-alveolar lavage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7C3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BC1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B3F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4F57" w:rsidRPr="00C36C9C" w14:paraId="21E00E0F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661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Positive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B47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 (67%)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9FE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0 (0%)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51F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 (100%)</w:t>
            </w:r>
          </w:p>
        </w:tc>
      </w:tr>
      <w:tr w:rsidR="00FE4F57" w:rsidRPr="00C36C9C" w14:paraId="4F431512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234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Negative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104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 (33%)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217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 (100%)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D79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0 (0%)</w:t>
            </w:r>
          </w:p>
        </w:tc>
      </w:tr>
      <w:tr w:rsidR="00FE4F57" w:rsidRPr="00C36C9C" w14:paraId="62A0671C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438E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Clinical impact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8DA2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3AA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A28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4F57" w:rsidRPr="00C36C9C" w14:paraId="279181C3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901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lastRenderedPageBreak/>
              <w:t>Confirmation of diagnosis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747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7 (6.3%)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C69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 (3.9%)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DA9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5 (8.3%)</w:t>
            </w:r>
          </w:p>
        </w:tc>
      </w:tr>
      <w:tr w:rsidR="00FE4F57" w:rsidRPr="00C36C9C" w14:paraId="0026AC47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E47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Therapy control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78B4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29 (26%)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26E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6 (12%)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DBA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23 (38%)</w:t>
            </w:r>
          </w:p>
        </w:tc>
      </w:tr>
      <w:tr w:rsidR="00FE4F57" w:rsidRPr="00C36C9C" w14:paraId="17F6087D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D70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Discontinuation of anti-infective therapy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894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45 (41%)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1BF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26 (51%)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D542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19 (32%)</w:t>
            </w:r>
          </w:p>
        </w:tc>
      </w:tr>
      <w:tr w:rsidR="00FE4F57" w:rsidRPr="00C36C9C" w14:paraId="06DC1674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702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No start of anti-infective therapy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C88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33 (30%)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C14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19 (37%)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DA5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14 (23%)</w:t>
            </w:r>
          </w:p>
        </w:tc>
      </w:tr>
      <w:tr w:rsidR="00FE4F57" w:rsidRPr="00C36C9C" w14:paraId="298EF8A3" w14:textId="77777777" w:rsidTr="002D6A1A">
        <w:trPr>
          <w:jc w:val="center"/>
        </w:trPr>
        <w:tc>
          <w:tcPr>
            <w:tcW w:w="39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0C8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Start of specific anti-infective therapy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525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8 (7.2%)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4E5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0 (0%)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4A6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8 (13%)</w:t>
            </w:r>
          </w:p>
        </w:tc>
      </w:tr>
      <w:tr w:rsidR="00FE4F57" w:rsidRPr="00C36C9C" w14:paraId="348E0401" w14:textId="77777777" w:rsidTr="002D6A1A">
        <w:trPr>
          <w:trHeight w:val="159"/>
          <w:jc w:val="center"/>
        </w:trPr>
        <w:tc>
          <w:tcPr>
            <w:tcW w:w="907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522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Median (Q1, Q3); n (%)</w:t>
            </w:r>
          </w:p>
        </w:tc>
      </w:tr>
      <w:tr w:rsidR="00FE4F57" w:rsidRPr="00C36C9C" w14:paraId="722F23FF" w14:textId="77777777" w:rsidTr="002D6A1A">
        <w:trPr>
          <w:jc w:val="center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5FA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 xml:space="preserve">Diagnoses classified under others </w:t>
            </w:r>
            <w:proofErr w:type="gramStart"/>
            <w:r w:rsidRPr="00C36C9C">
              <w:rPr>
                <w:rFonts w:ascii="Times New Roman" w:eastAsia="Times New Roman" w:hAnsi="Times New Roman" w:cs="Times New Roman"/>
                <w:color w:val="000000"/>
              </w:rPr>
              <w:t>were:</w:t>
            </w:r>
            <w:proofErr w:type="gramEnd"/>
            <w:r w:rsidRPr="00C36C9C">
              <w:rPr>
                <w:rFonts w:ascii="Times New Roman" w:eastAsia="Times New Roman" w:hAnsi="Times New Roman" w:cs="Times New Roman"/>
                <w:color w:val="000000"/>
              </w:rPr>
              <w:t xml:space="preserve"> JIA, cystic fibrosis, BPD, Morbus Crohn, unknown congenital disorder, epileptic encephalopathy, myopathy, hypoxic-</w:t>
            </w:r>
            <w:proofErr w:type="spellStart"/>
            <w:r w:rsidRPr="00C36C9C">
              <w:rPr>
                <w:rFonts w:ascii="Times New Roman" w:eastAsia="Times New Roman" w:hAnsi="Times New Roman" w:cs="Times New Roman"/>
                <w:color w:val="000000"/>
              </w:rPr>
              <w:t>ischaemic</w:t>
            </w:r>
            <w:proofErr w:type="spellEnd"/>
            <w:r w:rsidRPr="00C36C9C">
              <w:rPr>
                <w:rFonts w:ascii="Times New Roman" w:eastAsia="Times New Roman" w:hAnsi="Times New Roman" w:cs="Times New Roman"/>
                <w:color w:val="000000"/>
              </w:rPr>
              <w:t xml:space="preserve"> encephalopathy, short bowel syndrome, sickle cell anemia.</w:t>
            </w:r>
          </w:p>
        </w:tc>
      </w:tr>
    </w:tbl>
    <w:p w14:paraId="1584D7AA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65AB3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9C05B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6ADBE7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3DB63F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B0F44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4E8642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BA1326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448590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AEED45" w14:textId="77777777" w:rsidR="00FE4F57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B9430" w14:textId="77777777" w:rsidR="00FE4F57" w:rsidRPr="00C36C9C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524922" w14:textId="77777777" w:rsidR="00FE4F57" w:rsidRPr="00C36C9C" w:rsidRDefault="00FE4F57" w:rsidP="00FE4F57">
      <w:pPr>
        <w:pBdr>
          <w:top w:val="nil"/>
          <w:left w:val="nil"/>
          <w:bottom w:val="nil"/>
          <w:right w:val="nil"/>
          <w:between w:val="nil"/>
        </w:pBdr>
        <w:spacing w:before="180"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6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Table 2 - Microbes identified by NGS; Numbers indicate counts of detections across tests. Group A = bacteria, Group B = viruses, Group C = fungi, Group D = parasites</w:t>
      </w:r>
    </w:p>
    <w:tbl>
      <w:tblPr>
        <w:tblW w:w="9070" w:type="dxa"/>
        <w:jc w:val="center"/>
        <w:tblLayout w:type="fixed"/>
        <w:tblLook w:val="0420" w:firstRow="1" w:lastRow="0" w:firstColumn="0" w:lastColumn="0" w:noHBand="0" w:noVBand="1"/>
      </w:tblPr>
      <w:tblGrid>
        <w:gridCol w:w="1054"/>
        <w:gridCol w:w="8016"/>
      </w:tblGrid>
      <w:tr w:rsidR="00FE4F57" w:rsidRPr="00C36C9C" w14:paraId="553F4734" w14:textId="77777777" w:rsidTr="002D6A1A">
        <w:trPr>
          <w:tblHeader/>
          <w:jc w:val="center"/>
        </w:trPr>
        <w:tc>
          <w:tcPr>
            <w:tcW w:w="1054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75E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Group</w:t>
            </w:r>
          </w:p>
        </w:tc>
        <w:tc>
          <w:tcPr>
            <w:tcW w:w="8016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86A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Species</w:t>
            </w:r>
          </w:p>
        </w:tc>
      </w:tr>
      <w:tr w:rsidR="00FE4F57" w:rsidRPr="00C36C9C" w14:paraId="2EB1D7F6" w14:textId="77777777" w:rsidTr="002D6A1A">
        <w:trPr>
          <w:jc w:val="center"/>
        </w:trPr>
        <w:tc>
          <w:tcPr>
            <w:tcW w:w="1054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841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Bacteria</w:t>
            </w:r>
          </w:p>
        </w:tc>
        <w:tc>
          <w:tcPr>
            <w:tcW w:w="8016" w:type="dxa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076E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Enterococcus faecium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(14),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Staphylococcus epidermidis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(5),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Burkholderia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contaminans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(3),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Haemophilus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influenzae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(3),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Escherichia coli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(2),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Fusobacterium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nucleatum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(2),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Pseudomonas aeruginosa 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(2),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Serratia marcescens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(2),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Bacteroides fragilis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Bacteroides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stercoris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Cutibacterium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acnes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Flavonifractor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plautii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Haemophilus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parainfluenzae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Klebsiella pneumoniae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Kocuria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palustris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Lactobacillus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sakei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Moraxella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osloensis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Mycobacterium chimaera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Parabacteroides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merdae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Parvimonas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micra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Phocaeicola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vulgatus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Prevotella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oris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Propionibacterium sp. oral taxon 193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Pseudomonas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protegens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Staphylococcus aureus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Staphylococcus hominis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Streptococcus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gordonii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</w:t>
            </w:r>
          </w:p>
        </w:tc>
      </w:tr>
      <w:tr w:rsidR="00FE4F57" w:rsidRPr="00C36C9C" w14:paraId="1710CFC1" w14:textId="77777777" w:rsidTr="002D6A1A">
        <w:trPr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B96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Viruses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97B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Human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gammaherpesvirus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4 (8), Human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betaherpesvirus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5 (7), Human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mastadenovirus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c (5), </w:t>
            </w:r>
            <w:r w:rsidRPr="00CE409E">
              <w:rPr>
                <w:rFonts w:ascii="Times New Roman" w:eastAsia="Arial" w:hAnsi="Times New Roman" w:cs="Times New Roman"/>
                <w:color w:val="000000"/>
              </w:rPr>
              <w:t xml:space="preserve">Torque </w:t>
            </w:r>
            <w:proofErr w:type="spellStart"/>
            <w:r w:rsidRPr="00CE409E">
              <w:rPr>
                <w:rFonts w:ascii="Times New Roman" w:eastAsia="Arial" w:hAnsi="Times New Roman" w:cs="Times New Roman"/>
                <w:color w:val="000000"/>
              </w:rPr>
              <w:t>teno</w:t>
            </w:r>
            <w:proofErr w:type="spellEnd"/>
            <w:r w:rsidRPr="00CE409E">
              <w:rPr>
                <w:rFonts w:ascii="Times New Roman" w:eastAsia="Arial" w:hAnsi="Times New Roman" w:cs="Times New Roman"/>
                <w:color w:val="000000"/>
              </w:rPr>
              <w:t xml:space="preserve"> virus 10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(5), Human polyomavirus 1 (4), Human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alphaherpesvirus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3 (2), Human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betaherpesvirus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6b (2), Torque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teno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virus 13 (2), Torque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teno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virus 19 (2), Adenovirus 1 (1), Adenovirus 5 (1), Torque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teno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virus 11 (1), Torque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teno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virus 16 (1), Torque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teno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virus 22 (1), Torque </w:t>
            </w:r>
            <w:proofErr w:type="spellStart"/>
            <w:r w:rsidRPr="00C36C9C">
              <w:rPr>
                <w:rFonts w:ascii="Times New Roman" w:eastAsia="Arial" w:hAnsi="Times New Roman" w:cs="Times New Roman"/>
                <w:color w:val="000000"/>
              </w:rPr>
              <w:t>teno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virus 24 (1)</w:t>
            </w:r>
          </w:p>
        </w:tc>
      </w:tr>
      <w:tr w:rsidR="00FE4F57" w:rsidRPr="00C36C9C" w14:paraId="30154A51" w14:textId="77777777" w:rsidTr="002D6A1A">
        <w:trPr>
          <w:jc w:val="center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EB6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Fungi</w:t>
            </w:r>
          </w:p>
        </w:tc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31B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Aspergillus fumigatus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(3),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Candida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dubliniensis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</w:t>
            </w:r>
          </w:p>
        </w:tc>
      </w:tr>
      <w:tr w:rsidR="00FE4F57" w:rsidRPr="00C36C9C" w14:paraId="7712A107" w14:textId="77777777" w:rsidTr="002D6A1A">
        <w:trPr>
          <w:jc w:val="center"/>
        </w:trPr>
        <w:tc>
          <w:tcPr>
            <w:tcW w:w="1054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E38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Arial" w:hAnsi="Times New Roman" w:cs="Times New Roman"/>
                <w:color w:val="000000"/>
              </w:rPr>
              <w:t>Parasites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DE0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Enterocytozoon</w:t>
            </w:r>
            <w:proofErr w:type="spellEnd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bieneusi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(3),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 xml:space="preserve">Leishmania </w:t>
            </w:r>
            <w:proofErr w:type="spellStart"/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donovani</w:t>
            </w:r>
            <w:proofErr w:type="spellEnd"/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(1), </w:t>
            </w:r>
            <w:r w:rsidRPr="00CE409E">
              <w:rPr>
                <w:rFonts w:ascii="Times New Roman" w:eastAsia="Arial" w:hAnsi="Times New Roman" w:cs="Times New Roman"/>
                <w:i/>
                <w:iCs/>
                <w:color w:val="000000"/>
              </w:rPr>
              <w:t>Leishmania infantum</w:t>
            </w:r>
            <w:r w:rsidRPr="00C36C9C">
              <w:rPr>
                <w:rFonts w:ascii="Times New Roman" w:eastAsia="Arial" w:hAnsi="Times New Roman" w:cs="Times New Roman"/>
                <w:color w:val="000000"/>
              </w:rPr>
              <w:t xml:space="preserve"> (1)</w:t>
            </w:r>
          </w:p>
        </w:tc>
      </w:tr>
    </w:tbl>
    <w:p w14:paraId="20B8937D" w14:textId="77777777" w:rsidR="00FE4F57" w:rsidRDefault="00FE4F57" w:rsidP="00FE4F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32"/>
          <w:id w:val="-264992952"/>
          <w:showingPlcHdr/>
        </w:sdtPr>
        <w:sdtContent>
          <w:r w:rsidRPr="00C36C9C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p w14:paraId="5367E5F3" w14:textId="77777777" w:rsidR="00FE4F57" w:rsidRDefault="00FE4F57" w:rsidP="00FE4F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4ED1C" w14:textId="77777777" w:rsidR="00FE4F57" w:rsidRDefault="00FE4F57" w:rsidP="00FE4F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B45D8" w14:textId="77777777" w:rsidR="00FE4F57" w:rsidRDefault="00FE4F57" w:rsidP="00FE4F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5CE61" w14:textId="77777777" w:rsidR="00FE4F57" w:rsidRDefault="00FE4F57" w:rsidP="00FE4F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D6DFF" w14:textId="77777777" w:rsidR="00FE4F57" w:rsidRDefault="00FE4F57" w:rsidP="00FE4F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E580D" w14:textId="77777777" w:rsidR="00FE4F57" w:rsidRPr="00C36C9C" w:rsidRDefault="00FE4F57" w:rsidP="00FE4F5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EE552" w14:textId="77777777" w:rsidR="00FE4F57" w:rsidRPr="00C36C9C" w:rsidRDefault="00FE4F57" w:rsidP="00FE4F57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C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3</w:t>
      </w:r>
      <w:r w:rsidRPr="00C36C9C">
        <w:rPr>
          <w:rFonts w:ascii="Times New Roman" w:hAnsi="Times New Roman" w:cs="Times New Roman"/>
          <w:sz w:val="24"/>
          <w:szCs w:val="24"/>
        </w:rPr>
        <w:t xml:space="preserve"> - </w:t>
      </w:r>
      <w:r w:rsidRPr="00C36C9C">
        <w:rPr>
          <w:rFonts w:ascii="Times New Roman" w:eastAsia="Times New Roman" w:hAnsi="Times New Roman" w:cs="Times New Roman"/>
          <w:b/>
          <w:sz w:val="24"/>
          <w:szCs w:val="24"/>
        </w:rPr>
        <w:t>Comparison of NGS with conventional diagnostics. Panels A = bacteria; B = viruses; C = only relevant bacteria; D = only relevant viruses.</w:t>
      </w:r>
    </w:p>
    <w:tbl>
      <w:tblPr>
        <w:tblW w:w="9070" w:type="dxa"/>
        <w:jc w:val="center"/>
        <w:tblLayout w:type="fixed"/>
        <w:tblLook w:val="0420" w:firstRow="1" w:lastRow="0" w:firstColumn="0" w:lastColumn="0" w:noHBand="0" w:noVBand="1"/>
      </w:tblPr>
      <w:tblGrid>
        <w:gridCol w:w="1572"/>
        <w:gridCol w:w="1872"/>
        <w:gridCol w:w="1882"/>
        <w:gridCol w:w="1872"/>
        <w:gridCol w:w="1872"/>
      </w:tblGrid>
      <w:tr w:rsidR="00FE4F57" w:rsidRPr="00C36C9C" w14:paraId="16BC900A" w14:textId="77777777" w:rsidTr="002D6A1A">
        <w:trPr>
          <w:tblHeader/>
          <w:jc w:val="center"/>
        </w:trPr>
        <w:tc>
          <w:tcPr>
            <w:tcW w:w="1572" w:type="dxa"/>
            <w:tcBorders>
              <w:top w:val="single" w:sz="12" w:space="0" w:color="666666"/>
              <w:left w:val="nil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5C7F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54" w:type="dxa"/>
            <w:gridSpan w:val="2"/>
            <w:tcBorders>
              <w:top w:val="single" w:sz="12" w:space="0" w:color="666666"/>
              <w:left w:val="single" w:sz="8" w:space="0" w:color="666666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489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b/>
                <w:color w:val="000000"/>
              </w:rPr>
              <w:t>A - Only Bacteria</w:t>
            </w:r>
          </w:p>
        </w:tc>
        <w:tc>
          <w:tcPr>
            <w:tcW w:w="3744" w:type="dxa"/>
            <w:gridSpan w:val="2"/>
            <w:tcBorders>
              <w:top w:val="single" w:sz="12" w:space="0" w:color="666666"/>
              <w:left w:val="single" w:sz="8" w:space="0" w:color="666666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4AC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-1273251012"/>
              </w:sdtPr>
              <w:sdtContent/>
            </w:sdt>
            <w:r w:rsidRPr="00C36C9C">
              <w:rPr>
                <w:rFonts w:ascii="Times New Roman" w:eastAsia="Times New Roman" w:hAnsi="Times New Roman" w:cs="Times New Roman"/>
                <w:b/>
                <w:color w:val="000000"/>
              </w:rPr>
              <w:t>B - Only Viruses</w:t>
            </w:r>
          </w:p>
        </w:tc>
      </w:tr>
      <w:tr w:rsidR="00FE4F57" w:rsidRPr="00C36C9C" w14:paraId="5CAF601D" w14:textId="77777777" w:rsidTr="002D6A1A">
        <w:trPr>
          <w:tblHeader/>
          <w:jc w:val="center"/>
        </w:trPr>
        <w:tc>
          <w:tcPr>
            <w:tcW w:w="1572" w:type="dxa"/>
            <w:tcBorders>
              <w:top w:val="single" w:sz="6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82F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4"/>
                <w:id w:val="1672805954"/>
                <w:showingPlcHdr/>
              </w:sdtPr>
              <w:sdtContent>
                <w:r w:rsidRPr="00C36C9C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  <w:tc>
          <w:tcPr>
            <w:tcW w:w="1872" w:type="dxa"/>
            <w:tcBorders>
              <w:top w:val="single" w:sz="6" w:space="0" w:color="666666"/>
              <w:left w:val="single" w:sz="8" w:space="0" w:color="666666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DB1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Conventional diagnostics positive</w:t>
            </w:r>
          </w:p>
        </w:tc>
        <w:tc>
          <w:tcPr>
            <w:tcW w:w="1882" w:type="dxa"/>
            <w:tcBorders>
              <w:top w:val="single" w:sz="6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561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Conventional diagnostics negative</w:t>
            </w:r>
          </w:p>
        </w:tc>
        <w:tc>
          <w:tcPr>
            <w:tcW w:w="1872" w:type="dxa"/>
            <w:tcBorders>
              <w:top w:val="single" w:sz="6" w:space="0" w:color="666666"/>
              <w:left w:val="single" w:sz="8" w:space="0" w:color="666666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0ABE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Conventional diagnostics positive</w:t>
            </w:r>
          </w:p>
        </w:tc>
        <w:tc>
          <w:tcPr>
            <w:tcW w:w="1872" w:type="dxa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EDD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Conventional diagnostics negative</w:t>
            </w:r>
          </w:p>
        </w:tc>
      </w:tr>
      <w:tr w:rsidR="00FE4F57" w:rsidRPr="00C36C9C" w14:paraId="0739F7C4" w14:textId="77777777" w:rsidTr="002D6A1A">
        <w:trPr>
          <w:jc w:val="center"/>
        </w:trPr>
        <w:tc>
          <w:tcPr>
            <w:tcW w:w="1572" w:type="dxa"/>
            <w:tcBorders>
              <w:top w:val="single" w:sz="12" w:space="0" w:color="666666"/>
              <w:left w:val="nil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15A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NGS positive</w:t>
            </w:r>
          </w:p>
        </w:tc>
        <w:tc>
          <w:tcPr>
            <w:tcW w:w="1872" w:type="dxa"/>
            <w:tcBorders>
              <w:top w:val="single" w:sz="12" w:space="0" w:color="666666"/>
              <w:left w:val="single" w:sz="8" w:space="0" w:color="666666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38DB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82" w:type="dxa"/>
            <w:tcBorders>
              <w:top w:val="single" w:sz="12" w:space="0" w:color="666666"/>
              <w:left w:val="nil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D0D7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72" w:type="dxa"/>
            <w:tcBorders>
              <w:top w:val="single" w:sz="12" w:space="0" w:color="666666"/>
              <w:left w:val="single" w:sz="8" w:space="0" w:color="666666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606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72" w:type="dxa"/>
            <w:tcBorders>
              <w:top w:val="single" w:sz="12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F35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FE4F57" w:rsidRPr="00C36C9C" w14:paraId="6BD2FF13" w14:textId="77777777" w:rsidTr="002D6A1A">
        <w:trPr>
          <w:jc w:val="center"/>
        </w:trPr>
        <w:tc>
          <w:tcPr>
            <w:tcW w:w="1572" w:type="dxa"/>
            <w:tcBorders>
              <w:top w:val="single" w:sz="6" w:space="0" w:color="666666"/>
              <w:left w:val="nil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DA6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NGS negative or different pathogen</w:t>
            </w:r>
          </w:p>
        </w:tc>
        <w:tc>
          <w:tcPr>
            <w:tcW w:w="1872" w:type="dxa"/>
            <w:tcBorders>
              <w:top w:val="single" w:sz="6" w:space="0" w:color="666666"/>
              <w:left w:val="single" w:sz="8" w:space="0" w:color="666666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07E5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82" w:type="dxa"/>
            <w:tcBorders>
              <w:top w:val="single" w:sz="6" w:space="0" w:color="666666"/>
              <w:left w:val="nil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D1E7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872" w:type="dxa"/>
            <w:tcBorders>
              <w:top w:val="single" w:sz="6" w:space="0" w:color="666666"/>
              <w:left w:val="single" w:sz="8" w:space="0" w:color="666666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728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72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205A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</w:tr>
      <w:tr w:rsidR="00FE4F57" w:rsidRPr="00C36C9C" w14:paraId="6A009B9C" w14:textId="77777777" w:rsidTr="002D6A1A">
        <w:trPr>
          <w:jc w:val="center"/>
        </w:trPr>
        <w:tc>
          <w:tcPr>
            <w:tcW w:w="1572" w:type="dxa"/>
            <w:tcBorders>
              <w:top w:val="single" w:sz="6" w:space="0" w:color="666666"/>
              <w:left w:val="nil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68B3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54" w:type="dxa"/>
            <w:gridSpan w:val="2"/>
            <w:tcBorders>
              <w:top w:val="single" w:sz="6" w:space="0" w:color="666666"/>
              <w:left w:val="single" w:sz="8" w:space="0" w:color="666666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6AF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b/>
                <w:color w:val="000000"/>
              </w:rPr>
              <w:t>C - Only Relevant Bacteria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C36C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744" w:type="dxa"/>
            <w:gridSpan w:val="2"/>
            <w:tcBorders>
              <w:top w:val="single" w:sz="6" w:space="0" w:color="666666"/>
              <w:left w:val="single" w:sz="8" w:space="0" w:color="666666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CB64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5"/>
                <w:id w:val="-1675535862"/>
              </w:sdtPr>
              <w:sdtContent/>
            </w:sdt>
            <w:r w:rsidRPr="00C36C9C">
              <w:rPr>
                <w:rFonts w:ascii="Times New Roman" w:eastAsia="Times New Roman" w:hAnsi="Times New Roman" w:cs="Times New Roman"/>
                <w:b/>
                <w:color w:val="000000"/>
              </w:rPr>
              <w:t>D - Only Relevant Viruses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</w:tr>
      <w:tr w:rsidR="00FE4F57" w:rsidRPr="00C36C9C" w14:paraId="1B66F69A" w14:textId="77777777" w:rsidTr="002D6A1A">
        <w:trPr>
          <w:jc w:val="center"/>
        </w:trPr>
        <w:tc>
          <w:tcPr>
            <w:tcW w:w="1572" w:type="dxa"/>
            <w:tcBorders>
              <w:top w:val="single" w:sz="6" w:space="0" w:color="666666"/>
              <w:left w:val="nil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992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6"/>
                <w:id w:val="-1278825861"/>
                <w:showingPlcHdr/>
              </w:sdtPr>
              <w:sdtContent>
                <w:r w:rsidRPr="00C36C9C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  <w:r w:rsidRPr="00C36C9C">
              <w:rPr>
                <w:rFonts w:ascii="Times New Roman" w:eastAsia="Times New Roman" w:hAnsi="Times New Roman" w:cs="Times New Roman"/>
                <w:color w:val="000000"/>
              </w:rPr>
              <w:t xml:space="preserve">NGS positive </w:t>
            </w:r>
          </w:p>
        </w:tc>
        <w:tc>
          <w:tcPr>
            <w:tcW w:w="1872" w:type="dxa"/>
            <w:tcBorders>
              <w:top w:val="single" w:sz="6" w:space="0" w:color="666666"/>
              <w:left w:val="single" w:sz="8" w:space="0" w:color="666666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FD3C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82" w:type="dxa"/>
            <w:tcBorders>
              <w:top w:val="single" w:sz="6" w:space="0" w:color="666666"/>
              <w:left w:val="nil"/>
              <w:bottom w:val="single" w:sz="6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AEE0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72" w:type="dxa"/>
            <w:tcBorders>
              <w:top w:val="single" w:sz="6" w:space="0" w:color="666666"/>
              <w:left w:val="single" w:sz="8" w:space="0" w:color="666666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BD8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72" w:type="dxa"/>
            <w:tcBorders>
              <w:top w:val="single" w:sz="6" w:space="0" w:color="666666"/>
              <w:left w:val="nil"/>
              <w:bottom w:val="single" w:sz="6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1BD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FE4F57" w:rsidRPr="00C36C9C" w14:paraId="17CA8C85" w14:textId="77777777" w:rsidTr="002D6A1A">
        <w:trPr>
          <w:jc w:val="center"/>
        </w:trPr>
        <w:tc>
          <w:tcPr>
            <w:tcW w:w="1572" w:type="dxa"/>
            <w:tcBorders>
              <w:top w:val="single" w:sz="6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3036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 xml:space="preserve">NGS negative or different pathogen </w:t>
            </w:r>
          </w:p>
        </w:tc>
        <w:tc>
          <w:tcPr>
            <w:tcW w:w="1872" w:type="dxa"/>
            <w:tcBorders>
              <w:top w:val="single" w:sz="6" w:space="0" w:color="666666"/>
              <w:left w:val="single" w:sz="8" w:space="0" w:color="666666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5F48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82" w:type="dxa"/>
            <w:tcBorders>
              <w:top w:val="single" w:sz="6" w:space="0" w:color="666666"/>
              <w:left w:val="nil"/>
              <w:bottom w:val="single" w:sz="12" w:space="0" w:color="666666"/>
              <w:right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3AED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72" w:type="dxa"/>
            <w:tcBorders>
              <w:top w:val="single" w:sz="6" w:space="0" w:color="666666"/>
              <w:left w:val="single" w:sz="8" w:space="0" w:color="666666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73E9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2" w:type="dxa"/>
            <w:tcBorders>
              <w:top w:val="single" w:sz="6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7501" w14:textId="77777777" w:rsidR="00FE4F57" w:rsidRPr="00C36C9C" w:rsidRDefault="00FE4F57" w:rsidP="002D6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</w:rPr>
            </w:pPr>
            <w:r w:rsidRPr="00C36C9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</w:tbl>
    <w:p w14:paraId="538CCC20" w14:textId="56467B04" w:rsidR="00F25A17" w:rsidRPr="00FE4F57" w:rsidRDefault="00FE4F57" w:rsidP="00FE4F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C36C9C">
        <w:rPr>
          <w:rFonts w:ascii="Times New Roman" w:hAnsi="Times New Roman" w:cs="Times New Roman"/>
        </w:rPr>
        <w:t xml:space="preserve">Relevant </w:t>
      </w:r>
      <w:r>
        <w:rPr>
          <w:rFonts w:ascii="Times New Roman" w:hAnsi="Times New Roman" w:cs="Times New Roman"/>
        </w:rPr>
        <w:t xml:space="preserve">organisms </w:t>
      </w:r>
      <w:r w:rsidRPr="00C36C9C">
        <w:rPr>
          <w:rFonts w:ascii="Times New Roman" w:hAnsi="Times New Roman" w:cs="Times New Roman"/>
        </w:rPr>
        <w:t>were defined as NGS-detected species judged clinically significant based on infection focus, patient context, and inflammatory response</w:t>
      </w:r>
      <w:r>
        <w:rPr>
          <w:rFonts w:ascii="Times New Roman" w:hAnsi="Times New Roman" w:cs="Times New Roman"/>
        </w:rPr>
        <w:t xml:space="preserve"> by pediatric infectious disease specialist</w:t>
      </w:r>
      <w:r w:rsidRPr="00C36C9C">
        <w:rPr>
          <w:rFonts w:ascii="Times New Roman" w:hAnsi="Times New Roman" w:cs="Times New Roman"/>
        </w:rPr>
        <w:t>, excluding typical contaminants or commensals.</w:t>
      </w:r>
    </w:p>
    <w:sectPr w:rsidR="00F25A17" w:rsidRPr="00FE4F57" w:rsidSect="00FE4F57">
      <w:footerReference w:type="default" r:id="rId4"/>
      <w:pgSz w:w="11906" w:h="16838"/>
      <w:pgMar w:top="1418" w:right="1418" w:bottom="1134" w:left="1418" w:header="709" w:footer="709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D830" w14:textId="77777777" w:rsidR="00FE4F57" w:rsidRDefault="00FE4F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1F1B03B" w14:textId="77777777" w:rsidR="00FE4F57" w:rsidRDefault="00FE4F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57"/>
    <w:rsid w:val="00070604"/>
    <w:rsid w:val="00C0456B"/>
    <w:rsid w:val="00D504B5"/>
    <w:rsid w:val="00DC4DD9"/>
    <w:rsid w:val="00E01861"/>
    <w:rsid w:val="00F25A17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54090"/>
  <w15:chartTrackingRefBased/>
  <w15:docId w15:val="{661053A3-3EDA-7046-91F7-7A6EDE4E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F57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4F5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4F5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4F5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F5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F5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F5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F5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F5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F5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4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4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4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F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F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F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F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F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F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4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E4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4F57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4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4F57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E4F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4F5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E4F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4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4F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4F57"/>
    <w:rPr>
      <w:b/>
      <w:bCs/>
      <w:smallCaps/>
      <w:color w:val="0F4761" w:themeColor="accent1" w:themeShade="BF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FE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3457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Goretzki</dc:creator>
  <cp:keywords/>
  <dc:description/>
  <cp:lastModifiedBy>Sarah Goretzki</cp:lastModifiedBy>
  <cp:revision>1</cp:revision>
  <dcterms:created xsi:type="dcterms:W3CDTF">2025-10-29T19:51:00Z</dcterms:created>
  <dcterms:modified xsi:type="dcterms:W3CDTF">2025-10-29T19:52:00Z</dcterms:modified>
</cp:coreProperties>
</file>