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A5882" w14:textId="77777777" w:rsidR="00C171AF" w:rsidRPr="002F2BEA" w:rsidRDefault="00C171AF" w:rsidP="00C171AF">
      <w:pPr>
        <w:pStyle w:val="MDPI21heading1"/>
        <w:suppressAutoHyphens/>
        <w:ind w:left="0"/>
        <w:rPr>
          <w:rFonts w:asciiTheme="majorBidi" w:hAnsiTheme="majorBidi" w:cstheme="majorBidi"/>
        </w:rPr>
      </w:pPr>
      <w:r w:rsidRPr="002F2BEA">
        <w:rPr>
          <w:rFonts w:asciiTheme="majorBidi" w:hAnsiTheme="majorBidi" w:cstheme="majorBidi"/>
          <w:szCs w:val="24"/>
        </w:rPr>
        <w:t>Appendix</w:t>
      </w:r>
      <w:r w:rsidRPr="002F2BEA">
        <w:rPr>
          <w:rFonts w:asciiTheme="majorBidi" w:hAnsiTheme="majorBidi" w:cstheme="majorBidi"/>
        </w:rPr>
        <w:t xml:space="preserve"> </w:t>
      </w:r>
    </w:p>
    <w:p w14:paraId="26B23AEF" w14:textId="77777777" w:rsidR="00C171AF" w:rsidRPr="002F2BEA" w:rsidRDefault="00C171AF" w:rsidP="00C171AF">
      <w:pPr>
        <w:pStyle w:val="MDPI31text"/>
        <w:suppressAutoHyphens/>
        <w:spacing w:line="280" w:lineRule="exact"/>
        <w:ind w:left="0" w:firstLine="0"/>
        <w:jc w:val="left"/>
        <w:rPr>
          <w:rFonts w:asciiTheme="majorBidi" w:hAnsiTheme="majorBidi" w:cstheme="majorBidi"/>
        </w:rPr>
        <w:sectPr w:rsidR="00C171AF" w:rsidRPr="002F2BEA" w:rsidSect="00C171AF">
          <w:headerReference w:type="even" r:id="rId5"/>
          <w:footerReference w:type="default" r:id="rId6"/>
          <w:footerReference w:type="first" r:id="rId7"/>
          <w:pgSz w:w="11906" w:h="16838" w:code="9"/>
          <w:pgMar w:top="1440" w:right="1008" w:bottom="1440" w:left="1440" w:header="720" w:footer="619" w:gutter="0"/>
          <w:cols w:space="425"/>
          <w:titlePg/>
          <w:bidi/>
          <w:docGrid w:type="lines" w:linePitch="326"/>
        </w:sectPr>
      </w:pPr>
    </w:p>
    <w:p w14:paraId="1E8BB626" w14:textId="77777777" w:rsidR="00C171AF" w:rsidRPr="002F2BEA" w:rsidRDefault="00C171AF" w:rsidP="00C171AF">
      <w:pPr>
        <w:pStyle w:val="Caption"/>
        <w:suppressAutoHyphens/>
        <w:rPr>
          <w:rFonts w:asciiTheme="majorBidi" w:hAnsiTheme="majorBidi" w:cstheme="majorBidi"/>
          <w:b/>
          <w:bCs/>
          <w:i w:val="0"/>
          <w:iCs w:val="0"/>
          <w:sz w:val="20"/>
          <w:szCs w:val="20"/>
        </w:rPr>
      </w:pPr>
      <w:bookmarkStart w:id="0" w:name="_Hlk199776019"/>
      <w:r w:rsidRPr="002F2BEA">
        <w:rPr>
          <w:rFonts w:asciiTheme="majorBidi" w:hAnsiTheme="majorBidi" w:cstheme="majorBidi"/>
          <w:b/>
          <w:bCs/>
          <w:i w:val="0"/>
          <w:iCs w:val="0"/>
          <w:sz w:val="20"/>
          <w:szCs w:val="20"/>
        </w:rPr>
        <w:lastRenderedPageBreak/>
        <w:t xml:space="preserve">Table </w:t>
      </w:r>
      <w:r w:rsidRPr="002F2BEA">
        <w:rPr>
          <w:rFonts w:asciiTheme="majorBidi" w:hAnsiTheme="majorBidi" w:cstheme="majorBidi"/>
          <w:b/>
          <w:bCs/>
          <w:i w:val="0"/>
          <w:iCs w:val="0"/>
          <w:sz w:val="20"/>
          <w:szCs w:val="20"/>
        </w:rPr>
        <w:fldChar w:fldCharType="begin"/>
      </w:r>
      <w:r w:rsidRPr="002F2BEA">
        <w:rPr>
          <w:rFonts w:asciiTheme="majorBidi" w:hAnsiTheme="majorBidi" w:cstheme="majorBidi"/>
          <w:b/>
          <w:bCs/>
          <w:i w:val="0"/>
          <w:iCs w:val="0"/>
          <w:sz w:val="20"/>
          <w:szCs w:val="20"/>
        </w:rPr>
        <w:instrText xml:space="preserve"> SEQ Table \* ARABIC </w:instrText>
      </w:r>
      <w:r w:rsidRPr="002F2BEA">
        <w:rPr>
          <w:rFonts w:asciiTheme="majorBidi" w:hAnsiTheme="majorBidi" w:cstheme="majorBidi"/>
          <w:b/>
          <w:bCs/>
          <w:i w:val="0"/>
          <w:iCs w:val="0"/>
          <w:sz w:val="20"/>
          <w:szCs w:val="20"/>
        </w:rPr>
        <w:fldChar w:fldCharType="separate"/>
      </w:r>
      <w:r w:rsidRPr="002F2BEA">
        <w:rPr>
          <w:rFonts w:asciiTheme="majorBidi" w:hAnsiTheme="majorBidi" w:cstheme="majorBidi"/>
          <w:b/>
          <w:bCs/>
          <w:i w:val="0"/>
          <w:iCs w:val="0"/>
          <w:noProof/>
          <w:sz w:val="20"/>
          <w:szCs w:val="20"/>
        </w:rPr>
        <w:t>8</w:t>
      </w:r>
      <w:r w:rsidRPr="002F2BEA">
        <w:rPr>
          <w:rFonts w:asciiTheme="majorBidi" w:hAnsiTheme="majorBidi" w:cstheme="majorBidi"/>
          <w:b/>
          <w:bCs/>
          <w:i w:val="0"/>
          <w:iCs w:val="0"/>
          <w:noProof/>
          <w:sz w:val="20"/>
          <w:szCs w:val="20"/>
        </w:rPr>
        <w:fldChar w:fldCharType="end"/>
      </w:r>
      <w:r w:rsidRPr="002F2BEA">
        <w:rPr>
          <w:rFonts w:asciiTheme="majorBidi" w:hAnsiTheme="majorBidi" w:cstheme="majorBidi"/>
          <w:b/>
          <w:bCs/>
          <w:i w:val="0"/>
          <w:iCs w:val="0"/>
          <w:sz w:val="20"/>
          <w:szCs w:val="20"/>
        </w:rPr>
        <w:t>: AEs and common toxicities of SACT</w:t>
      </w:r>
    </w:p>
    <w:tbl>
      <w:tblPr>
        <w:tblStyle w:val="TableGrid"/>
        <w:tblW w:w="14688" w:type="dxa"/>
        <w:tblInd w:w="-108" w:type="dxa"/>
        <w:tblLayout w:type="fixed"/>
        <w:tblLook w:val="04A0" w:firstRow="1" w:lastRow="0" w:firstColumn="1" w:lastColumn="0" w:noHBand="0" w:noVBand="1"/>
      </w:tblPr>
      <w:tblGrid>
        <w:gridCol w:w="1345"/>
        <w:gridCol w:w="1456"/>
        <w:gridCol w:w="2329"/>
        <w:gridCol w:w="9558"/>
      </w:tblGrid>
      <w:tr w:rsidR="00C171AF" w14:paraId="6A9E8D75" w14:textId="77777777" w:rsidTr="003B0468">
        <w:tc>
          <w:tcPr>
            <w:tcW w:w="1345" w:type="dxa"/>
            <w:tcBorders>
              <w:left w:val="nil"/>
              <w:right w:val="nil"/>
            </w:tcBorders>
          </w:tcPr>
          <w:p w14:paraId="70D782AE"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Drug group</w:t>
            </w:r>
          </w:p>
        </w:tc>
        <w:tc>
          <w:tcPr>
            <w:tcW w:w="1456" w:type="dxa"/>
            <w:tcBorders>
              <w:left w:val="nil"/>
              <w:right w:val="nil"/>
            </w:tcBorders>
          </w:tcPr>
          <w:p w14:paraId="16BD33DE"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Sub-classes</w:t>
            </w:r>
          </w:p>
        </w:tc>
        <w:tc>
          <w:tcPr>
            <w:tcW w:w="2329" w:type="dxa"/>
            <w:tcBorders>
              <w:left w:val="nil"/>
              <w:right w:val="nil"/>
            </w:tcBorders>
          </w:tcPr>
          <w:p w14:paraId="737B796D"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Example</w:t>
            </w:r>
          </w:p>
        </w:tc>
        <w:tc>
          <w:tcPr>
            <w:tcW w:w="9558" w:type="dxa"/>
            <w:tcBorders>
              <w:left w:val="nil"/>
              <w:right w:val="nil"/>
            </w:tcBorders>
          </w:tcPr>
          <w:p w14:paraId="62EE4A20" w14:textId="77777777" w:rsidR="00C171AF" w:rsidRPr="002F2BEA" w:rsidRDefault="00C171AF" w:rsidP="003B0468">
            <w:pPr>
              <w:suppressAutoHyphens/>
              <w:spacing w:line="276" w:lineRule="auto"/>
              <w:ind w:right="-109"/>
              <w:jc w:val="left"/>
              <w:rPr>
                <w:rFonts w:asciiTheme="majorBidi" w:hAnsiTheme="majorBidi" w:cstheme="majorBidi"/>
                <w:color w:val="auto"/>
              </w:rPr>
            </w:pPr>
            <w:r w:rsidRPr="002F2BEA">
              <w:rPr>
                <w:rFonts w:asciiTheme="majorBidi" w:hAnsiTheme="majorBidi" w:cstheme="majorBidi"/>
                <w:color w:val="auto"/>
              </w:rPr>
              <w:t xml:space="preserve">AEs </w:t>
            </w:r>
          </w:p>
        </w:tc>
      </w:tr>
      <w:tr w:rsidR="00C171AF" w14:paraId="44250D04" w14:textId="77777777" w:rsidTr="003B0468">
        <w:tc>
          <w:tcPr>
            <w:tcW w:w="1345" w:type="dxa"/>
            <w:vMerge w:val="restart"/>
            <w:tcBorders>
              <w:left w:val="nil"/>
              <w:right w:val="nil"/>
            </w:tcBorders>
          </w:tcPr>
          <w:p w14:paraId="5FA5A78E"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Alkylating agents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Pharmacology","type":"book"},"uris":["http://www.mendeley.com/documents/?uuid=5beec3d8-e650-4eb4-801e-10a6a7c655f5"]},{"id":"ITEM-4","itemData":{"DOI":"10.3389/fphar.2016.00414","author":[{"dropping-particle":"","family":"Mcquade","given":"Rachel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-4","issue":"November","issued":{"date-parts":[["2016"]]},"page":"1-14","title":"Chemotherapy-Induced Constipation and Diarrhea : Pathophysiology , Current and Emerging Treatments","type":"article-journal","volume":"7"},"uris":["http://www.mendeley.com/documents/?uuid=927b86cc-7ddd-47b0-996f-12402eddcefe"]},{"id":"ITEM-5","itemData":{"ISBN":"9780702053627","id":"ITEM-5","issued":{"date-parts":[["2016"]]},"publisher":"Elsevier","title":"Rang, H.P Ritter, J.M. Flower, R.J. Henderson, G.","type":"book"},"uris":["http://www.mendeley.com/documents/?uuid=03a538b9-d110-461b-b3aa-fd988daa0f3f"]}],"mendeley":{"formattedCitation":"&lt;sup&gt;1,7,16,19,22&lt;/sup&gt;","plainTextFormattedCitation":"1,7,16,19,22","previouslyFormattedCitation":"&lt;sup&gt;1,7,16,19,22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1,7,16,19,22</w:t>
            </w:r>
            <w:r w:rsidRPr="002F2BEA">
              <w:rPr>
                <w:rFonts w:asciiTheme="majorBidi" w:hAnsiTheme="majorBidi" w:cstheme="majorBidi"/>
                <w:color w:val="auto"/>
              </w:rPr>
              <w:fldChar w:fldCharType="end"/>
            </w:r>
          </w:p>
        </w:tc>
        <w:tc>
          <w:tcPr>
            <w:tcW w:w="1456" w:type="dxa"/>
            <w:tcBorders>
              <w:left w:val="nil"/>
              <w:right w:val="nil"/>
            </w:tcBorders>
          </w:tcPr>
          <w:p w14:paraId="7119DB8F"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Nitrogen mustards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p>
        </w:tc>
        <w:tc>
          <w:tcPr>
            <w:tcW w:w="2329" w:type="dxa"/>
            <w:tcBorders>
              <w:left w:val="nil"/>
              <w:right w:val="nil"/>
            </w:tcBorders>
          </w:tcPr>
          <w:p w14:paraId="0808E926"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Cyclophosphamide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p>
          <w:p w14:paraId="58E5155E"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Ifosfamide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p>
          <w:p w14:paraId="6771AAB0" w14:textId="77777777" w:rsidR="00C171AF" w:rsidRPr="002F2BEA" w:rsidRDefault="00C171AF" w:rsidP="003B0468">
            <w:pPr>
              <w:suppressAutoHyphens/>
              <w:spacing w:line="276" w:lineRule="auto"/>
              <w:jc w:val="left"/>
              <w:rPr>
                <w:rFonts w:asciiTheme="majorBidi" w:hAnsiTheme="majorBidi" w:cstheme="majorBidi"/>
                <w:color w:val="auto"/>
              </w:rPr>
            </w:pPr>
          </w:p>
        </w:tc>
        <w:tc>
          <w:tcPr>
            <w:tcW w:w="9558" w:type="dxa"/>
            <w:tcBorders>
              <w:left w:val="nil"/>
              <w:right w:val="nil"/>
            </w:tcBorders>
          </w:tcPr>
          <w:p w14:paraId="0EADFF3A" w14:textId="77777777" w:rsidR="00C171AF" w:rsidRPr="002F2BEA" w:rsidRDefault="00C171AF" w:rsidP="003B0468">
            <w:pPr>
              <w:suppressAutoHyphens/>
              <w:spacing w:line="276" w:lineRule="auto"/>
              <w:ind w:right="-109"/>
              <w:jc w:val="left"/>
              <w:rPr>
                <w:rFonts w:asciiTheme="majorBidi" w:hAnsiTheme="majorBidi" w:cstheme="majorBidi"/>
                <w:color w:val="auto"/>
              </w:rPr>
            </w:pPr>
            <w:r w:rsidRPr="002F2BEA">
              <w:rPr>
                <w:rFonts w:asciiTheme="majorBidi" w:hAnsiTheme="majorBidi" w:cstheme="majorBidi"/>
                <w:color w:val="auto"/>
              </w:rPr>
              <w:t>GI AEs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-3","issue":"November","issued":{"date-parts":[["2016"]]},"page":"1-14","title":"Chemotherapy-Induced Constipation and Diarrhea : Pathophysiology , Current and Emerging Treatments","type":"article-journal","volume":"7"},"uris":["http://www.mendeley.com/documents/?uuid=927b86cc-7ddd-47b0-996f-12402eddcefe"]}],"mendeley":{"formattedCitation":"&lt;sup&gt;7,16,19&lt;/sup&gt;","plainTextFormattedCitation":"7,16,19","previouslyFormattedCitation":"&lt;sup&gt;7,16,19&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7,16,19</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(nausea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-3","issue":"November","issued":{"date-parts":[["2016"]]},"page":"1-14","title":"Chemotherapy-Induced Constipation and Diarrhea : Pathophysiology , Current and Emerging Treatments","type":"article-journal","volume":"7"},"uris":["http://www.mendeley.com/documents/?uuid=927b86cc-7ddd-47b0-996f-12402eddcefe"]}],"mendeley":{"formattedCitation":"&lt;sup&gt;7,16,19&lt;/sup&gt;","plainTextFormattedCitation":"7,16,19","previouslyFormattedCitation":"&lt;sup&gt;7,16,19&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7,16,19</w:t>
            </w:r>
            <w:r w:rsidRPr="002F2BEA">
              <w:rPr>
                <w:rFonts w:asciiTheme="majorBidi" w:hAnsiTheme="majorBidi" w:cstheme="majorBidi"/>
                <w:color w:val="auto"/>
              </w:rPr>
              <w:fldChar w:fldCharType="end"/>
            </w:r>
            <w:r w:rsidRPr="002F2BEA">
              <w:rPr>
                <w:rFonts w:asciiTheme="majorBidi" w:hAnsiTheme="majorBidi" w:cstheme="majorBidi"/>
                <w:color w:val="auto"/>
              </w:rPr>
              <w:t>, vomiting</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-3","issue":"November","issued":{"date-parts":[["2016"]]},"page":"1-14","title":"Chemotherapy-Induced Constipation and Diarrhea : Pathophysiology , Current and Emerging Treatments","type":"article-journal","volume":"7"},"uris":["http://www.mendeley.com/documents/?uuid=927b86cc-7ddd-47b0-996f-12402eddcefe"]}],"mendeley":{"formattedCitation":"&lt;sup&gt;7,16,19&lt;/sup&gt;","plainTextFormattedCitation":"7,16,19","previouslyFormattedCitation":"&lt;sup&gt;7,16,19&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7,16,19</w:t>
            </w:r>
            <w:r w:rsidRPr="002F2BEA">
              <w:rPr>
                <w:rFonts w:asciiTheme="majorBidi" w:hAnsiTheme="majorBidi" w:cstheme="majorBidi"/>
                <w:color w:val="auto"/>
              </w:rPr>
              <w:fldChar w:fldCharType="end"/>
            </w:r>
            <w:r w:rsidRPr="002F2BEA">
              <w:rPr>
                <w:rFonts w:asciiTheme="majorBidi" w:hAnsiTheme="majorBidi" w:cstheme="majorBidi"/>
                <w:color w:val="auto"/>
              </w:rPr>
              <w:t>, diarrhea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mendeley":{"formattedCitation":"&lt;sup&gt;19&lt;/sup&gt;","plainTextFormattedCitation":"19","previouslyFormattedCitation":"&lt;sup&gt;19&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19</w:t>
            </w:r>
            <w:r w:rsidRPr="002F2BEA">
              <w:rPr>
                <w:rFonts w:asciiTheme="majorBidi" w:hAnsiTheme="majorBidi" w:cstheme="majorBidi"/>
                <w:color w:val="auto"/>
              </w:rPr>
              <w:fldChar w:fldCharType="end"/>
            </w:r>
            <w:r w:rsidRPr="002F2BEA">
              <w:rPr>
                <w:rFonts w:asciiTheme="majorBidi" w:hAnsiTheme="majorBidi" w:cstheme="majorBidi"/>
                <w:color w:val="auto"/>
              </w:rPr>
              <w:t>, constipation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mendeley":{"formattedCitation":"&lt;sup&gt;19&lt;/sup&gt;","plainTextFormattedCitation":"19","previouslyFormattedCitation":"&lt;sup&gt;19&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19</w:t>
            </w:r>
            <w:r w:rsidRPr="002F2BEA">
              <w:rPr>
                <w:rFonts w:asciiTheme="majorBidi" w:hAnsiTheme="majorBidi" w:cstheme="majorBidi"/>
                <w:color w:val="auto"/>
              </w:rPr>
              <w:fldChar w:fldCharType="end"/>
            </w:r>
            <w:r w:rsidRPr="002F2BEA">
              <w:rPr>
                <w:rFonts w:asciiTheme="majorBidi" w:hAnsiTheme="majorBidi" w:cstheme="majorBidi"/>
                <w:color w:val="auto"/>
              </w:rPr>
              <w:t>, stomatitis), Nephrotoxicity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7,16&lt;/sup&gt;","plainTextFormattedCitation":"7,16","previouslyFormattedCitation":"&lt;sup&gt;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(cystitis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Acute </w:t>
            </w:r>
            <w:bookmarkStart w:id="1" w:name="_Hlk213908337"/>
            <w:r w:rsidRPr="002F2BEA">
              <w:rPr>
                <w:rFonts w:asciiTheme="majorBidi" w:hAnsiTheme="majorBidi" w:cstheme="majorBidi"/>
                <w:color w:val="auto"/>
              </w:rPr>
              <w:t xml:space="preserve">Kidney Insufficiency </w:t>
            </w:r>
            <w:bookmarkEnd w:id="1"/>
            <w:r w:rsidRPr="002F2BEA">
              <w:rPr>
                <w:rFonts w:asciiTheme="majorBidi" w:hAnsiTheme="majorBidi" w:cstheme="majorBidi"/>
                <w:color w:val="auto"/>
              </w:rPr>
              <w:t>[AKI]</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bookmarkStart w:id="2" w:name="_Hlk213908383"/>
            <w:r w:rsidRPr="002F2BEA">
              <w:rPr>
                <w:rFonts w:asciiTheme="majorBidi" w:eastAsia="Times New Roman" w:hAnsiTheme="majorBidi" w:cstheme="majorBidi"/>
                <w:color w:val="auto"/>
                <w:lang w:eastAsia="en-US"/>
              </w:rPr>
              <w:t>Syndrome of Inappropriate Anti-Diuretic Hormone Secretion</w:t>
            </w:r>
            <w:bookmarkEnd w:id="2"/>
            <w:r w:rsidRPr="002F2BEA">
              <w:rPr>
                <w:rFonts w:asciiTheme="majorBidi" w:eastAsia="Times New Roman" w:hAnsiTheme="majorBidi" w:cstheme="majorBidi"/>
                <w:color w:val="auto"/>
                <w:lang w:eastAsia="en-US"/>
              </w:rPr>
              <w:t xml:space="preserve"> [</w:t>
            </w:r>
            <w:r w:rsidRPr="002F2BEA">
              <w:rPr>
                <w:rFonts w:asciiTheme="majorBidi" w:hAnsiTheme="majorBidi" w:cstheme="majorBidi"/>
                <w:color w:val="auto"/>
              </w:rPr>
              <w:t>SIADH]</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bookmarkStart w:id="3" w:name="_Hlk213908512"/>
            <w:r w:rsidRPr="002F2BEA">
              <w:rPr>
                <w:rFonts w:asciiTheme="majorBidi" w:eastAsia="Times New Roman" w:hAnsiTheme="majorBidi" w:cstheme="majorBidi"/>
                <w:color w:val="auto"/>
                <w:lang w:eastAsia="en-US"/>
              </w:rPr>
              <w:t>Nephrogenic Diabetes Insipidus</w:t>
            </w:r>
            <w:bookmarkEnd w:id="3"/>
            <w:r w:rsidRPr="002F2BEA">
              <w:rPr>
                <w:rFonts w:asciiTheme="majorBidi" w:eastAsia="Times New Roman" w:hAnsiTheme="majorBidi" w:cstheme="majorBidi"/>
                <w:color w:val="auto"/>
                <w:lang w:eastAsia="en-US"/>
              </w:rPr>
              <w:t xml:space="preserve"> [</w:t>
            </w:r>
            <w:r w:rsidRPr="002F2BEA">
              <w:rPr>
                <w:rFonts w:asciiTheme="majorBidi" w:hAnsiTheme="majorBidi" w:cstheme="majorBidi"/>
                <w:color w:val="auto"/>
              </w:rPr>
              <w:t>NDI]</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Neurotoxicity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(encephalopathy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stroke/ arterial ischemia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extrapyramidal syndrome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cystitis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salt wasting</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Cardiotoxicity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bookmarkStart w:id="4" w:name="_Hlk213908423"/>
            <w:r w:rsidRPr="002F2BEA">
              <w:rPr>
                <w:rFonts w:asciiTheme="majorBidi" w:eastAsia="Times New Roman" w:hAnsiTheme="majorBidi" w:cstheme="majorBidi"/>
                <w:color w:val="auto"/>
                <w:lang w:eastAsia="en-US"/>
              </w:rPr>
              <w:t xml:space="preserve">Congestive Heart Failure </w:t>
            </w:r>
            <w:bookmarkEnd w:id="4"/>
            <w:r w:rsidRPr="002F2BEA">
              <w:rPr>
                <w:rFonts w:asciiTheme="majorBidi" w:eastAsia="Times New Roman" w:hAnsiTheme="majorBidi" w:cstheme="majorBidi"/>
                <w:color w:val="auto"/>
                <w:lang w:eastAsia="en-US"/>
              </w:rPr>
              <w:t>[</w:t>
            </w:r>
            <w:r w:rsidRPr="002F2BEA">
              <w:rPr>
                <w:rFonts w:asciiTheme="majorBidi" w:hAnsiTheme="majorBidi" w:cstheme="majorBidi"/>
                <w:color w:val="auto"/>
              </w:rPr>
              <w:t>CHF]</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chest pain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pleural/ pericardial effusions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cardiomegaly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peri/ myocarditis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cardiomyopathy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arrhythmia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mylosuppression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-2","issue":"48","issued":{"date-parts":[["2021"]]},"title":"Comparison of Anticancer Drug Toxicities: Paradigm Shift in Adverse Effect Profile","type":"article-journal","volume":"12"},"uris":["http://www.mendeley.com/documents/?uuid=82dfed70-2715-43ac-8eb1-bbe78e5826c1"]},{"id":"ITEM-3","itemData":{"ISBN":"9780702040849","author":[{"dropping-particle":"","family":"Bennett","given":"Peter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Pharmacology","type":"book"},"uris":["http://www.mendeley.com/documents/?uuid=5beec3d8-e650-4eb4-801e-10a6a7c655f5"]},{"id":"ITEM-4","itemData":{"ISBN":"SBN-13: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-4","issued":{"date-parts":[["2009"]]},"publisher-place":"United States of America","title":"Clinical Pharmacology","type":"book"},"uris":["http://www.mendeley.com/documents/?uuid=295b7cca-1977-44d5-b420-082f10e569e9"]},{"id":"ITEM-5","itemData":{"ISBN":"9780702053627","id":"ITEM-5","issued":{"date-parts":[["2016"]]},"publisher":"Elsevier","title":"Rang, H.P Ritter, J.M. Flower, R.J. Henderson, G.","type":"book"},"uris":["http://www.mendeley.com/documents/?uuid=03a538b9-d110-461b-b3aa-fd988daa0f3f"]}],"mendeley":{"formattedCitation":"&lt;sup&gt;1,7,16,22,23&lt;/sup&gt;","plainTextFormattedCitation":"1,7,16,22,23","previouslyFormattedCitation":"&lt;sup&gt;1,7,16,22,23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1,7,16,22,23</w:t>
            </w:r>
            <w:r w:rsidRPr="002F2BEA">
              <w:rPr>
                <w:rFonts w:asciiTheme="majorBidi" w:hAnsiTheme="majorBidi" w:cstheme="majorBidi"/>
                <w:color w:val="auto"/>
              </w:rPr>
              <w:fldChar w:fldCharType="end"/>
            </w:r>
            <w:r w:rsidRPr="002F2BEA">
              <w:rPr>
                <w:rFonts w:asciiTheme="majorBidi" w:hAnsiTheme="majorBidi" w:cstheme="majorBidi"/>
                <w:color w:val="auto"/>
              </w:rPr>
              <w:t>, infertility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16,22&lt;/sup&gt;","plainTextFormattedCitation":"16,22","previouslyFormattedCitation":"&lt;sup&gt;16,22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16,22</w:t>
            </w:r>
            <w:r w:rsidRPr="002F2BEA">
              <w:rPr>
                <w:rFonts w:asciiTheme="majorBidi" w:hAnsiTheme="majorBidi" w:cstheme="majorBidi"/>
                <w:color w:val="auto"/>
              </w:rPr>
              <w:fldChar w:fldCharType="end"/>
            </w:r>
            <w:r w:rsidRPr="002F2BEA">
              <w:rPr>
                <w:rFonts w:asciiTheme="majorBidi" w:hAnsiTheme="majorBidi" w:cstheme="majorBidi"/>
                <w:color w:val="auto"/>
              </w:rPr>
              <w:t>, premature menopause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secondary neoplasia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Pharmacology","type":"book"},"uris":["http://www.mendeley.com/documents/?uuid=5beec3d8-e650-4eb4-801e-10a6a7c655f5"]},{"id":"ITEM-2","itemData":{"ISBN":"9780702053627","id":"ITEM-2","issued":{"date-parts":[["2016"]]},"publisher":"Elsevier","title":"Rang, H.P Ritter, J.M. Flower, R.J. Henderson, G.","type":"book"},"uris":["http://www.mendeley.com/documents/?uuid=03a538b9-d110-461b-b3aa-fd988daa0f3f"]}],"mendeley":{"formattedCitation":"&lt;sup&gt;16,22&lt;/sup&gt;","plainTextFormattedCitation":"16,22","previouslyFormattedCitation":"&lt;sup&gt;16,22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16,22</w:t>
            </w:r>
            <w:r w:rsidRPr="002F2BEA">
              <w:rPr>
                <w:rFonts w:asciiTheme="majorBidi" w:hAnsiTheme="majorBidi" w:cstheme="majorBidi"/>
                <w:color w:val="auto"/>
              </w:rPr>
              <w:fldChar w:fldCharType="end"/>
            </w:r>
            <w:r w:rsidRPr="002F2BEA">
              <w:rPr>
                <w:rFonts w:asciiTheme="majorBidi" w:hAnsiTheme="majorBidi" w:cstheme="majorBidi"/>
                <w:color w:val="auto"/>
              </w:rPr>
              <w:t>, Pulmonary fibrosis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Cumulative mylotoxicity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p>
        </w:tc>
      </w:tr>
      <w:tr w:rsidR="00C171AF" w14:paraId="6C7FBA15" w14:textId="77777777" w:rsidTr="003B0468">
        <w:tc>
          <w:tcPr>
            <w:tcW w:w="1345" w:type="dxa"/>
            <w:vMerge/>
            <w:tcBorders>
              <w:left w:val="nil"/>
              <w:right w:val="nil"/>
            </w:tcBorders>
          </w:tcPr>
          <w:p w14:paraId="5C712E17" w14:textId="77777777" w:rsidR="00C171AF" w:rsidRPr="002F2BEA" w:rsidRDefault="00C171AF" w:rsidP="003B0468">
            <w:pPr>
              <w:suppressAutoHyphens/>
              <w:spacing w:line="276" w:lineRule="auto"/>
              <w:jc w:val="left"/>
              <w:rPr>
                <w:rFonts w:asciiTheme="majorBidi" w:hAnsiTheme="majorBidi" w:cstheme="majorBidi"/>
                <w:color w:val="auto"/>
              </w:rPr>
            </w:pPr>
          </w:p>
        </w:tc>
        <w:tc>
          <w:tcPr>
            <w:tcW w:w="1456" w:type="dxa"/>
            <w:tcBorders>
              <w:left w:val="nil"/>
              <w:right w:val="nil"/>
            </w:tcBorders>
          </w:tcPr>
          <w:p w14:paraId="7D0207D0"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Platinum agents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Pharmacology","type":"book"},"uris":["http://www.mendeley.com/documents/?uuid=5beec3d8-e650-4eb4-801e-10a6a7c655f5"]},{"id":"ITEM-3","itemData":{"ISBN":"9780702053627","id":"ITEM-3","issued":{"date-parts":[["2016"]]},"publisher":"Elsevier","title":"Rang, H.P Ritter, J.M. Flower, R.J. Henderson, G.","type":"book"},"uris":["http://www.mendeley.com/documents/?uuid=03a538b9-d110-461b-b3aa-fd988daa0f3f"]}],"mendeley":{"formattedCitation":"&lt;sup&gt;7,16,22&lt;/sup&gt;","plainTextFormattedCitation":"7,16,22","previouslyFormattedCitation":"&lt;sup&gt;7,16,22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7,16,22</w:t>
            </w:r>
            <w:r w:rsidRPr="002F2BEA">
              <w:rPr>
                <w:rFonts w:asciiTheme="majorBidi" w:hAnsiTheme="majorBidi" w:cstheme="majorBidi"/>
                <w:color w:val="auto"/>
              </w:rPr>
              <w:fldChar w:fldCharType="end"/>
            </w:r>
          </w:p>
        </w:tc>
        <w:tc>
          <w:tcPr>
            <w:tcW w:w="2329" w:type="dxa"/>
            <w:tcBorders>
              <w:left w:val="nil"/>
              <w:right w:val="nil"/>
            </w:tcBorders>
          </w:tcPr>
          <w:p w14:paraId="51F2A023"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Cisplatin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r w:rsidRPr="002F2BEA">
              <w:rPr>
                <w:rFonts w:asciiTheme="majorBidi" w:hAnsiTheme="majorBidi" w:cstheme="majorBidi"/>
                <w:color w:val="auto"/>
              </w:rPr>
              <w:t>, Caboplatin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p>
          <w:p w14:paraId="63F63601"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Oxaliplatin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p>
        </w:tc>
        <w:tc>
          <w:tcPr>
            <w:tcW w:w="9558" w:type="dxa"/>
            <w:tcBorders>
              <w:left w:val="nil"/>
              <w:right w:val="nil"/>
            </w:tcBorders>
          </w:tcPr>
          <w:p w14:paraId="7782B5A7" w14:textId="77777777" w:rsidR="00C171AF" w:rsidRPr="002F2BEA" w:rsidRDefault="00C171AF" w:rsidP="003B0468">
            <w:pPr>
              <w:suppressAutoHyphens/>
              <w:spacing w:line="276" w:lineRule="auto"/>
              <w:ind w:right="-109"/>
              <w:jc w:val="left"/>
              <w:rPr>
                <w:rFonts w:asciiTheme="majorBidi" w:hAnsiTheme="majorBidi" w:cstheme="majorBidi"/>
                <w:color w:val="auto"/>
              </w:rPr>
            </w:pPr>
            <w:r w:rsidRPr="003C7B2E">
              <w:rPr>
                <w:rFonts w:asciiTheme="majorBidi" w:hAnsiTheme="majorBidi" w:cstheme="majorBidi"/>
                <w:color w:val="auto"/>
                <w:lang w:val="pt-PT"/>
              </w:rPr>
              <w:t>GI AEs</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-2","issue":"November","issued":{"date-parts":[["2016"]]},"page":"1-14","title":"Chemotherapy-Induced Constipation and Diarrhea : Pathophysiology , Current and Emerging Treatments","type":"article-journal","volume":"7"},"uris":["http://www.mendeley.com/documents/?uuid=927b86cc-7ddd-47b0-996f-12402eddcefe"]},{"id":"ITEM-3","itemData":{"ISBN":"9780702053627","id":"ITEM-3","issued":{"date-parts":[["2016"]]},"publisher":"Elsevier","title":"Rang, H.P Ritter, J.M. Flower, R.J. Henderson, G.","type":"book"},"uris":["http://www.mendeley.com/documents/?uuid=03a538b9-d110-461b-b3aa-fd988daa0f3f"]}],"mendeley":{"formattedCitation":"&lt;sup&gt;7,19,22&lt;/sup&gt;","plainTextFormattedCitation":"7,19,22","previouslyFormattedCitation":"&lt;sup&gt;7,19,22&lt;/sup&gt;"},"properties":{"noteIndex":0},"schema":"https://github.com/citation-style-language/schema/raw/master/csl-citation.json"}</w:instrText>
            </w:r>
            <w:r w:rsidRPr="002F2BEA">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7,19,22</w:t>
            </w:r>
            <w:r w:rsidRPr="002F2BEA">
              <w:rPr>
                <w:rFonts w:asciiTheme="majorBidi" w:hAnsiTheme="majorBidi" w:cstheme="majorBidi"/>
                <w:color w:val="auto"/>
              </w:rPr>
              <w:fldChar w:fldCharType="end"/>
            </w:r>
            <w:r w:rsidRPr="003C7B2E">
              <w:rPr>
                <w:rFonts w:asciiTheme="majorBidi" w:hAnsiTheme="majorBidi" w:cstheme="majorBidi"/>
                <w:color w:val="auto"/>
                <w:lang w:val="pt-PT"/>
              </w:rPr>
              <w:t xml:space="preserve"> (nausea</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16,19&lt;/sup&gt;","plainTextFormattedCitation":"16,19","previouslyFormattedCitation":"&lt;sup&gt;16,19&lt;/sup&gt;"},"properties":{"noteIndex":0},"schema":"https://github.com/citation-style-language/schema/raw/master/csl-citation.json"}</w:instrText>
            </w:r>
            <w:r w:rsidRPr="002F2BEA">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16,19</w:t>
            </w:r>
            <w:r w:rsidRPr="002F2BEA">
              <w:rPr>
                <w:rFonts w:asciiTheme="majorBidi" w:hAnsiTheme="majorBidi" w:cstheme="majorBidi"/>
                <w:color w:val="auto"/>
              </w:rPr>
              <w:fldChar w:fldCharType="end"/>
            </w:r>
            <w:r w:rsidRPr="003C7B2E">
              <w:rPr>
                <w:rFonts w:asciiTheme="majorBidi" w:hAnsiTheme="majorBidi" w:cstheme="majorBidi"/>
                <w:color w:val="auto"/>
                <w:lang w:val="pt-PT"/>
              </w:rPr>
              <w:t>, vomiting</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Pharmacology","type":"book"},"uris":["http://www.mendeley.com/documents/?uuid=5beec3d8-e650-4eb4-801e-10a6a7c655f5"]},{"id":"ITEM-3","itemData":{"ISBN":"9780702053627","id":"ITEM-3","issued":{"date-parts":[["2016"]]},"publisher":"Elsevier","title":"Rang, H.P Ritter, J.M. Flower, R.J. Henderson, G.","type":"book"},"uris":["http://www.mendeley.com/documents/?uuid=03a538b9-d110-461b-b3aa-fd988daa0f3f"]}],"mendeley":{"formattedCitation":"&lt;sup&gt;16,19,22&lt;/sup&gt;","plainTextFormattedCitation":"16,19,22","previouslyFormattedCitation":"&lt;sup&gt;16,19,22&lt;/sup&gt;"},"properties":{"noteIndex":0},"schema":"https://github.com/citation-style-language/schema/raw/master/csl-citation.json"}</w:instrText>
            </w:r>
            <w:r w:rsidRPr="002F2BEA">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16,19,22</w:t>
            </w:r>
            <w:r w:rsidRPr="002F2BEA">
              <w:rPr>
                <w:rFonts w:asciiTheme="majorBidi" w:hAnsiTheme="majorBidi" w:cstheme="majorBidi"/>
                <w:color w:val="auto"/>
              </w:rPr>
              <w:fldChar w:fldCharType="end"/>
            </w:r>
            <w:r w:rsidRPr="003C7B2E">
              <w:rPr>
                <w:rFonts w:asciiTheme="majorBidi" w:hAnsiTheme="majorBidi" w:cstheme="majorBidi"/>
                <w:color w:val="auto"/>
                <w:lang w:val="pt-PT"/>
              </w:rPr>
              <w:t>, diarrhea</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mendeley":{"formattedCitation":"&lt;sup&gt;19&lt;/sup&gt;","plainTextFormattedCitation":"19","previouslyFormattedCitation":"&lt;sup&gt;19&lt;/sup&gt;"},"properties":{"noteIndex":0},"schema":"https://github.com/citation-style-language/schema/raw/master/csl-citation.json"}</w:instrText>
            </w:r>
            <w:r w:rsidRPr="002F2BEA">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19</w:t>
            </w:r>
            <w:r w:rsidRPr="002F2BEA">
              <w:rPr>
                <w:rFonts w:asciiTheme="majorBidi" w:hAnsiTheme="majorBidi" w:cstheme="majorBidi"/>
                <w:color w:val="auto"/>
              </w:rPr>
              <w:fldChar w:fldCharType="end"/>
            </w:r>
            <w:r w:rsidRPr="003C7B2E">
              <w:rPr>
                <w:rFonts w:asciiTheme="majorBidi" w:hAnsiTheme="majorBidi" w:cstheme="majorBidi"/>
                <w:color w:val="auto"/>
                <w:lang w:val="pt-PT"/>
              </w:rPr>
              <w:t>, constipation</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{"citationItems":[{"id":"ITEM-1","itemData":{"DOI":"10.3389/fphar.2016.00414","author":[{"dropping-particle":"","family":"Mcquade","given":"Rachel M","non-drop</w:instrText>
            </w:r>
            <w:r w:rsidRPr="002F2BEA">
              <w:rPr>
                <w:rFonts w:asciiTheme="majorBidi" w:hAnsiTheme="majorBidi" w:cstheme="majorBidi"/>
                <w:color w:val="auto"/>
              </w:rPr>
              <w:instrText>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mendeley":{"formattedCitation":"&lt;sup&gt;19&lt;/sup&gt;","plainTextFormattedCitation":"19","previouslyFormattedCitation":"&lt;sup&gt;19&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19</w:t>
            </w:r>
            <w:r w:rsidRPr="002F2BEA">
              <w:rPr>
                <w:rFonts w:asciiTheme="majorBidi" w:hAnsiTheme="majorBidi" w:cstheme="majorBidi"/>
                <w:color w:val="auto"/>
              </w:rPr>
              <w:fldChar w:fldCharType="end"/>
            </w:r>
            <w:r w:rsidRPr="002F2BEA">
              <w:rPr>
                <w:rFonts w:asciiTheme="majorBidi" w:hAnsiTheme="majorBidi" w:cstheme="majorBidi"/>
                <w:color w:val="auto"/>
              </w:rPr>
              <w:t>), Nephrotoxicity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Pharmacology","type":"book"},"uris":["http://www.mendeley.com/documents/?uuid=5beec3d8-e650-4eb4-801e-10a6a7c655f5"]},{"id":"ITEM-3","itemData":{"ISBN":"9780702053627","id":"ITEM-3","issued":{"date-parts":[["2016"]]},"publisher":"Elsevier","title":"Rang, H.P Ritter, J.M. Flower, R.J. Henderson, G.","type":"book"},"uris":["http://www.mendeley.com/documents/?uuid=03a538b9-d110-461b-b3aa-fd988daa0f3f"]}],"mendeley":{"formattedCitation":"&lt;sup&gt;7,16,22&lt;/sup&gt;","plainTextFormattedCitation":"7,16,22","previouslyFormattedCitation":"&lt;sup&gt;7,16,22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7,16,22</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(AKI</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7,16&lt;/sup&gt;","plainTextFormattedCitation":"7,16","previouslyFormattedCitation":"&lt;sup&gt;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bookmarkStart w:id="5" w:name="_Hlk213908467"/>
            <w:r w:rsidRPr="002F2BEA">
              <w:rPr>
                <w:rFonts w:asciiTheme="majorBidi" w:hAnsiTheme="majorBidi" w:cstheme="majorBidi"/>
                <w:color w:val="auto"/>
              </w:rPr>
              <w:t xml:space="preserve">Chronic Kidney Disease </w:t>
            </w:r>
            <w:bookmarkEnd w:id="5"/>
            <w:r w:rsidRPr="002F2BEA">
              <w:rPr>
                <w:rFonts w:asciiTheme="majorBidi" w:hAnsiTheme="majorBidi" w:cstheme="majorBidi"/>
                <w:color w:val="auto"/>
              </w:rPr>
              <w:t>[CKD]</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NDI</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tubular necrosis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glomeruli diseases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salt-wasting</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7,16&lt;/sup&gt;","plainTextFormattedCitation":"7,16","previouslyFormattedCitation":"&lt;sup&gt;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w:t>
            </w:r>
            <w:r w:rsidRPr="002F2BEA">
              <w:rPr>
                <w:rFonts w:asciiTheme="majorBidi" w:hAnsiTheme="majorBidi" w:cstheme="majorBidi"/>
                <w:color w:val="auto"/>
              </w:rPr>
              <w:fldChar w:fldCharType="end"/>
            </w:r>
            <w:r w:rsidRPr="002F2BEA">
              <w:rPr>
                <w:rFonts w:asciiTheme="majorBidi" w:hAnsiTheme="majorBidi" w:cstheme="majorBidi"/>
                <w:color w:val="auto"/>
              </w:rPr>
              <w:t>, Hepatotoxicity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(Fatty liver</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hepatitis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cholestasis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bookmarkStart w:id="6" w:name="_Hlk213908540"/>
            <w:r w:rsidRPr="002F2BEA">
              <w:rPr>
                <w:rFonts w:asciiTheme="majorBidi" w:eastAsia="Times New Roman" w:hAnsiTheme="majorBidi" w:cstheme="majorBidi"/>
                <w:color w:val="auto"/>
                <w:lang w:eastAsia="en-US"/>
              </w:rPr>
              <w:t xml:space="preserve">Veno-Occlusive Disease </w:t>
            </w:r>
            <w:bookmarkEnd w:id="6"/>
            <w:r w:rsidRPr="002F2BEA">
              <w:rPr>
                <w:rFonts w:asciiTheme="majorBidi" w:eastAsia="Times New Roman" w:hAnsiTheme="majorBidi" w:cstheme="majorBidi"/>
                <w:color w:val="auto"/>
                <w:lang w:eastAsia="en-US"/>
              </w:rPr>
              <w:t>[</w:t>
            </w:r>
            <w:r w:rsidRPr="002F2BEA">
              <w:rPr>
                <w:rFonts w:asciiTheme="majorBidi" w:hAnsiTheme="majorBidi" w:cstheme="majorBidi"/>
                <w:color w:val="auto"/>
              </w:rPr>
              <w:t>VOD]</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bookmarkStart w:id="7" w:name="_Hlk213908584"/>
            <w:r w:rsidRPr="002F2BEA">
              <w:rPr>
                <w:rFonts w:asciiTheme="majorBidi" w:eastAsia="Times New Roman" w:hAnsiTheme="majorBidi" w:cstheme="majorBidi"/>
                <w:color w:val="auto"/>
                <w:lang w:eastAsia="en-US"/>
              </w:rPr>
              <w:t xml:space="preserve">Sinusoidal Obstruction Syndrome </w:t>
            </w:r>
            <w:bookmarkEnd w:id="7"/>
            <w:r w:rsidRPr="002F2BEA">
              <w:rPr>
                <w:rFonts w:asciiTheme="majorBidi" w:eastAsia="Times New Roman" w:hAnsiTheme="majorBidi" w:cstheme="majorBidi"/>
                <w:color w:val="auto"/>
                <w:lang w:eastAsia="en-US"/>
              </w:rPr>
              <w:t>[</w:t>
            </w:r>
            <w:r w:rsidRPr="002F2BEA">
              <w:rPr>
                <w:rFonts w:asciiTheme="majorBidi" w:hAnsiTheme="majorBidi" w:cstheme="majorBidi"/>
                <w:color w:val="auto"/>
              </w:rPr>
              <w:t>SOS]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Neurotoxicity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(neuropathy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7,16&lt;/sup&gt;","plainTextFormattedCitation":"7,16","previouslyFormattedCitation":"&lt;sup&gt;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w:t>
            </w:r>
            <w:r w:rsidRPr="002F2BEA">
              <w:rPr>
                <w:rFonts w:asciiTheme="majorBidi" w:hAnsiTheme="majorBidi" w:cstheme="majorBidi"/>
                <w:color w:val="auto"/>
              </w:rPr>
              <w:fldChar w:fldCharType="end"/>
            </w:r>
            <w:r w:rsidRPr="002F2BEA">
              <w:rPr>
                <w:rFonts w:asciiTheme="majorBidi" w:hAnsiTheme="majorBidi" w:cstheme="majorBidi"/>
                <w:color w:val="auto"/>
              </w:rPr>
              <w:t>, encephalopathy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stroke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seizures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myelopathy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fasciculations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Cardiotoxicity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(necrosis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palpitations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angina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hypo/ hypertension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arrhythmias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heart block</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bookmarkStart w:id="8" w:name="_Hlk213908654"/>
            <w:r w:rsidRPr="002F2BEA">
              <w:rPr>
                <w:rFonts w:asciiTheme="majorBidi" w:hAnsiTheme="majorBidi" w:cstheme="majorBidi"/>
                <w:color w:val="auto"/>
              </w:rPr>
              <w:t xml:space="preserve">Myocardial Infarction </w:t>
            </w:r>
            <w:bookmarkEnd w:id="8"/>
            <w:r w:rsidRPr="002F2BEA">
              <w:rPr>
                <w:rFonts w:asciiTheme="majorBidi" w:hAnsiTheme="majorBidi" w:cstheme="majorBidi"/>
                <w:color w:val="auto"/>
              </w:rPr>
              <w:t>[MI]</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arrythmia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thromboembolism</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myocarditis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CHF</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cardiomyopathy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pulmonary fibrosis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Hypersensitivity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Raynaud’s diseases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ototoxicity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7,16&lt;/sup&gt;","plainTextFormattedCitation":"7,16","previouslyFormattedCitation":"&lt;sup&gt;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dysesthesia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Reproductive effects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myelosuppression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7,16&lt;/sup&gt;","plainTextFormattedCitation":"7,16","previouslyFormattedCitation":"&lt;sup&gt;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w:t>
            </w:r>
            <w:r w:rsidRPr="002F2BEA">
              <w:rPr>
                <w:rFonts w:asciiTheme="majorBidi" w:hAnsiTheme="majorBidi" w:cstheme="majorBidi"/>
                <w:color w:val="auto"/>
              </w:rPr>
              <w:fldChar w:fldCharType="end"/>
            </w:r>
          </w:p>
        </w:tc>
      </w:tr>
      <w:tr w:rsidR="00C171AF" w14:paraId="2C70F447" w14:textId="77777777" w:rsidTr="003B0468">
        <w:tc>
          <w:tcPr>
            <w:tcW w:w="1345" w:type="dxa"/>
            <w:vMerge w:val="restart"/>
            <w:tcBorders>
              <w:left w:val="nil"/>
              <w:right w:val="nil"/>
            </w:tcBorders>
          </w:tcPr>
          <w:p w14:paraId="7B129F8D"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Anti-metabolites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Pharmacology","type":"book"},"uris":["http://www.mendeley.com/documents/?uuid=5beec3d8-e650-4eb4-801e-10a6a7c655f5"]},{"id":"ITEM-4","itemData":{"ISBN":"9780702053627","id":"ITEM-4","issued":{"date-parts":[["2016"]]},"publisher":"Elsevier","title":"Rang, H.P Ritter, J.M. Flower, R.J. Henderson, G.","type":"book"},"uris":["http://www.mendeley.com/documents/?uuid=03a538b9-d110-461b-b3aa-fd988daa0f3f"]}],"mendeley":{"formattedCitation":"&lt;sup&gt;1,7,16,22&lt;/sup&gt;","plainTextFormattedCitation":"1,7,16,22","previouslyFormattedCitation":"&lt;sup&gt;1,7,16,22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1,7,16,22</w:t>
            </w:r>
            <w:r w:rsidRPr="002F2BEA">
              <w:rPr>
                <w:rFonts w:asciiTheme="majorBidi" w:hAnsiTheme="majorBidi" w:cstheme="majorBidi"/>
                <w:color w:val="auto"/>
              </w:rPr>
              <w:fldChar w:fldCharType="end"/>
            </w:r>
          </w:p>
        </w:tc>
        <w:tc>
          <w:tcPr>
            <w:tcW w:w="1456" w:type="dxa"/>
            <w:tcBorders>
              <w:left w:val="nil"/>
              <w:right w:val="nil"/>
            </w:tcBorders>
          </w:tcPr>
          <w:p w14:paraId="147FE208"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Folic acid analogues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Profile","type":"article-journal","volume":"12"},"uris":["http://www.mendeley.com/documents/?uuid=82dfed70-2715-43ac-8eb1-bbe78e5826c1"]},{"id":"ITEM-2","itemData":{"ISBN":"9780702053627","id":"ITEM-2","issued":{"date-parts":[["2016"]]},"publisher":"Elsevier","title":"Rang, H.P Ritter, J.M. Flower, R.J. Henderson, G.","type":"book"},"uris":["http://www.mendeley.com/documents/?uuid=03a538b9-d110-461b-b3aa-fd988daa0f3f"]}],"mendeley":{"formattedCitation":"&lt;sup&gt;1,22&lt;/sup&gt;","plainTextFormattedCitation":"1,22","previouslyFormattedCitation":"&lt;sup&gt;1,22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1,22</w:t>
            </w:r>
            <w:r w:rsidRPr="002F2BEA">
              <w:rPr>
                <w:rFonts w:asciiTheme="majorBidi" w:hAnsiTheme="majorBidi" w:cstheme="majorBidi"/>
                <w:color w:val="auto"/>
              </w:rPr>
              <w:fldChar w:fldCharType="end"/>
            </w:r>
          </w:p>
        </w:tc>
        <w:tc>
          <w:tcPr>
            <w:tcW w:w="2329" w:type="dxa"/>
            <w:tcBorders>
              <w:left w:val="nil"/>
              <w:right w:val="nil"/>
            </w:tcBorders>
          </w:tcPr>
          <w:p w14:paraId="090EFF7D"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Methotrexate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p>
          <w:p w14:paraId="1F6C02D4"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Pemetrexed</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p>
          <w:p w14:paraId="0DB53D22"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 xml:space="preserve">Pralatrexate </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p>
        </w:tc>
        <w:tc>
          <w:tcPr>
            <w:tcW w:w="9558" w:type="dxa"/>
            <w:tcBorders>
              <w:left w:val="nil"/>
              <w:right w:val="nil"/>
            </w:tcBorders>
          </w:tcPr>
          <w:p w14:paraId="7CF70B14" w14:textId="77777777" w:rsidR="00C171AF" w:rsidRPr="002F2BEA" w:rsidRDefault="00C171AF" w:rsidP="003B0468">
            <w:pPr>
              <w:suppressAutoHyphens/>
              <w:spacing w:line="276" w:lineRule="auto"/>
              <w:jc w:val="left"/>
              <w:rPr>
                <w:rFonts w:asciiTheme="majorBidi" w:hAnsiTheme="majorBidi" w:cstheme="majorBidi"/>
                <w:color w:val="auto"/>
              </w:rPr>
            </w:pPr>
            <w:r w:rsidRPr="003C7B2E">
              <w:rPr>
                <w:rFonts w:asciiTheme="majorBidi" w:hAnsiTheme="majorBidi" w:cstheme="majorBidi"/>
                <w:color w:val="auto"/>
                <w:lang w:val="pt-PT"/>
              </w:rPr>
              <w:t>GI AEs</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-2","issue":"November","issued":{"date-parts":[["2016"]]},"page":"1-14","title":"Chemotherapy-Induced Constipation and Diarrhea : Pathophysiology , Current and Emerging Treatments","type":"article-journal","volume":"7"},"uris":["http://www.mendeley.com/documents/?uuid=927b86cc-7ddd-47b0-996f-12402eddcefe"]},{"id":"ITEM-3","itemData":{"ISBN":"9780702040849","author":[{"dropping-particle":"","family":"Bennett","given":"Peter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mendeley":{"formattedCitation":"&lt;sup&gt;7,16,19&lt;/sup&gt;","plainTextFormattedCitation":"7,16,19","previouslyFormattedCitation":"&lt;sup&gt;7,16,19&lt;/sup&gt;"},"properties":{"noteIndex":0},"schema":"https://github.com/citation-style-language/schema/raw/master/csl-citation.json"}</w:instrText>
            </w:r>
            <w:r w:rsidRPr="002F2BEA">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7,16,19</w:t>
            </w:r>
            <w:r w:rsidRPr="002F2BEA">
              <w:rPr>
                <w:rFonts w:asciiTheme="majorBidi" w:hAnsiTheme="majorBidi" w:cstheme="majorBidi"/>
                <w:color w:val="auto"/>
              </w:rPr>
              <w:fldChar w:fldCharType="end"/>
            </w:r>
            <w:r w:rsidRPr="003C7B2E">
              <w:rPr>
                <w:rFonts w:asciiTheme="majorBidi" w:hAnsiTheme="majorBidi" w:cstheme="majorBidi"/>
                <w:color w:val="auto"/>
                <w:lang w:val="pt-PT"/>
              </w:rPr>
              <w:t xml:space="preserve">  (nausea</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16,19&lt;/sup&gt;","plainTextFormattedCitation":"16,19","previouslyFormattedCitation":"&lt;sup&gt;16,19&lt;/sup&gt;"},"properties":{"noteIndex":0},"schema":"https://github.com/citation-style-language/schema/raw/master/csl-citation.json"}</w:instrText>
            </w:r>
            <w:r w:rsidRPr="002F2BEA">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16,19</w:t>
            </w:r>
            <w:r w:rsidRPr="002F2BEA">
              <w:rPr>
                <w:rFonts w:asciiTheme="majorBidi" w:hAnsiTheme="majorBidi" w:cstheme="majorBidi"/>
                <w:color w:val="auto"/>
              </w:rPr>
              <w:fldChar w:fldCharType="end"/>
            </w:r>
            <w:r w:rsidRPr="003C7B2E">
              <w:rPr>
                <w:rFonts w:asciiTheme="majorBidi" w:hAnsiTheme="majorBidi" w:cstheme="majorBidi"/>
                <w:color w:val="auto"/>
                <w:lang w:val="pt-PT"/>
              </w:rPr>
              <w:t xml:space="preserve"> , vomiting</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16,19&lt;/sup&gt;","plainTextFormattedCitation":"16,19","previouslyFormattedCitation":"&lt;sup&gt;16,19&lt;/sup&gt;"},"properties":{"noteIndex":0},"schema":"https://github.com/citation-style-language/schema/raw/master/csl-citation.json"}</w:instrText>
            </w:r>
            <w:r w:rsidRPr="002F2BEA">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16,19</w:t>
            </w:r>
            <w:r w:rsidRPr="002F2BEA">
              <w:rPr>
                <w:rFonts w:asciiTheme="majorBidi" w:hAnsiTheme="majorBidi" w:cstheme="majorBidi"/>
                <w:color w:val="auto"/>
              </w:rPr>
              <w:fldChar w:fldCharType="end"/>
            </w:r>
            <w:r w:rsidRPr="003C7B2E">
              <w:rPr>
                <w:rFonts w:asciiTheme="majorBidi" w:hAnsiTheme="majorBidi" w:cstheme="majorBidi"/>
                <w:color w:val="auto"/>
                <w:lang w:val="pt-PT"/>
              </w:rPr>
              <w:t xml:space="preserve"> , diarrhea</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16,19&lt;/sup&gt;","plainTextFormattedCitation":"16,19","previouslyFormattedCitation":"&lt;sup&gt;16,19&lt;/sup&gt;"},"properties":{"noteIndex":0},"schema":"https://github.com/citation-style-language/schema/raw/master/csl-citation.json"}</w:instrText>
            </w:r>
            <w:r w:rsidRPr="002F2BEA">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16,19</w:t>
            </w:r>
            <w:r w:rsidRPr="002F2BEA">
              <w:rPr>
                <w:rFonts w:asciiTheme="majorBidi" w:hAnsiTheme="majorBidi" w:cstheme="majorBidi"/>
                <w:color w:val="auto"/>
              </w:rPr>
              <w:fldChar w:fldCharType="end"/>
            </w:r>
            <w:r w:rsidRPr="003C7B2E">
              <w:rPr>
                <w:rFonts w:asciiTheme="majorBidi" w:hAnsiTheme="majorBidi" w:cstheme="majorBidi"/>
                <w:color w:val="auto"/>
                <w:lang w:val="pt-PT"/>
              </w:rPr>
              <w:t xml:space="preserve"> , mucositis</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16</w:t>
            </w:r>
            <w:r w:rsidRPr="002F2BEA">
              <w:rPr>
                <w:rFonts w:asciiTheme="majorBidi" w:hAnsiTheme="majorBidi" w:cstheme="majorBidi"/>
                <w:color w:val="auto"/>
              </w:rPr>
              <w:fldChar w:fldCharType="end"/>
            </w:r>
            <w:r w:rsidRPr="003C7B2E">
              <w:rPr>
                <w:rFonts w:asciiTheme="majorBidi" w:hAnsiTheme="majorBidi" w:cstheme="majorBidi"/>
                <w:color w:val="auto"/>
                <w:lang w:val="pt-PT"/>
              </w:rPr>
              <w:t>, constipation</w:t>
            </w:r>
            <w:r w:rsidRPr="002F2BEA">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w:instrText>
            </w:r>
            <w:r w:rsidRPr="002F2BEA">
              <w:rPr>
                <w:rFonts w:asciiTheme="majorBidi" w:hAnsiTheme="majorBidi" w:cstheme="majorBidi"/>
                <w:color w:val="auto"/>
              </w:rPr>
              <w:instrText>,"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mendeley":{"formattedCitation":"&lt;sup&gt;19&lt;/sup&gt;","plainTextFormattedCitation":"19","previouslyFormattedCitation":"&lt;sup&gt;19&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19</w:t>
            </w:r>
            <w:r w:rsidRPr="002F2BEA">
              <w:rPr>
                <w:rFonts w:asciiTheme="majorBidi" w:hAnsiTheme="majorBidi" w:cstheme="majorBidi"/>
                <w:color w:val="auto"/>
              </w:rPr>
              <w:fldChar w:fldCharType="end"/>
            </w:r>
            <w:r w:rsidRPr="002F2BEA">
              <w:rPr>
                <w:rFonts w:asciiTheme="majorBidi" w:hAnsiTheme="majorBidi" w:cstheme="majorBidi"/>
                <w:color w:val="auto"/>
              </w:rPr>
              <w:t>), Nephrotoxicity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-2","issue":"48","issued":{"date-parts":[["2021"]]},"title":"Comparison of Anticancer Drug Toxicities: Paradigm Shift in Adverse Effect Profile","type":"article-journal","volume":"12"},"uris":["http://www.mendeley.com/documents/?uuid=82dfed70-2715-43ac-8eb1-bbe78e5826c1"]}],"mendeley":{"formattedCitation":"&lt;sup&gt;1,7&lt;/sup&gt;","plainTextFormattedCitation":"1,7","previouslyFormattedCitation":"&lt;sup&gt;1,7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(AKI</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nephropathy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tubular obstruction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necrosis, SIADH</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glomeruli diseases)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salt wasting</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Neurotoxicity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mendeley":{"formattedCitation":"&lt;sup&gt;1,7,16&lt;/sup&gt;","plainTextFormattedCitation":"1,7,16","previouslyFormattedCitation":"&lt;sup&gt;1,7,16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1,7,16</w:t>
            </w:r>
            <w:r w:rsidRPr="002F2BEA">
              <w:rPr>
                <w:rFonts w:asciiTheme="majorBidi" w:hAnsiTheme="majorBidi" w:cstheme="majorBidi"/>
                <w:color w:val="auto"/>
              </w:rPr>
              <w:fldChar w:fldCharType="end"/>
            </w:r>
            <w:r w:rsidRPr="002F2BEA">
              <w:rPr>
                <w:rFonts w:asciiTheme="majorBidi" w:hAnsiTheme="majorBidi" w:cstheme="majorBidi"/>
                <w:color w:val="auto"/>
              </w:rPr>
              <w:t>, (encephalopathy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7,16&lt;/sup&gt;","plainTextFormattedCitation":"7,16","previouslyFormattedCitation":"&lt;sup&gt;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stroke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7,16&lt;/sup&gt;","plainTextFormattedCitation":"7,16","previouslyFormattedCitation":"&lt;sup&gt;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w:t>
            </w:r>
            <w:r w:rsidRPr="002F2BEA">
              <w:rPr>
                <w:rFonts w:asciiTheme="majorBidi" w:hAnsiTheme="majorBidi" w:cstheme="majorBidi"/>
                <w:color w:val="auto"/>
              </w:rPr>
              <w:fldChar w:fldCharType="end"/>
            </w:r>
            <w:r w:rsidRPr="002F2BEA">
              <w:rPr>
                <w:rFonts w:asciiTheme="majorBidi" w:hAnsiTheme="majorBidi" w:cstheme="majorBidi"/>
                <w:color w:val="auto"/>
              </w:rPr>
              <w:t>, seizures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7,16&lt;/sup&gt;","plainTextFormattedCitation":"7,16","previouslyFormattedCitation":"&lt;sup&gt;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w:t>
            </w:r>
            <w:r w:rsidRPr="002F2BEA">
              <w:rPr>
                <w:rFonts w:asciiTheme="majorBidi" w:hAnsiTheme="majorBidi" w:cstheme="majorBidi"/>
                <w:color w:val="auto"/>
              </w:rPr>
              <w:fldChar w:fldCharType="end"/>
            </w:r>
            <w:r w:rsidRPr="002F2BEA">
              <w:rPr>
                <w:rFonts w:asciiTheme="majorBidi" w:hAnsiTheme="majorBidi" w:cstheme="majorBidi"/>
                <w:color w:val="auto"/>
              </w:rPr>
              <w:t>, myelopathy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Cardiac toxicity (arrhythmia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angina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Hepatotoxicity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mendeley":{"formattedCitation":"&lt;sup&gt;1&lt;/sup&gt;","plainTextFormattedCitation":"1","previouslyFormattedCitation":"&lt;sup&gt;1&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w:t>
            </w:r>
            <w:r w:rsidRPr="002F2BEA">
              <w:rPr>
                <w:rFonts w:asciiTheme="majorBidi" w:hAnsiTheme="majorBidi" w:cstheme="majorBidi"/>
                <w:color w:val="auto"/>
              </w:rPr>
              <w:fldChar w:fldCharType="end"/>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(hepatitis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cirrhosis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nodular hyperplasia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fibrosis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myelosuppression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-2","issue":"48","issued":{"date-parts":[["2021"]]},"title":"Comparison of Anticancer Drug Toxicities: Paradigm Shift in Adverse Effect Profile","type":"article-journal","volume":"12"},"uris":["http://www.mendeley.com/documents/?uuid=82dfed70-2715-43ac-8eb1-bbe78e5826c1"]},{"id":"ITEM-3","itemData":{"ISBN":"9780702040849","author":[{"dropping-particle":"","family":"Bennett","given":"Peter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mendeley":{"formattedCitation":"&lt;sup&gt;1,7,16&lt;/sup&gt;","plainTextFormattedCitation":"1,7,16","previouslyFormattedCitation":"&lt;sup&gt;1,7,16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1,7,16</w:t>
            </w:r>
            <w:r w:rsidRPr="002F2BEA">
              <w:rPr>
                <w:rFonts w:asciiTheme="majorBidi" w:hAnsiTheme="majorBidi" w:cstheme="majorBidi"/>
                <w:color w:val="auto"/>
              </w:rPr>
              <w:fldChar w:fldCharType="end"/>
            </w:r>
            <w:r w:rsidRPr="002F2BEA">
              <w:rPr>
                <w:rFonts w:asciiTheme="majorBidi" w:hAnsiTheme="majorBidi" w:cstheme="majorBidi"/>
                <w:color w:val="auto"/>
              </w:rPr>
              <w:t>, Hyperpigmentation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hand-foot syndrome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conjuctivitis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p>
        </w:tc>
      </w:tr>
      <w:tr w:rsidR="00C171AF" w14:paraId="6C7CF802" w14:textId="77777777" w:rsidTr="003B0468">
        <w:tc>
          <w:tcPr>
            <w:tcW w:w="1345" w:type="dxa"/>
            <w:vMerge/>
            <w:tcBorders>
              <w:left w:val="nil"/>
              <w:right w:val="nil"/>
            </w:tcBorders>
          </w:tcPr>
          <w:p w14:paraId="045824EF" w14:textId="77777777" w:rsidR="00C171AF" w:rsidRPr="002F2BEA" w:rsidRDefault="00C171AF" w:rsidP="003B0468">
            <w:pPr>
              <w:suppressAutoHyphens/>
              <w:spacing w:line="276" w:lineRule="auto"/>
              <w:jc w:val="left"/>
              <w:rPr>
                <w:rFonts w:asciiTheme="majorBidi" w:hAnsiTheme="majorBidi" w:cstheme="majorBidi"/>
                <w:color w:val="auto"/>
              </w:rPr>
            </w:pPr>
          </w:p>
        </w:tc>
        <w:tc>
          <w:tcPr>
            <w:tcW w:w="1456" w:type="dxa"/>
            <w:tcBorders>
              <w:left w:val="nil"/>
              <w:right w:val="nil"/>
            </w:tcBorders>
          </w:tcPr>
          <w:p w14:paraId="448D8FD5"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Pyrimidine analogues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Profile","type":"article-journal","volume":"12"},"uris":["http://www.mendeley.com/documents/?uuid=82dfed70-2715-43ac-8eb1-bbe78e5826c1"]},{"id":"ITEM-2","itemData":{"ISBN":"9780702053627","id":"ITEM-2","issued":{"date-parts":[["2016"]]},"publisher":"Elsevier","title":"Rang, H.P Ritter, J.M. Flower, R.J. Henderson, G.","type":"book"},"uris":["http://www.mendeley.com/documents/?uuid=03a538b9-d110-461b-b3aa-fd988daa0f3f"]}],"mendeley":{"formattedCitation":"&lt;sup&gt;1,22&lt;/sup&gt;","plainTextFormattedCitation":"1,22","previouslyFormattedCitation":"&lt;sup&gt;1,22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1,22</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(nucleoside analogues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w:t>
            </w:r>
          </w:p>
        </w:tc>
        <w:tc>
          <w:tcPr>
            <w:tcW w:w="2329" w:type="dxa"/>
            <w:tcBorders>
              <w:left w:val="nil"/>
              <w:right w:val="nil"/>
            </w:tcBorders>
          </w:tcPr>
          <w:p w14:paraId="05D3C243"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5-fluorouracil</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p>
          <w:p w14:paraId="27D03CB0"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Capecitabine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r w:rsidRPr="002F2BEA">
              <w:rPr>
                <w:rFonts w:asciiTheme="majorBidi" w:hAnsiTheme="majorBidi" w:cstheme="majorBidi"/>
                <w:color w:val="auto"/>
              </w:rPr>
              <w:t>, Floxuridine</w:t>
            </w:r>
          </w:p>
          <w:p w14:paraId="7AB4F630"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Gemcitabine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p>
        </w:tc>
        <w:tc>
          <w:tcPr>
            <w:tcW w:w="9558" w:type="dxa"/>
            <w:tcBorders>
              <w:left w:val="nil"/>
              <w:right w:val="nil"/>
            </w:tcBorders>
          </w:tcPr>
          <w:p w14:paraId="0B558FDE" w14:textId="77777777" w:rsidR="00C171AF" w:rsidRPr="009D71E7" w:rsidRDefault="00C171AF" w:rsidP="003B0468">
            <w:pPr>
              <w:suppressAutoHyphens/>
              <w:spacing w:line="276" w:lineRule="auto"/>
              <w:ind w:right="-109"/>
              <w:jc w:val="left"/>
              <w:rPr>
                <w:rFonts w:asciiTheme="majorBidi" w:hAnsiTheme="majorBidi" w:cstheme="majorBidi"/>
                <w:color w:val="auto"/>
              </w:rPr>
            </w:pPr>
            <w:r w:rsidRPr="009D71E7">
              <w:rPr>
                <w:rFonts w:asciiTheme="majorBidi" w:hAnsiTheme="majorBidi" w:cstheme="majorBidi"/>
                <w:color w:val="auto"/>
              </w:rPr>
              <w:t>GI AEs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DOI":"10.1016/j.bpg.2020.101691","ISSN":"1521-6918","author":[{"dropping-particle":"","family":"Smith","given":"Padraic","non-dropping-particle":"","parse-names":false,"suffix":""},{"dropping-particle":"","family":"Lavery","given":"Anita","non-dropping-particle":"","parse-names":false,"suffix":""},{"dropping-particle":"","family":"Turkington","given":"Richard C","non-dropping-particle":"","parse-names":false,"suffix":""}],"container-title":"Best Practice &amp; Research Clinical Gastroenterology","id":"ITEM-3","issued":{"date-parts":[["2020"]]},"page":"101691","publisher":"Elsevier Ltd","title":"Jo ur l P re of","type":"article-journal"},"uris":["http://www.mendeley.com/documents/?uuid=c18069e0-bbb5-42e9-8abe-49e28ffa1613"]},{"id":"ITEM-4","itemData":{"DOI":"10.3389/fphar.2016.00414","author":[{"dropping-particle":"","family":"Mcquade","given":"Rachel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-4","issue":"November","issued":{"date-parts":[["2016"]]},"page":"1-14","title":"Chemotherapy-Induced Constipation and Diarrhea : Pathophysiology , Current and Emerging Treatments","type":"article-journal","volume":"7"},"uris":["http://www.mendeley.com/documents/?uuid=927b86cc-7ddd-47b0-996f-12402eddcefe"]},{"id":"ITEM-5","itemData":{"ISBN":"9780702053627","id":"ITEM-5","issued":{"date-parts":[["2016"]]},"publisher":"Elsevier","title":"Rang, H.P Ritter, J.M. Flower, R.J. Henderson, G.","type":"book"},"uris":["http://www.mendeley.com/documents/?uuid=03a538b9-d110-461b-b3aa-fd988daa0f3f"]}],"mendeley":{"formattedCitation":"&lt;sup&gt;7,16,19,22,29&lt;/sup&gt;","plainTextFormattedCitation":"7,16,19,22,29","previouslyFormattedCitation":"&lt;sup&gt;7,16,19,22,29&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7,16,19,22,29</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(diarrhoea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10.1016/j.bpg.2020.101691","ISSN":"1521-6918","author":[{"dropping-particle":"","family":"Smith","given":"Padraic","non-dropping-particle":"","parse-names":false,"suffix":""},{"dropping-particle":"","family":"Lavery","given":"Anita","non-dropping-particle":"","parse-names":false,"suffix":""},{"dropping-particle":"","family":"Turkington","given":"Richard C","non-dropping-particle":"","parse-names":false,"suffix":""}],"container-title":"Best Practice &amp; Research Clinical Gastroenterology","id":"ITEM-1","issued":{"date-parts":[["2020"]]},"page":"101691","publisher":"Elsevier Ltd","title":"Jo ur l P re of","type":"article-journal"},"uris":["http://www.mendeley.com/documents/?uuid=c18069e0-bbb5-42e9-8abe-49e28ffa1613"]},{"id":"ITEM-2","itemData":{"DOI":"10.3389/fphar.2016.00414","author":[{"dropping-particle":"","family":"Mcquade","given":"Rachel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-2","issue":"November","issued":{"date-parts":[["2016"]]},"page":"1-14","title":"Chemotherapy-Induced Constipation and Diarrhea : Pathophysiology , Current and Emerging Treatments","type":"article-journal","volume":"7"},"uris":["http://www.mendeley.com/documents/?uuid=927b86cc-7ddd-47b0-996f-12402eddcefe"]},{"id":"ITEM-3","itemData":{"ISBN":"9780702040849","author":[{"dropping-particle":"","family":"Bennett","given":"Peter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mendeley":{"formattedCitation":"&lt;sup&gt;16,19,29&lt;/sup&gt;","plainTextFormattedCitation":"16,19,29","previouslyFormattedCitation":"&lt;sup&gt;16,19,29&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16,19,29</w:t>
            </w:r>
            <w:r w:rsidRPr="009D71E7">
              <w:rPr>
                <w:rFonts w:asciiTheme="majorBidi" w:hAnsiTheme="majorBidi" w:cstheme="majorBidi"/>
                <w:color w:val="auto"/>
              </w:rPr>
              <w:fldChar w:fldCharType="end"/>
            </w:r>
            <w:r w:rsidRPr="009D71E7">
              <w:rPr>
                <w:rFonts w:asciiTheme="majorBidi" w:hAnsiTheme="majorBidi" w:cstheme="majorBidi"/>
                <w:color w:val="auto"/>
              </w:rPr>
              <w:t>, nausea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16,19&lt;/sup&gt;","plainTextFormattedCitation":"16,19","previouslyFormattedCitation":"&lt;sup&gt;16,19&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16,19</w:t>
            </w:r>
            <w:r w:rsidRPr="009D71E7">
              <w:rPr>
                <w:rFonts w:asciiTheme="majorBidi" w:hAnsiTheme="majorBidi" w:cstheme="majorBidi"/>
                <w:color w:val="auto"/>
              </w:rPr>
              <w:fldChar w:fldCharType="end"/>
            </w:r>
            <w:r w:rsidRPr="009D71E7">
              <w:rPr>
                <w:rFonts w:asciiTheme="majorBidi" w:hAnsiTheme="majorBidi" w:cstheme="majorBidi"/>
                <w:color w:val="auto"/>
              </w:rPr>
              <w:t>, vomiting</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16,19&lt;/sup&gt;","plainTextFormattedCitation":"16,19","previouslyFormattedCitation":"&lt;sup&gt;16,19&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16,19</w:t>
            </w:r>
            <w:r w:rsidRPr="009D71E7">
              <w:rPr>
                <w:rFonts w:asciiTheme="majorBidi" w:hAnsiTheme="majorBidi" w:cstheme="majorBidi"/>
                <w:color w:val="auto"/>
              </w:rPr>
              <w:fldChar w:fldCharType="end"/>
            </w:r>
            <w:r w:rsidRPr="009D71E7">
              <w:rPr>
                <w:rFonts w:asciiTheme="majorBidi" w:hAnsiTheme="majorBidi" w:cstheme="majorBidi"/>
                <w:color w:val="auto"/>
              </w:rPr>
              <w:t>, constipation</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mendeley":{"formattedCitation":"&lt;sup&gt;19&lt;/sup&gt;","plainTextFormattedCitation":"19","previouslyFormattedCitation":"&lt;sup&gt;19&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19</w:t>
            </w:r>
            <w:r w:rsidRPr="009D71E7">
              <w:rPr>
                <w:rFonts w:asciiTheme="majorBidi" w:hAnsiTheme="majorBidi" w:cstheme="majorBidi"/>
                <w:color w:val="auto"/>
              </w:rPr>
              <w:fldChar w:fldCharType="end"/>
            </w:r>
            <w:r w:rsidRPr="009D71E7">
              <w:rPr>
                <w:rFonts w:asciiTheme="majorBidi" w:hAnsiTheme="majorBidi" w:cstheme="majorBidi"/>
                <w:color w:val="auto"/>
              </w:rPr>
              <w:t>), Nephrotoxicity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7,16&lt;/sup&gt;","plainTextFormattedCitation":"7,16","previouslyFormattedCitation":"&lt;sup&gt;7,16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7,16</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(thrombotic microangiopathy [TMA]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w:t>
            </w:r>
            <w:bookmarkStart w:id="9" w:name="_Hlk213908747"/>
            <w:r w:rsidRPr="009D71E7">
              <w:rPr>
                <w:rFonts w:asciiTheme="majorBidi" w:eastAsia="Times New Roman" w:hAnsiTheme="majorBidi" w:cstheme="majorBidi"/>
                <w:color w:val="auto"/>
                <w:lang w:eastAsia="en-US"/>
              </w:rPr>
              <w:t xml:space="preserve">Hemolytic Uremic Syndrome </w:t>
            </w:r>
            <w:bookmarkEnd w:id="9"/>
            <w:r w:rsidRPr="009D71E7">
              <w:rPr>
                <w:rFonts w:asciiTheme="majorBidi" w:eastAsia="Times New Roman" w:hAnsiTheme="majorBidi" w:cstheme="majorBidi"/>
                <w:color w:val="auto"/>
                <w:lang w:eastAsia="en-US"/>
              </w:rPr>
              <w:t>[</w:t>
            </w:r>
            <w:r w:rsidRPr="009D71E7">
              <w:rPr>
                <w:rFonts w:asciiTheme="majorBidi" w:hAnsiTheme="majorBidi" w:cstheme="majorBidi"/>
                <w:color w:val="auto"/>
              </w:rPr>
              <w:t>HUS]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AKI</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fluid retention and edema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w:t>
            </w:r>
            <w:r w:rsidRPr="009D71E7">
              <w:rPr>
                <w:rFonts w:asciiTheme="majorBidi" w:hAnsiTheme="majorBidi" w:cstheme="majorBidi"/>
                <w:color w:val="auto"/>
              </w:rPr>
              <w:fldChar w:fldCharType="end"/>
            </w:r>
            <w:r w:rsidRPr="009D71E7">
              <w:rPr>
                <w:rFonts w:asciiTheme="majorBidi" w:hAnsiTheme="majorBidi" w:cstheme="majorBidi"/>
                <w:color w:val="auto"/>
              </w:rPr>
              <w:t>), Hepatotoxicity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(hepatitis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cirrhosis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steatosis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cholestasis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VOD</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hyperbilirubinemia)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Neurotoxicity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Equal","type":"article-journal","volume":"14"},"uris":["http://www.mendeley.com/documents/?uuid=0f2af5aa-b95f-4467-9ebc-fbf325762e68"]},{"id":"ITEM-3","itemData":{"ISBN":"9780702053627","id":"ITEM-3","issued":{"date-parts":[["2016"]]},"publisher":"Elsevier","title":"Rang, H.P Ritter, J.M. Flower, R.J. Henderson, G.","type":"book"},"uris":["http://www.mendeley.com/documents/?uuid=03a538b9-d110-461b-b3aa-fd988daa0f3f"]}],"mendeley":{"formattedCitation":"&lt;sup&gt;7,16,22&lt;/sup&gt;","plainTextFormattedCitation":"7,16,22","previouslyFormattedCitation":"&lt;sup&gt;7,16,22&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7,16,22</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(encephalopathy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stroke</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7,16&lt;/sup&gt;","plainTextFormattedCitation":"7,16","previouslyFormattedCitation":"&lt;sup&gt;7,16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7,16</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extrapyramidal syndrome</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Cardiotoxicity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7,16&lt;/sup&gt;","plainTextFormattedCitation":"7,16","previouslyFormattedCitation":"&lt;sup&gt;7,16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7,16</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(ischemia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7,16&lt;/sup&gt;","plainTextFormattedCitation":"7,16","previouslyFormattedCitation":"&lt;sup&gt;7,16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7,16</w:t>
            </w:r>
            <w:r w:rsidRPr="009D71E7">
              <w:rPr>
                <w:rFonts w:asciiTheme="majorBidi" w:hAnsiTheme="majorBidi" w:cstheme="majorBidi"/>
                <w:color w:val="auto"/>
              </w:rPr>
              <w:fldChar w:fldCharType="end"/>
            </w:r>
            <w:r w:rsidRPr="009D71E7">
              <w:rPr>
                <w:rFonts w:asciiTheme="majorBidi" w:hAnsiTheme="majorBidi" w:cstheme="majorBidi"/>
                <w:color w:val="auto"/>
              </w:rPr>
              <w:t>, angina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lang w:val="de-DE"/>
              </w:rPr>
              <w:t>7</w:t>
            </w:r>
            <w:r w:rsidRPr="009D71E7">
              <w:rPr>
                <w:rFonts w:asciiTheme="majorBidi" w:hAnsiTheme="majorBidi" w:cstheme="majorBidi"/>
                <w:color w:val="auto"/>
              </w:rPr>
              <w:fldChar w:fldCharType="end"/>
            </w:r>
            <w:r w:rsidRPr="009D71E7">
              <w:rPr>
                <w:rFonts w:asciiTheme="majorBidi" w:hAnsiTheme="majorBidi" w:cstheme="majorBidi"/>
                <w:color w:val="auto"/>
                <w:lang w:val="de-DE"/>
              </w:rPr>
              <w:t>, MI</w:t>
            </w:r>
            <w:r w:rsidRPr="009D71E7">
              <w:rPr>
                <w:rFonts w:asciiTheme="majorBidi" w:hAnsiTheme="majorBidi" w:cstheme="majorBidi"/>
                <w:color w:val="auto"/>
              </w:rPr>
              <w:fldChar w:fldCharType="begin" w:fldLock="1"/>
            </w:r>
            <w:r w:rsidRPr="009D71E7">
              <w:rPr>
                <w:rFonts w:asciiTheme="majorBidi" w:hAnsiTheme="majorBidi" w:cstheme="majorBidi"/>
                <w:color w:val="auto"/>
                <w:lang w:val="de-DE"/>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lang w:val="de-DE"/>
              </w:rPr>
              <w:t>7</w:t>
            </w:r>
            <w:r w:rsidRPr="009D71E7">
              <w:rPr>
                <w:rFonts w:asciiTheme="majorBidi" w:hAnsiTheme="majorBidi" w:cstheme="majorBidi"/>
                <w:color w:val="auto"/>
              </w:rPr>
              <w:fldChar w:fldCharType="end"/>
            </w:r>
            <w:r w:rsidRPr="009D71E7">
              <w:rPr>
                <w:rFonts w:asciiTheme="majorBidi" w:hAnsiTheme="majorBidi" w:cstheme="majorBidi"/>
                <w:color w:val="auto"/>
                <w:lang w:val="de-DE"/>
              </w:rPr>
              <w:t>, arrhythmia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w:instrText>
            </w:r>
            <w:r w:rsidRPr="003C7B2E">
              <w:rPr>
                <w:rFonts w:asciiTheme="majorBidi" w:hAnsiTheme="majorBidi" w:cstheme="majorBidi"/>
                <w:color w:val="auto"/>
                <w:lang w:val="pt-PT"/>
              </w:rPr>
              <w:instrText>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7,16&lt;/sup&gt;","plainTextFormattedCitation":"7,16","previouslyFormattedCitation":"&lt;sup&gt;7,16&lt;/sup&gt;"},"properties":{"noteIndex":0},"schema":"https://github.com/citation-style-language/schema/raw/master/csl-citation.json"}</w:instrText>
            </w:r>
            <w:r w:rsidRPr="009D71E7">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7,16</w:t>
            </w:r>
            <w:r w:rsidRPr="009D71E7">
              <w:rPr>
                <w:rFonts w:asciiTheme="majorBidi" w:hAnsiTheme="majorBidi" w:cstheme="majorBidi"/>
                <w:color w:val="auto"/>
              </w:rPr>
              <w:fldChar w:fldCharType="end"/>
            </w:r>
            <w:r w:rsidRPr="003C7B2E">
              <w:rPr>
                <w:rFonts w:asciiTheme="majorBidi" w:hAnsiTheme="majorBidi" w:cstheme="majorBidi"/>
                <w:color w:val="auto"/>
                <w:lang w:val="pt-PT"/>
              </w:rPr>
              <w:t>, pericarditis</w:t>
            </w:r>
            <w:r w:rsidRPr="009D71E7">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7</w:t>
            </w:r>
            <w:r w:rsidRPr="009D71E7">
              <w:rPr>
                <w:rFonts w:asciiTheme="majorBidi" w:hAnsiTheme="majorBidi" w:cstheme="majorBidi"/>
                <w:color w:val="auto"/>
              </w:rPr>
              <w:fldChar w:fldCharType="end"/>
            </w:r>
            <w:r w:rsidRPr="003C7B2E">
              <w:rPr>
                <w:rFonts w:asciiTheme="majorBidi" w:hAnsiTheme="majorBidi" w:cstheme="majorBidi"/>
                <w:color w:val="auto"/>
                <w:lang w:val="pt-PT"/>
              </w:rPr>
              <w:t>, CHF</w:t>
            </w:r>
            <w:r w:rsidRPr="009D71E7">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7</w:t>
            </w:r>
            <w:r w:rsidRPr="009D71E7">
              <w:rPr>
                <w:rFonts w:asciiTheme="majorBidi" w:hAnsiTheme="majorBidi" w:cstheme="majorBidi"/>
                <w:color w:val="auto"/>
              </w:rPr>
              <w:fldChar w:fldCharType="end"/>
            </w:r>
            <w:r w:rsidRPr="003C7B2E">
              <w:rPr>
                <w:rFonts w:asciiTheme="majorBidi" w:hAnsiTheme="majorBidi" w:cstheme="majorBidi"/>
                <w:color w:val="auto"/>
                <w:lang w:val="pt-PT"/>
              </w:rPr>
              <w:t>, cardiogenic shock</w:t>
            </w:r>
            <w:r w:rsidRPr="009D71E7">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7</w:t>
            </w:r>
            <w:r w:rsidRPr="009D71E7">
              <w:rPr>
                <w:rFonts w:asciiTheme="majorBidi" w:hAnsiTheme="majorBidi" w:cstheme="majorBidi"/>
                <w:color w:val="auto"/>
              </w:rPr>
              <w:fldChar w:fldCharType="end"/>
            </w:r>
            <w:r w:rsidRPr="003C7B2E">
              <w:rPr>
                <w:rFonts w:asciiTheme="majorBidi" w:hAnsiTheme="majorBidi" w:cstheme="majorBidi"/>
                <w:color w:val="auto"/>
                <w:lang w:val="pt-PT"/>
              </w:rPr>
              <w:t>, hypotension</w:t>
            </w:r>
            <w:r w:rsidRPr="009D71E7">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7</w:t>
            </w:r>
            <w:r w:rsidRPr="009D71E7">
              <w:rPr>
                <w:rFonts w:asciiTheme="majorBidi" w:hAnsiTheme="majorBidi" w:cstheme="majorBidi"/>
                <w:color w:val="auto"/>
              </w:rPr>
              <w:fldChar w:fldCharType="end"/>
            </w:r>
            <w:r w:rsidRPr="003C7B2E">
              <w:rPr>
                <w:rFonts w:asciiTheme="majorBidi" w:hAnsiTheme="majorBidi" w:cstheme="majorBidi"/>
                <w:color w:val="auto"/>
                <w:lang w:val="pt-PT"/>
              </w:rPr>
              <w:t>, ventricular dysfunction</w:t>
            </w:r>
            <w:r w:rsidRPr="009D71E7">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3C7B2E">
              <w:rPr>
                <w:rFonts w:asciiTheme="majorBidi" w:hAnsiTheme="majorBidi" w:cstheme="majorBidi"/>
                <w:noProof/>
                <w:color w:val="auto"/>
                <w:vertAlign w:val="superscript"/>
                <w:lang w:val="pt-PT"/>
              </w:rPr>
              <w:t>7</w:t>
            </w:r>
            <w:r w:rsidRPr="009D71E7">
              <w:rPr>
                <w:rFonts w:asciiTheme="majorBidi" w:hAnsiTheme="majorBidi" w:cstheme="majorBidi"/>
                <w:color w:val="auto"/>
              </w:rPr>
              <w:fldChar w:fldCharType="end"/>
            </w:r>
            <w:r w:rsidRPr="003C7B2E">
              <w:rPr>
                <w:rFonts w:asciiTheme="majorBidi" w:hAnsiTheme="majorBidi" w:cstheme="majorBidi"/>
                <w:color w:val="auto"/>
                <w:lang w:val="pt-PT"/>
              </w:rPr>
              <w:t xml:space="preserve">, </w:t>
            </w:r>
            <w:bookmarkStart w:id="10" w:name="_Hlk213918882"/>
            <w:r w:rsidRPr="003C7B2E">
              <w:rPr>
                <w:rFonts w:asciiTheme="majorBidi" w:hAnsiTheme="majorBidi" w:cstheme="majorBidi"/>
                <w:color w:val="auto"/>
                <w:lang w:val="pt-PT"/>
              </w:rPr>
              <w:t xml:space="preserve">Heart Failure </w:t>
            </w:r>
            <w:bookmarkEnd w:id="10"/>
            <w:r w:rsidRPr="003C7B2E">
              <w:rPr>
                <w:rFonts w:asciiTheme="majorBidi" w:hAnsiTheme="majorBidi" w:cstheme="majorBidi"/>
                <w:color w:val="auto"/>
                <w:lang w:val="pt-PT"/>
              </w:rPr>
              <w:t>[HF]</w:t>
            </w:r>
            <w:r w:rsidRPr="009D71E7">
              <w:rPr>
                <w:rFonts w:asciiTheme="majorBidi" w:hAnsiTheme="majorBidi" w:cstheme="majorBidi"/>
                <w:color w:val="auto"/>
              </w:rPr>
              <w:fldChar w:fldCharType="begin" w:fldLock="1"/>
            </w:r>
            <w:r w:rsidRPr="003C7B2E">
              <w:rPr>
                <w:rFonts w:asciiTheme="majorBidi" w:hAnsiTheme="majorBidi" w:cstheme="majorBidi"/>
                <w:color w:val="auto"/>
                <w:lang w:val="pt-PT"/>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w:instrText>
            </w:r>
            <w:r w:rsidRPr="009D71E7">
              <w:rPr>
                <w:rFonts w:asciiTheme="majorBidi" w:hAnsiTheme="majorBidi" w:cstheme="majorBidi"/>
                <w:color w:val="auto"/>
              </w:rPr>
              <w:instrText>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pericarditis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myelosuppression</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Pharmacology","type":"book"},"uris":["http://www.mendeley.com/documents/?uuid=5beec3d8-e650-4eb4-801e-10a6a7c655f5"]},{"id":"ITEM-4","itemData":{"ISBN":"9780702053627","id":"ITEM-4","issued":{"date-parts":[["2016"]]},"publisher":"Elsevier","title":"Rang, H.P Ritter, J.M. Flower, R.J. Henderson, G.","type":"book"},"uris":["http://www.mendeley.com/documents/?uuid=03a538b9-d110-461b-b3aa-fd988daa0f3f"]}],"mendeley":{"formattedCitation":"&lt;sup&gt;1,7,16,22&lt;/sup&gt;","plainTextFormattedCitation":"1,7,16,22","previouslyFormattedCitation":"&lt;sup&gt;1,7,16,22&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1,7,16,22</w:t>
            </w:r>
            <w:r w:rsidRPr="009D71E7">
              <w:rPr>
                <w:rFonts w:asciiTheme="majorBidi" w:hAnsiTheme="majorBidi" w:cstheme="majorBidi"/>
                <w:color w:val="auto"/>
              </w:rPr>
              <w:fldChar w:fldCharType="end"/>
            </w:r>
            <w:r w:rsidRPr="009D71E7">
              <w:rPr>
                <w:rFonts w:asciiTheme="majorBidi" w:hAnsiTheme="majorBidi" w:cstheme="majorBidi"/>
                <w:color w:val="auto"/>
              </w:rPr>
              <w:t>, Anaphylaxis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w:t>
            </w:r>
            <w:r w:rsidRPr="009D71E7">
              <w:rPr>
                <w:rFonts w:asciiTheme="majorBidi" w:hAnsiTheme="majorBidi" w:cstheme="majorBidi"/>
                <w:color w:val="auto"/>
              </w:rPr>
              <w:fldChar w:fldCharType="end"/>
            </w:r>
            <w:r w:rsidRPr="009D71E7">
              <w:rPr>
                <w:rFonts w:asciiTheme="majorBidi" w:hAnsiTheme="majorBidi" w:cstheme="majorBidi"/>
                <w:color w:val="auto"/>
              </w:rPr>
              <w:t>, hyperpigmentation</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w:t>
            </w:r>
            <w:r w:rsidRPr="009D71E7">
              <w:rPr>
                <w:rFonts w:asciiTheme="majorBidi" w:hAnsiTheme="majorBidi" w:cstheme="majorBidi"/>
                <w:color w:val="auto"/>
              </w:rPr>
              <w:fldChar w:fldCharType="end"/>
            </w:r>
            <w:r w:rsidRPr="009D71E7">
              <w:rPr>
                <w:rFonts w:asciiTheme="majorBidi" w:hAnsiTheme="majorBidi" w:cstheme="majorBidi"/>
                <w:color w:val="auto"/>
              </w:rPr>
              <w:t>, hand foot mouth disease</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w:t>
            </w:r>
            <w:r w:rsidRPr="009D71E7">
              <w:rPr>
                <w:rFonts w:asciiTheme="majorBidi" w:hAnsiTheme="majorBidi" w:cstheme="majorBidi"/>
                <w:color w:val="auto"/>
              </w:rPr>
              <w:fldChar w:fldCharType="end"/>
            </w:r>
            <w:r w:rsidRPr="009D71E7">
              <w:rPr>
                <w:rFonts w:asciiTheme="majorBidi" w:hAnsiTheme="majorBidi" w:cstheme="majorBidi"/>
                <w:color w:val="auto"/>
              </w:rPr>
              <w:t>, conjunctivitis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w:t>
            </w:r>
            <w:r w:rsidRPr="009D71E7">
              <w:rPr>
                <w:rFonts w:asciiTheme="majorBidi" w:hAnsiTheme="majorBidi" w:cstheme="majorBidi"/>
                <w:color w:val="auto"/>
              </w:rPr>
              <w:fldChar w:fldCharType="end"/>
            </w:r>
            <w:r w:rsidRPr="009D71E7">
              <w:rPr>
                <w:rFonts w:asciiTheme="majorBidi" w:hAnsiTheme="majorBidi" w:cstheme="majorBidi"/>
                <w:color w:val="auto"/>
              </w:rPr>
              <w:t>, influenza like syndrome</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22</w:t>
            </w:r>
            <w:r w:rsidRPr="009D71E7">
              <w:rPr>
                <w:rFonts w:asciiTheme="majorBidi" w:hAnsiTheme="majorBidi" w:cstheme="majorBidi"/>
                <w:color w:val="auto"/>
              </w:rPr>
              <w:fldChar w:fldCharType="end"/>
            </w:r>
            <w:r w:rsidRPr="009D71E7">
              <w:rPr>
                <w:rFonts w:asciiTheme="majorBidi" w:hAnsiTheme="majorBidi" w:cstheme="majorBidi"/>
                <w:color w:val="auto"/>
              </w:rPr>
              <w:t>, respiratory distress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w:t>
            </w:r>
            <w:r w:rsidRPr="009D71E7">
              <w:rPr>
                <w:rFonts w:asciiTheme="majorBidi" w:hAnsiTheme="majorBidi" w:cstheme="majorBidi"/>
                <w:color w:val="auto"/>
              </w:rPr>
              <w:fldChar w:fldCharType="end"/>
            </w:r>
            <w:r w:rsidRPr="009D71E7">
              <w:rPr>
                <w:rFonts w:asciiTheme="majorBidi" w:hAnsiTheme="majorBidi" w:cstheme="majorBidi"/>
                <w:color w:val="auto"/>
              </w:rPr>
              <w:t>, immunosuppression</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w:t>
            </w:r>
            <w:r w:rsidRPr="009D71E7">
              <w:rPr>
                <w:rFonts w:asciiTheme="majorBidi" w:hAnsiTheme="majorBidi" w:cstheme="majorBidi"/>
                <w:color w:val="auto"/>
              </w:rPr>
              <w:fldChar w:fldCharType="end"/>
            </w:r>
          </w:p>
        </w:tc>
      </w:tr>
      <w:tr w:rsidR="00C171AF" w14:paraId="24BAB5F2" w14:textId="77777777" w:rsidTr="003B0468">
        <w:tc>
          <w:tcPr>
            <w:tcW w:w="1345" w:type="dxa"/>
            <w:vMerge/>
            <w:tcBorders>
              <w:left w:val="nil"/>
              <w:right w:val="nil"/>
            </w:tcBorders>
          </w:tcPr>
          <w:p w14:paraId="1143660E" w14:textId="77777777" w:rsidR="00C171AF" w:rsidRPr="002F2BEA" w:rsidRDefault="00C171AF" w:rsidP="003B0468">
            <w:pPr>
              <w:suppressAutoHyphens/>
              <w:spacing w:line="276" w:lineRule="auto"/>
              <w:jc w:val="left"/>
              <w:rPr>
                <w:rFonts w:asciiTheme="majorBidi" w:hAnsiTheme="majorBidi" w:cstheme="majorBidi"/>
                <w:color w:val="auto"/>
              </w:rPr>
            </w:pPr>
          </w:p>
        </w:tc>
        <w:tc>
          <w:tcPr>
            <w:tcW w:w="1456" w:type="dxa"/>
            <w:tcBorders>
              <w:left w:val="nil"/>
              <w:right w:val="nil"/>
            </w:tcBorders>
          </w:tcPr>
          <w:p w14:paraId="61AEEE57"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Purine analogues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p>
        </w:tc>
        <w:tc>
          <w:tcPr>
            <w:tcW w:w="2329" w:type="dxa"/>
            <w:tcBorders>
              <w:left w:val="nil"/>
              <w:right w:val="nil"/>
            </w:tcBorders>
          </w:tcPr>
          <w:p w14:paraId="0EFA75D8"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Mercaptopurine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p>
        </w:tc>
        <w:tc>
          <w:tcPr>
            <w:tcW w:w="9558" w:type="dxa"/>
            <w:tcBorders>
              <w:left w:val="nil"/>
              <w:right w:val="nil"/>
            </w:tcBorders>
          </w:tcPr>
          <w:p w14:paraId="3987AB12" w14:textId="77777777" w:rsidR="00C171AF" w:rsidRPr="009D71E7" w:rsidRDefault="00C171AF" w:rsidP="003B0468">
            <w:pPr>
              <w:suppressAutoHyphens/>
              <w:spacing w:line="276" w:lineRule="auto"/>
              <w:ind w:right="-109"/>
              <w:jc w:val="left"/>
              <w:rPr>
                <w:rFonts w:asciiTheme="majorBidi" w:hAnsiTheme="majorBidi" w:cstheme="majorBidi"/>
                <w:color w:val="auto"/>
              </w:rPr>
            </w:pPr>
            <w:r w:rsidRPr="009D71E7">
              <w:rPr>
                <w:rFonts w:asciiTheme="majorBidi" w:hAnsiTheme="majorBidi" w:cstheme="majorBidi"/>
                <w:color w:val="auto"/>
              </w:rPr>
              <w:t>Hepatoxicity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(VOD, cholestasis, jaundice, hepatocellular injury)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myelosuppression</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w:t>
            </w:r>
          </w:p>
        </w:tc>
      </w:tr>
      <w:tr w:rsidR="00C171AF" w14:paraId="1004322C" w14:textId="77777777" w:rsidTr="003B0468">
        <w:tc>
          <w:tcPr>
            <w:tcW w:w="1345" w:type="dxa"/>
            <w:vMerge w:val="restart"/>
            <w:tcBorders>
              <w:left w:val="nil"/>
              <w:right w:val="nil"/>
            </w:tcBorders>
          </w:tcPr>
          <w:p w14:paraId="29E2C7AD"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Anti-mitotic agents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1,16&lt;/sup&gt;","plainTextFormattedCitation":"1,16","previouslyFormattedCitation":"&lt;sup&gt;1,16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1,16</w:t>
            </w:r>
            <w:r w:rsidRPr="002F2BEA">
              <w:rPr>
                <w:rFonts w:asciiTheme="majorBidi" w:hAnsiTheme="majorBidi" w:cstheme="majorBidi"/>
                <w:color w:val="auto"/>
              </w:rPr>
              <w:fldChar w:fldCharType="end"/>
            </w:r>
          </w:p>
        </w:tc>
        <w:tc>
          <w:tcPr>
            <w:tcW w:w="1456" w:type="dxa"/>
            <w:tcBorders>
              <w:left w:val="nil"/>
              <w:right w:val="nil"/>
            </w:tcBorders>
          </w:tcPr>
          <w:p w14:paraId="7C130B9D"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Vinca alkaloids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Pharmacology","type":"book"},"uris":["http://www.mendeley.com/documents/?uuid=295b7cca-1977-44d5-b420-082f10e569e9"]},{"id":"ITEM-2","itemData":{"ISBN":"9780702053627","id":"ITEM-2","issued":{"date-parts":[["2016"]]},"publisher":"Elsevier","title":"Rang, H.P Ritter, J.M. Flower, R.J. Henderson, G.","type":"book"},"uris":["http://www.mendeley.com/documents/?uuid=03a538b9-d110-461b-b3aa-fd988daa0f3f"]}],"mendeley":{"formattedCitation":"&lt;sup&gt;22,23&lt;/sup&gt;","plainTextFormattedCitation":"22,23","previouslyFormattedCitation":"&lt;sup&gt;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22,23</w:t>
            </w:r>
            <w:r w:rsidRPr="002F2BEA">
              <w:rPr>
                <w:rFonts w:asciiTheme="majorBidi" w:hAnsiTheme="majorBidi" w:cstheme="majorBidi"/>
                <w:color w:val="auto"/>
              </w:rPr>
              <w:fldChar w:fldCharType="end"/>
            </w:r>
          </w:p>
        </w:tc>
        <w:tc>
          <w:tcPr>
            <w:tcW w:w="2329" w:type="dxa"/>
            <w:tcBorders>
              <w:left w:val="nil"/>
              <w:right w:val="nil"/>
            </w:tcBorders>
          </w:tcPr>
          <w:p w14:paraId="01B18917"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Vincristine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p>
          <w:p w14:paraId="12E4DEFF"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Vinblastine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p>
          <w:p w14:paraId="714B937C"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Vinorelbine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p>
        </w:tc>
        <w:tc>
          <w:tcPr>
            <w:tcW w:w="9558" w:type="dxa"/>
            <w:tcBorders>
              <w:left w:val="nil"/>
              <w:right w:val="nil"/>
            </w:tcBorders>
          </w:tcPr>
          <w:p w14:paraId="7B65EB63" w14:textId="77777777" w:rsidR="00C171AF" w:rsidRPr="009D71E7" w:rsidRDefault="00C171AF" w:rsidP="003B0468">
            <w:pPr>
              <w:suppressAutoHyphens/>
              <w:spacing w:line="276" w:lineRule="auto"/>
              <w:ind w:right="-109"/>
              <w:jc w:val="left"/>
              <w:rPr>
                <w:rFonts w:asciiTheme="majorBidi" w:hAnsiTheme="majorBidi" w:cstheme="majorBidi"/>
                <w:color w:val="auto"/>
              </w:rPr>
            </w:pPr>
            <w:r w:rsidRPr="009D71E7">
              <w:rPr>
                <w:rFonts w:asciiTheme="majorBidi" w:hAnsiTheme="majorBidi" w:cstheme="majorBidi"/>
                <w:color w:val="auto"/>
              </w:rPr>
              <w:t>GI AEs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-3","issue":"November","issued":{"date-parts":[["2016"]]},"page":"1-14","title":"Chemotherapy-Induced Constipation and Diarrhea : Pathophysiology , Current and Emerging Treatments","type":"article-journal","volume":"7"},"uris":["http://www.mendeley.com/documents/?uuid=927b86cc-7ddd-47b0-996f-12402eddcefe"]},{"id":"ITEM-4","itemData":{"ISBN":"SBN-13: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-4","issued":{"date-parts":[["2009"]]},"publisher-place":"United States of America","title":"Clinical Pharmacology","type":"book"},"uris":["http://www.mendeley.com/documents/?uuid=295b7cca-1977-44d5-b420-082f10e569e9"]}],"mendeley":{"formattedCitation":"&lt;sup&gt;7,16,19,23&lt;/sup&gt;","plainTextFormattedCitation":"7,16,19,23","previouslyFormattedCitation":"&lt;sup&gt;7,16,19,23&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7,16,19,23</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(nausea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16,23&lt;/sup&gt;","plainTextFormattedCitation":"16,23","previouslyFormattedCitation":"&lt;sup&gt;16,23&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16,23</w:t>
            </w:r>
            <w:r w:rsidRPr="009D71E7">
              <w:rPr>
                <w:rFonts w:asciiTheme="majorBidi" w:hAnsiTheme="majorBidi" w:cstheme="majorBidi"/>
                <w:color w:val="auto"/>
              </w:rPr>
              <w:fldChar w:fldCharType="end"/>
            </w:r>
            <w:r w:rsidRPr="009D71E7">
              <w:rPr>
                <w:rFonts w:asciiTheme="majorBidi" w:hAnsiTheme="majorBidi" w:cstheme="majorBidi"/>
                <w:color w:val="auto"/>
              </w:rPr>
              <w:t>, vomiting</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16,23&lt;/sup&gt;","plainTextFormattedCitation":"16,23","previouslyFormattedCitation":"&lt;sup&gt;16,23&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16,23</w:t>
            </w:r>
            <w:r w:rsidRPr="009D71E7">
              <w:rPr>
                <w:rFonts w:asciiTheme="majorBidi" w:hAnsiTheme="majorBidi" w:cstheme="majorBidi"/>
                <w:color w:val="auto"/>
              </w:rPr>
              <w:fldChar w:fldCharType="end"/>
            </w:r>
            <w:r w:rsidRPr="009D71E7">
              <w:rPr>
                <w:rFonts w:asciiTheme="majorBidi" w:hAnsiTheme="majorBidi" w:cstheme="majorBidi"/>
                <w:color w:val="auto"/>
              </w:rPr>
              <w:t>, constipation</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-2","issue":"November","issued":{"date-parts":[["2016"]]},"page":"1-14","title":"Chemotherapy-Induced Constipation and Diarrhea : Pathophysiology , Current and Emerging Treatments","type":"article-journal","volume":"7"},"uris":["http://www.mendeley.com/documents/?uuid=927b86cc-7ddd-47b0-996f-12402eddcefe"]}],"mendeley":{"formattedCitation":"&lt;sup&gt;19,23&lt;/sup&gt;","plainTextFormattedCitation":"19,23","previouslyFormattedCitation":"&lt;sup&gt;19,23&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19,23</w:t>
            </w:r>
            <w:r w:rsidRPr="009D71E7">
              <w:rPr>
                <w:rFonts w:asciiTheme="majorBidi" w:hAnsiTheme="majorBidi" w:cstheme="majorBidi"/>
                <w:color w:val="auto"/>
              </w:rPr>
              <w:fldChar w:fldCharType="end"/>
            </w:r>
            <w:r w:rsidRPr="009D71E7">
              <w:rPr>
                <w:rFonts w:asciiTheme="majorBidi" w:hAnsiTheme="majorBidi" w:cstheme="majorBidi"/>
                <w:color w:val="auto"/>
              </w:rPr>
              <w:t>, abdominal pain</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mendeley":{"formattedCitation":"&lt;sup&gt;19&lt;/sup&gt;","plainTextFormattedCitation":"19","previouslyFormattedCitation":"&lt;sup&gt;19&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19</w:t>
            </w:r>
            <w:r w:rsidRPr="009D71E7">
              <w:rPr>
                <w:rFonts w:asciiTheme="majorBidi" w:hAnsiTheme="majorBidi" w:cstheme="majorBidi"/>
                <w:color w:val="auto"/>
              </w:rPr>
              <w:fldChar w:fldCharType="end"/>
            </w:r>
            <w:r w:rsidRPr="009D71E7">
              <w:rPr>
                <w:rFonts w:asciiTheme="majorBidi" w:hAnsiTheme="majorBidi" w:cstheme="majorBidi"/>
                <w:color w:val="auto"/>
              </w:rPr>
              <w:t>, hepatitis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Neurotoxicity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-3","issue":"48","issued":{"date-parts":[["2021"]]},"title":"Comparison of Anticancer Drug Toxicities: Paradigm Shift in Adverse Effect Profile","type":"article-journal","volume":"12"},"uris":["http://www.mendeley.com/documents/?uuid=82dfed70-2715-43ac-8eb1-bbe78e5826c1"]},{"id":"ITEM-4","itemData":{"ISBN":"9780702040849","author":[{"dropping-particle":"","family":"Bennett","given":"Peter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-4","issued":{"date-parts":[["2012"]]},"publisher":"Elsevier","title":"Clinical Pharmacology","type":"book"},"uris":["http://www.mendeley.com/documents/?uuid=5beec3d8-e650-4eb4-801e-10a6a7c655f5"]},{"id":"ITEM-5","itemData":{"ISBN":"SBN-13: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-5","issued":{"date-parts":[["2009"]]},"publisher-place":"United States of America","title":"Clinical Pharmacology","type":"book"},"uris":["http://www.mendeley.com/documents/?uuid=295b7cca-1977-44d5-b420-082f10e569e9"]}],"mendeley":{"formattedCitation":"&lt;sup&gt;1,7,16,22,23&lt;/sup&gt;","plainTextFormattedCitation":"1,7,16,22,23","previouslyFormattedCitation":"&lt;sup&gt;1,7,16,22,23&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1,7,16,22,23</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(neuropathy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-2","issue":"48","issued":{"date-parts":[["2021"]]},"title":"Comparison of Anticancer Drug Toxicities: Paradigm Shift in Adverse Effect Profile","type":"article-journal","volume":"12"},"uris":["http://www.mendeley.com/documents/?uuid=82dfed70-2715-43ac-8eb1-bbe78e5826c1"]},{"id":"ITEM-3","itemData":{"DOI":"10.3390/cancers14030627","ISSN":"20726694","abstract":"Recent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P.","non-dropping-particle":"","parse-names":false,"suffix":""}],"container-title":"Cancers","id":"ITEM-3","issue":"3","issued":{"date-parts":[["2022"]]},"page":"1-27","title":"Chemotherapy Side-Effects: Not All DNA Damage Is Equal","type":"article-journal","volume":"14"},"uris":["http://www.mendeley.com/documents/?uuid=0f2af5aa-b95f-4467-9ebc-fbf325762e68"]}],"mendeley":{"formattedCitation":"&lt;sup&gt;1,7,16&lt;/sup&gt;","plainTextFormattedCitation":"1,7,16","previouslyFormattedCitation":"&lt;sup&gt;1,7,16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1,7,16</w:t>
            </w:r>
            <w:r w:rsidRPr="009D71E7">
              <w:rPr>
                <w:rFonts w:asciiTheme="majorBidi" w:hAnsiTheme="majorBidi" w:cstheme="majorBidi"/>
                <w:color w:val="auto"/>
              </w:rPr>
              <w:fldChar w:fldCharType="end"/>
            </w:r>
            <w:r w:rsidRPr="009D71E7">
              <w:rPr>
                <w:rFonts w:asciiTheme="majorBidi" w:hAnsiTheme="majorBidi" w:cstheme="majorBidi"/>
                <w:color w:val="auto"/>
              </w:rPr>
              <w:t>, neuronal death</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mendeley":{"formattedCitation":"&lt;sup&gt;1&lt;/sup&gt;","plainTextFormattedCitation":"1","previouslyFormattedCitation":"&lt;sup&gt;1&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w:t>
            </w:r>
            <w:r w:rsidRPr="009D71E7">
              <w:rPr>
                <w:rFonts w:asciiTheme="majorBidi" w:hAnsiTheme="majorBidi" w:cstheme="majorBidi"/>
                <w:color w:val="auto"/>
              </w:rPr>
              <w:fldChar w:fldCharType="end"/>
            </w:r>
            <w:r w:rsidRPr="009D71E7">
              <w:rPr>
                <w:rFonts w:asciiTheme="majorBidi" w:hAnsiTheme="majorBidi" w:cstheme="majorBidi"/>
                <w:color w:val="auto"/>
              </w:rPr>
              <w:t>, encephalopathy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seizures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SIADH</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blindness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sensory/ motor impairment</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Pharmacology","type":"book"},"uris":["http://www.mendeley.com/documents/?uuid=5beec3d8-e650-4eb4-801e-10a6a7c655f5"]},{"id":"ITEM-3","itemData":{"ISBN":"9780702053627","id":"ITEM-3","issued":{"date-parts":[["2016"]]},"publisher":"Elsevier","title":"Rang, H.P Ritter, J.M. Flower, R.J. Henderson, G.","type":"book"},"uris":["http://www.mendeley.com/documents/?uuid=03a538b9-d110-461b-b3aa-fd988daa0f3f"]}],"mendeley":{"formattedCitation":"&lt;sup&gt;7,16,22&lt;/sup&gt;","plainTextFormattedCitation":"7,16,22","previouslyFormattedCitation":"&lt;sup&gt;7,16,22&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7,16,22</w:t>
            </w:r>
            <w:r w:rsidRPr="009D71E7">
              <w:rPr>
                <w:rFonts w:asciiTheme="majorBidi" w:hAnsiTheme="majorBidi" w:cstheme="majorBidi"/>
                <w:color w:val="auto"/>
              </w:rPr>
              <w:fldChar w:fldCharType="end"/>
            </w:r>
            <w:r w:rsidRPr="009D71E7">
              <w:rPr>
                <w:rFonts w:asciiTheme="majorBidi" w:hAnsiTheme="majorBidi" w:cstheme="majorBidi"/>
                <w:color w:val="auto"/>
              </w:rPr>
              <w:t>, ataxia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muscle/ jaw pain</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mendeley":{"formattedCitation":"&lt;sup&gt;7,16,22&lt;/sup&gt;","plainTextFormattedCitation":"7,16,22","previouslyFormattedCitation":"&lt;sup&gt;7,16,22&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7,16,22</w:t>
            </w:r>
            <w:r w:rsidRPr="009D71E7">
              <w:rPr>
                <w:rFonts w:asciiTheme="majorBidi" w:hAnsiTheme="majorBidi" w:cstheme="majorBidi"/>
                <w:color w:val="auto"/>
              </w:rPr>
              <w:fldChar w:fldCharType="end"/>
            </w:r>
            <w:r w:rsidRPr="009D71E7">
              <w:rPr>
                <w:rFonts w:asciiTheme="majorBidi" w:hAnsiTheme="majorBidi" w:cstheme="majorBidi"/>
                <w:color w:val="auto"/>
              </w:rPr>
              <w:t>, tumor pain</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23</w:t>
            </w:r>
            <w:r w:rsidRPr="009D71E7">
              <w:rPr>
                <w:rFonts w:asciiTheme="majorBidi" w:hAnsiTheme="majorBidi" w:cstheme="majorBidi"/>
                <w:color w:val="auto"/>
              </w:rPr>
              <w:fldChar w:fldCharType="end"/>
            </w:r>
            <w:r w:rsidRPr="009D71E7">
              <w:rPr>
                <w:rFonts w:asciiTheme="majorBidi" w:hAnsiTheme="majorBidi" w:cstheme="majorBidi"/>
                <w:color w:val="auto"/>
              </w:rPr>
              <w:t>, parkinsonism</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athetosis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paralytic ileus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w:t>
            </w:r>
            <w:r w:rsidRPr="009D71E7">
              <w:rPr>
                <w:rFonts w:asciiTheme="majorBidi" w:hAnsiTheme="majorBidi" w:cstheme="majorBidi"/>
                <w:color w:val="auto"/>
              </w:rPr>
              <w:fldChar w:fldCharType="end"/>
            </w:r>
            <w:r w:rsidRPr="009D71E7">
              <w:rPr>
                <w:rFonts w:asciiTheme="majorBidi" w:hAnsiTheme="majorBidi" w:cstheme="majorBidi"/>
                <w:color w:val="auto"/>
              </w:rPr>
              <w:t>, stomatitis</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16,23&lt;/sup&gt;","plainTextFormattedCitation":"16,23","previouslyFormattedCitation":"&lt;sup&gt;16,23&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16,23</w:t>
            </w:r>
            <w:r w:rsidRPr="009D71E7">
              <w:rPr>
                <w:rFonts w:asciiTheme="majorBidi" w:hAnsiTheme="majorBidi" w:cstheme="majorBidi"/>
                <w:color w:val="auto"/>
              </w:rPr>
              <w:fldChar w:fldCharType="end"/>
            </w:r>
            <w:r w:rsidRPr="009D71E7">
              <w:rPr>
                <w:rFonts w:asciiTheme="majorBidi" w:hAnsiTheme="majorBidi" w:cstheme="majorBidi"/>
                <w:color w:val="auto"/>
              </w:rPr>
              <w:t>), Cardiac toxicity</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(arrythmia, atrioventricular block, hypotension, CHF, ischemia, pulmonary oedema)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7</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myelosuppression </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mendeley":{"formattedCitation":"&lt;sup&gt;16,22,23&lt;/sup&gt;","plainTextFormattedCitation":"16,22,23","previouslyFormattedCitation":"&lt;sup&gt;16,22,23&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16,22,23</w:t>
            </w:r>
            <w:r w:rsidRPr="009D71E7">
              <w:rPr>
                <w:rFonts w:asciiTheme="majorBidi" w:hAnsiTheme="majorBidi" w:cstheme="majorBidi"/>
                <w:color w:val="auto"/>
              </w:rPr>
              <w:fldChar w:fldCharType="end"/>
            </w:r>
            <w:r w:rsidRPr="009D71E7">
              <w:rPr>
                <w:rFonts w:asciiTheme="majorBidi" w:hAnsiTheme="majorBidi" w:cstheme="majorBidi"/>
                <w:color w:val="auto"/>
              </w:rPr>
              <w:t>, phlebitis with extravasation</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w:t>
            </w:r>
            <w:r w:rsidRPr="009D71E7">
              <w:rPr>
                <w:rFonts w:asciiTheme="majorBidi" w:hAnsiTheme="majorBidi" w:cstheme="majorBidi"/>
                <w:color w:val="auto"/>
              </w:rPr>
              <w:fldChar w:fldCharType="end"/>
            </w:r>
            <w:r w:rsidRPr="009D71E7">
              <w:rPr>
                <w:rFonts w:asciiTheme="majorBidi" w:hAnsiTheme="majorBidi" w:cstheme="majorBidi"/>
                <w:color w:val="auto"/>
              </w:rPr>
              <w:t>, alopecia</w:t>
            </w:r>
            <w:r w:rsidRPr="009D71E7">
              <w:rPr>
                <w:rFonts w:asciiTheme="majorBidi" w:hAnsiTheme="majorBidi" w:cstheme="majorBidi"/>
                <w:color w:val="auto"/>
              </w:rPr>
              <w:fldChar w:fldCharType="begin" w:fldLock="1"/>
            </w:r>
            <w:r w:rsidRPr="009D71E7">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Pharmacology","type":"book"},"uris":["http://www.mendeley.com/documents/?uuid=295b7cca-1977-44d5-b420-082f10e569e9"]},{"id":"ITEM-3","itemData":{"ISBN":"9780702053627","id":"ITEM-3","issued":{"date-parts":[["2016"]]},"publisher":"Elsevier","title":"Rang, H.P Ritter, J.M. Flower, R.J. Henderson, G.","type":"book"},"uris":["http://www.mendeley.com/documents/?uuid=03a538b9-d110-461b-b3aa-fd988daa0f3f"]}],"mendeley":{"formattedCitation":"&lt;sup&gt;16,22,23&lt;/sup&gt;","plainTextFormattedCitation":"16,22,23","previouslyFormattedCitation":"&lt;sup&gt;16,22,23&lt;/sup&gt;"},"properties":{"noteIndex":0},"schema":"https://github.com/citation-style-language/schema/raw/master/csl-citation.json"}</w:instrText>
            </w:r>
            <w:r w:rsidRPr="009D71E7">
              <w:rPr>
                <w:rFonts w:asciiTheme="majorBidi" w:hAnsiTheme="majorBidi" w:cstheme="majorBidi"/>
                <w:color w:val="auto"/>
              </w:rPr>
              <w:fldChar w:fldCharType="separate"/>
            </w:r>
            <w:r w:rsidRPr="009D71E7">
              <w:rPr>
                <w:rFonts w:asciiTheme="majorBidi" w:hAnsiTheme="majorBidi" w:cstheme="majorBidi"/>
                <w:noProof/>
                <w:color w:val="auto"/>
                <w:vertAlign w:val="superscript"/>
              </w:rPr>
              <w:t>16,22,23</w:t>
            </w:r>
            <w:r w:rsidRPr="009D71E7">
              <w:rPr>
                <w:rFonts w:asciiTheme="majorBidi" w:hAnsiTheme="majorBidi" w:cstheme="majorBidi"/>
                <w:color w:val="auto"/>
              </w:rPr>
              <w:fldChar w:fldCharType="end"/>
            </w:r>
            <w:r w:rsidRPr="009D71E7">
              <w:rPr>
                <w:rFonts w:asciiTheme="majorBidi" w:hAnsiTheme="majorBidi" w:cstheme="majorBidi"/>
                <w:color w:val="auto"/>
              </w:rPr>
              <w:t xml:space="preserve"> </w:t>
            </w:r>
          </w:p>
        </w:tc>
      </w:tr>
      <w:tr w:rsidR="00C171AF" w14:paraId="17EE662D" w14:textId="77777777" w:rsidTr="003B0468">
        <w:tc>
          <w:tcPr>
            <w:tcW w:w="1345" w:type="dxa"/>
            <w:vMerge/>
            <w:tcBorders>
              <w:left w:val="nil"/>
              <w:right w:val="nil"/>
            </w:tcBorders>
          </w:tcPr>
          <w:p w14:paraId="0C05898B" w14:textId="77777777" w:rsidR="00C171AF" w:rsidRPr="002F2BEA" w:rsidRDefault="00C171AF" w:rsidP="003B0468">
            <w:pPr>
              <w:suppressAutoHyphens/>
              <w:spacing w:line="276" w:lineRule="auto"/>
              <w:jc w:val="left"/>
              <w:rPr>
                <w:rFonts w:asciiTheme="majorBidi" w:hAnsiTheme="majorBidi" w:cstheme="majorBidi"/>
                <w:color w:val="auto"/>
              </w:rPr>
            </w:pPr>
          </w:p>
        </w:tc>
        <w:tc>
          <w:tcPr>
            <w:tcW w:w="1456" w:type="dxa"/>
            <w:tcBorders>
              <w:left w:val="nil"/>
              <w:right w:val="nil"/>
            </w:tcBorders>
          </w:tcPr>
          <w:p w14:paraId="4B7A5EE1"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Taxanes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Pharmacology","type":"book"},"uris":["http://www.mendeley.com/documents/?uuid=295b7cca-1977-44d5-b420-082f10e569e9"]},{"id":"ITEM-4","itemData":{"ISBN":"9780702053627","id":"ITEM-4","issued":{"date-parts":[["2016"]]},"publisher":"Elsevier","title":"Rang, H.P Ritter, J.M. Flower, R.J. Henderson, G.","type":"book"},"uris":["http://www.mendeley.com/documents/?uuid=03a538b9-d110-461b-b3aa-fd988daa0f3f"]}],"mendeley":{"formattedCitation":"&lt;sup&gt;7,16,22,23&lt;/sup&gt;","plainTextFormattedCitation":"7,16,22,23","previouslyFormattedCitation":"&lt;sup&gt;7,16,22,23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7,16,22,23</w:t>
            </w:r>
            <w:r w:rsidRPr="002F2BEA">
              <w:rPr>
                <w:rFonts w:asciiTheme="majorBidi" w:hAnsiTheme="majorBidi" w:cstheme="majorBidi"/>
                <w:color w:val="auto"/>
              </w:rPr>
              <w:fldChar w:fldCharType="end"/>
            </w:r>
          </w:p>
        </w:tc>
        <w:tc>
          <w:tcPr>
            <w:tcW w:w="2329" w:type="dxa"/>
            <w:tcBorders>
              <w:left w:val="nil"/>
              <w:right w:val="nil"/>
            </w:tcBorders>
          </w:tcPr>
          <w:p w14:paraId="3096BF39"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Docetaxcel</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Pharmacology","type":"book"},"uris":["http://www.mendeley.com/documents/?uuid=295b7cca-1977-44d5-b420-082f10e569e9"]},{"id":"ITEM-3","itemData":{"ISBN":"9780702053627","id":"ITEM-3","issued":{"date-parts":[["2016"]]},"publisher":"Elsevier","title":"Rang, H.P Ritter, J.M. Flower, R.J. Henderson, G.","type":"book"},"uris":["http://www.mendeley.com/documents/?uuid=03a538b9-d110-461b-b3aa-fd988daa0f3f"]}],"mendeley":{"formattedCitation":"&lt;sup&gt;7,22,23&lt;/sup&gt;","plainTextFormattedCitation":"7,22,23","previouslyFormattedCitation":"&lt;sup&gt;7,22,23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7,22,23</w:t>
            </w:r>
            <w:r w:rsidRPr="002F2BEA">
              <w:rPr>
                <w:rFonts w:asciiTheme="majorBidi" w:hAnsiTheme="majorBidi" w:cstheme="majorBidi"/>
                <w:color w:val="auto"/>
              </w:rPr>
              <w:fldChar w:fldCharType="end"/>
            </w:r>
            <w:r w:rsidRPr="002F2BEA">
              <w:rPr>
                <w:rFonts w:asciiTheme="majorBidi" w:hAnsiTheme="majorBidi" w:cstheme="majorBidi"/>
                <w:color w:val="auto"/>
              </w:rPr>
              <w:t>, Carbazitaxel</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Pharmacology","type":"book"},"uris":["http://www.mendeley.com/documents/?uuid=295b7cca-1977-44d5-b420-082f10e569e9"]},{"id":"ITEM-2","itemData":{"ISBN":"9780702053627","id":"ITEM-2","issued":{"date-parts":[["2016"]]},"publisher":"Elsevier","title":"Rang, H.P Ritter, J.M. Flower, R.J. Henderson, G.","type":"book"},"uris":["http://www.mendeley.com/documents/?uuid=03a538b9-d110-461b-b3aa-fd988daa0f3f"]}],"mendeley":{"formattedCitation":"&lt;sup&gt;22,23&lt;/sup&gt;","plainTextFormattedCitation":"22,23","previouslyFormattedCitation":"&lt;sup&gt;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22,23</w:t>
            </w:r>
            <w:r w:rsidRPr="002F2BEA">
              <w:rPr>
                <w:rFonts w:asciiTheme="majorBidi" w:hAnsiTheme="majorBidi" w:cstheme="majorBidi"/>
                <w:color w:val="auto"/>
              </w:rPr>
              <w:fldChar w:fldCharType="end"/>
            </w:r>
          </w:p>
          <w:p w14:paraId="2232AD40"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Paclitaxcel</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Pharmacology","type":"book"},"uris":["http://www.mendeley.com/documents/?uuid=295b7cca-1977-44d5-b420-082f10e569e9"]},{"id":"ITEM-3","itemData":{"ISBN":"9780702053627","id":"ITEM-3","issued":{"date-parts":[["2016"]]},"publisher":"Elsevier","title":"Rang, H.P Ritter, J.M. Flower, R.J. Henderson, G.","type":"book"},"uris":["http://www.mendeley.com/documents/?uuid=03a538b9-d110-461b-b3aa-fd988daa0f3f"]}],"mendeley":{"formattedCitation":"&lt;sup&gt;7,22,23&lt;/sup&gt;","plainTextFormattedCitation":"7,22,23","previouslyFormattedCitation":"&lt;sup&gt;7,22,23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7,22,23</w:t>
            </w:r>
            <w:r w:rsidRPr="002F2BEA">
              <w:rPr>
                <w:rFonts w:asciiTheme="majorBidi" w:hAnsiTheme="majorBidi" w:cstheme="majorBidi"/>
                <w:color w:val="auto"/>
              </w:rPr>
              <w:fldChar w:fldCharType="end"/>
            </w:r>
          </w:p>
        </w:tc>
        <w:tc>
          <w:tcPr>
            <w:tcW w:w="9558" w:type="dxa"/>
            <w:tcBorders>
              <w:left w:val="nil"/>
              <w:right w:val="nil"/>
            </w:tcBorders>
          </w:tcPr>
          <w:p w14:paraId="0D2D24EE" w14:textId="77777777" w:rsidR="00C171AF" w:rsidRPr="002F2BEA" w:rsidRDefault="00C171AF" w:rsidP="003B0468">
            <w:pPr>
              <w:suppressAutoHyphens/>
              <w:spacing w:line="276" w:lineRule="auto"/>
              <w:ind w:right="-109"/>
              <w:jc w:val="left"/>
              <w:rPr>
                <w:rFonts w:asciiTheme="majorBidi" w:hAnsiTheme="majorBidi" w:cstheme="majorBidi"/>
                <w:color w:val="auto"/>
              </w:rPr>
            </w:pPr>
            <w:r w:rsidRPr="002F2BEA">
              <w:rPr>
                <w:rFonts w:asciiTheme="majorBidi" w:hAnsiTheme="majorBidi" w:cstheme="majorBidi"/>
                <w:color w:val="auto"/>
                <w:lang w:val="de-DE"/>
              </w:rPr>
              <w:t>GI AEs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mendeley":{"formattedCitation":"&lt;sup&gt;16,19,23&lt;/sup&gt;","plainTextFormattedCitation":"16,19,23","previouslyFormattedCitation":"&lt;sup&gt;16,19,23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16,19,23</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xml:space="preserve"> (nausea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-2","issue":"November","issued":{"date-parts":[["2016"]]},"page":"1-14","title":"Chemotherapy-Induced Constipation and Diarrhea : Pathophysiology , Current and Emerging Treatments","type":"article-journal","volume":"7"},"uris":["http://www.mendeley.com/documents/?uuid=927b86cc-7ddd-47b0-996f-12402eddcefe"]},{"id":"ITEM-3","itemData":{"ISBN":"SBN-13: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mendeley":{"formattedCitation":"&lt;sup&gt;16,19,23&lt;/sup&gt;","plainTextFormattedCitation":"16,19,23","previouslyFormattedCitation":"&lt;sup&gt;16,19,23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16,19,23</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vomiting</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-2","issue":"November","issued":{"date-parts":[["2016"]]},"page":"1-14","title":"Chemotherapy-Induced Constipation and Diarrhea : Pathophysiology , Current and Emerging Treatments","type":"article-journal","volume":"7"},"uris":["http://www.mendeley.com/documents/?uuid=927b86cc-7ddd-47b0-996f-12402eddcefe"]},{"id":"ITEM-3","itemData":{"ISBN":"SBN-13: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mendeley":{"formattedCitation":"&lt;sup&gt;16,19,23&lt;/sup&gt;","plainTextFormattedCitation":"16,19,23","previouslyFormattedCitation":"&lt;sup&gt;16,19,23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16,19,23</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diarrhea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19,23&lt;/sup&gt;","plainTextFormattedCitation":"19,23","previouslyFormattedCitation":"&lt;sup&gt;19,23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19,23</w:t>
            </w:r>
            <w:r w:rsidRPr="002F2BEA">
              <w:rPr>
                <w:rFonts w:asciiTheme="majorBidi" w:hAnsiTheme="majorBidi" w:cstheme="majorBidi"/>
                <w:color w:val="auto"/>
              </w:rPr>
              <w:fldChar w:fldCharType="end"/>
            </w:r>
            <w:r w:rsidRPr="002F2BEA">
              <w:rPr>
                <w:rFonts w:asciiTheme="majorBidi" w:hAnsiTheme="majorBidi" w:cstheme="majorBidi"/>
                <w:color w:val="auto"/>
              </w:rPr>
              <w:t>, GI disturbances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mucositis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stomatitis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Neurotoxicity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Pharmacology","type":"book"},"uris":["http://www.mendeley.com/documents/?uuid=5beec3d8-e650-4eb4-801e-10a6a7c655f5"]},{"id":"ITEM-4","itemData":{"ISBN":"SBN-13: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-4","issued":{"date-parts":[["2009"]]},"publisher-place":"United States of America","title":"Clinical Pharmacology","type":"book"},"uris":["http://www.mendeley.com/documents/?uuid=295b7cca-1977-44d5-b420-082f10e569e9"]}],"mendeley":{"formattedCitation":"&lt;sup&gt;7,16,22,23&lt;/sup&gt;","plainTextFormattedCitation":"7,16,22,23","previouslyFormattedCitation":"&lt;sup&gt;7,16,22,23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7,16,22,23</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(arthralgia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16,23&lt;/sup&gt;","plainTextFormattedCitation":"16,23","previouslyFormattedCitation":"&lt;sup&gt;16,23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16,23</w:t>
            </w:r>
            <w:r w:rsidRPr="002F2BEA">
              <w:rPr>
                <w:rFonts w:asciiTheme="majorBidi" w:hAnsiTheme="majorBidi" w:cstheme="majorBidi"/>
                <w:color w:val="auto"/>
              </w:rPr>
              <w:fldChar w:fldCharType="end"/>
            </w:r>
            <w:r w:rsidRPr="002F2BEA">
              <w:rPr>
                <w:rFonts w:asciiTheme="majorBidi" w:hAnsiTheme="majorBidi" w:cstheme="majorBidi"/>
                <w:color w:val="auto"/>
              </w:rPr>
              <w:t>, myalgia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mendeley":{"formattedCitation":"&lt;sup&gt;7,16,23&lt;/sup&gt;","plainTextFormattedCitation":"7,16,23","previouslyFormattedCitation":"&lt;sup&gt;7,16,23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7,16,23</w:t>
            </w:r>
            <w:r w:rsidRPr="002F2BEA">
              <w:rPr>
                <w:rFonts w:asciiTheme="majorBidi" w:hAnsiTheme="majorBidi" w:cstheme="majorBidi"/>
                <w:color w:val="auto"/>
              </w:rPr>
              <w:fldChar w:fldCharType="end"/>
            </w:r>
            <w:r w:rsidRPr="002F2BEA">
              <w:rPr>
                <w:rFonts w:asciiTheme="majorBidi" w:hAnsiTheme="majorBidi" w:cstheme="majorBidi"/>
                <w:color w:val="auto"/>
              </w:rPr>
              <w:t>, myopathy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neuropathy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mendeley":{"formattedCitation":"&lt;sup&gt;7,16,23&lt;/sup&gt;","plainTextFormattedCitation":"7,16,23","previouslyFormattedCitation":"&lt;sup&gt;7,16,23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7,16,23</w:t>
            </w:r>
            <w:r w:rsidRPr="002F2BEA">
              <w:rPr>
                <w:rFonts w:asciiTheme="majorBidi" w:hAnsiTheme="majorBidi" w:cstheme="majorBidi"/>
                <w:color w:val="auto"/>
              </w:rPr>
              <w:fldChar w:fldCharType="end"/>
            </w:r>
            <w:r w:rsidRPr="002F2BEA">
              <w:rPr>
                <w:rFonts w:asciiTheme="majorBidi" w:hAnsiTheme="majorBidi" w:cstheme="majorBidi"/>
                <w:color w:val="auto"/>
              </w:rPr>
              <w:t>), fatigue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weakness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Cardiac 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7,16&lt;/sup&gt;","plainTextFormattedCitation":"7,16","previouslyFormattedCitation":"&lt;sup&gt;7,16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(arrythmia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hypotension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CHF</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r>
              <w:rPr>
                <w:rFonts w:asciiTheme="majorBidi" w:hAnsiTheme="majorBidi" w:cstheme="majorBidi"/>
                <w:color w:val="auto"/>
              </w:rPr>
              <w:t xml:space="preserve"> </w:t>
            </w:r>
            <w:r w:rsidRPr="002F2BEA">
              <w:rPr>
                <w:rFonts w:asciiTheme="majorBidi" w:hAnsiTheme="majorBidi" w:cstheme="majorBidi"/>
                <w:color w:val="auto"/>
              </w:rPr>
              <w:t>HF</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MI</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heart block</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ischemia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myelosuppression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Pharmacology","type":"book"},"uris":["http://www.mendeley.com/documents/?uuid=295b7cca-1977-44d5-b420-082f10e569e9"]},{"id":"ITEM-3","itemData":{"ISBN":"9780702053627","id":"ITEM-3","issued":{"date-parts":[["2016"]]},"publisher":"Elsevier","title":"Rang, H.P Ritter, J.M. Flower, R.J. Henderson, G.","type":"book"},"uris":["http://www.mendeley.com/documents/?uuid=03a538b9-d110-461b-b3aa-fd988daa0f3f"]}],"mendeley":{"formattedCitation":"&lt;sup&gt;16,22,23&lt;/sup&gt;","plainTextFormattedCitation":"16,22,23","previouslyFormattedCitation":"&lt;sup&gt;16,22,23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16,22,23</w:t>
            </w:r>
            <w:r w:rsidRPr="002F2BEA">
              <w:rPr>
                <w:rFonts w:asciiTheme="majorBidi" w:hAnsiTheme="majorBidi" w:cstheme="majorBidi"/>
                <w:color w:val="auto"/>
              </w:rPr>
              <w:fldChar w:fldCharType="end"/>
            </w:r>
            <w:r w:rsidRPr="002F2BEA">
              <w:rPr>
                <w:rFonts w:asciiTheme="majorBidi" w:hAnsiTheme="majorBidi" w:cstheme="majorBidi"/>
                <w:color w:val="auto"/>
              </w:rPr>
              <w:t>, hypersensitivity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Pharmacology","type":"book"},"uris":["http://www.mendeley.com/documents/?uuid=295b7cca-1977-44d5-b420-082f10e569e9"]},{"id":"ITEM-3","itemData":{"ISBN":"9780702053627","id":"ITEM-3","issued":{"date-parts":[["2016"]]},"publisher":"Elsevier","title":"Rang, H.P Ritter, J.M. Flower, R.J. Henderson, G.","type":"book"},"uris":["http://www.mendeley.com/documents/?uuid=03a538b9-d110-461b-b3aa-fd988daa0f3f"]}],"mendeley":{"formattedCitation":"&lt;sup&gt;16,22,23&lt;/sup&gt;","plainTextFormattedCitation":"16,22,23","previouslyFormattedCitation":"&lt;sup&gt;16,22,23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16,22,23</w:t>
            </w:r>
            <w:r w:rsidRPr="002F2BEA">
              <w:rPr>
                <w:rFonts w:asciiTheme="majorBidi" w:hAnsiTheme="majorBidi" w:cstheme="majorBidi"/>
                <w:color w:val="auto"/>
              </w:rPr>
              <w:fldChar w:fldCharType="end"/>
            </w:r>
            <w:r w:rsidRPr="002F2BEA">
              <w:rPr>
                <w:rFonts w:asciiTheme="majorBidi" w:hAnsiTheme="majorBidi" w:cstheme="majorBidi"/>
                <w:color w:val="auto"/>
              </w:rPr>
              <w:t>, fluid retention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alopecia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16,23&lt;/sup&gt;","plainTextFormattedCitation":"16,23","previouslyFormattedCitation":"&lt;sup&gt;16,23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16,23</w:t>
            </w:r>
            <w:r w:rsidRPr="002F2BEA">
              <w:rPr>
                <w:rFonts w:asciiTheme="majorBidi" w:hAnsiTheme="majorBidi" w:cstheme="majorBidi"/>
                <w:color w:val="auto"/>
              </w:rPr>
              <w:fldChar w:fldCharType="end"/>
            </w:r>
          </w:p>
        </w:tc>
      </w:tr>
      <w:tr w:rsidR="00C171AF" w14:paraId="34A5506F" w14:textId="77777777" w:rsidTr="003B0468">
        <w:tc>
          <w:tcPr>
            <w:tcW w:w="1345" w:type="dxa"/>
            <w:vMerge w:val="restart"/>
            <w:tcBorders>
              <w:left w:val="nil"/>
              <w:right w:val="nil"/>
            </w:tcBorders>
          </w:tcPr>
          <w:p w14:paraId="2FD28A2A"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Topoisomerase inhibitors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Pharmacology","type":"book"},"uris":["http://www.mendeley.com/documents/?uuid=5beec3d8-e650-4eb4-801e-10a6a7c655f5"]},{"id":"ITEM-3","itemData":{"ISBN":"9780702053627","id":"ITEM-3","issued":{"date-parts":[["2016"]]},"publisher":"Elsevier","title":"Rang, H.P Ritter, J.M. Flower, R.J. Henderson, G.","type":"book"},"uris":["http://www.mendeley.com/documents/?uuid=03a538b9-d110-461b-b3aa-fd988daa0f3f"]}],"mendeley":{"formattedCitation":"&lt;sup&gt;1,16,22&lt;/sup&gt;","plainTextFormattedCitation":"1,16,22","previouslyFormattedCitation":"&lt;sup&gt;1,16,22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1,16,22</w:t>
            </w:r>
            <w:r w:rsidRPr="002F2BEA">
              <w:rPr>
                <w:rFonts w:asciiTheme="majorBidi" w:hAnsiTheme="majorBidi" w:cstheme="majorBidi"/>
                <w:color w:val="auto"/>
              </w:rPr>
              <w:fldChar w:fldCharType="end"/>
            </w:r>
          </w:p>
        </w:tc>
        <w:tc>
          <w:tcPr>
            <w:tcW w:w="1456" w:type="dxa"/>
            <w:tcBorders>
              <w:left w:val="nil"/>
              <w:right w:val="nil"/>
            </w:tcBorders>
          </w:tcPr>
          <w:p w14:paraId="3B0B417A"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Topoisomerase 1 inhibitors</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16</w:t>
            </w:r>
            <w:r w:rsidRPr="002F2BEA">
              <w:rPr>
                <w:rFonts w:asciiTheme="majorBidi" w:hAnsiTheme="majorBidi" w:cstheme="majorBidi"/>
                <w:color w:val="auto"/>
              </w:rPr>
              <w:fldChar w:fldCharType="end"/>
            </w:r>
          </w:p>
        </w:tc>
        <w:tc>
          <w:tcPr>
            <w:tcW w:w="2329" w:type="dxa"/>
            <w:tcBorders>
              <w:left w:val="nil"/>
              <w:right w:val="nil"/>
            </w:tcBorders>
          </w:tcPr>
          <w:p w14:paraId="39DBC574"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Irinotecan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Pharmacology","type":"book"},"uris":["http://www.mendeley.com/documents/?uuid=5beec3d8-e650-4eb4-801e-10a6a7c655f5"]},{"id":"ITEM-2","itemData":{"ISBN":"9780702053627","id":"ITEM-2","issued":{"date-parts":[["2016"]]},"publisher":"Elsevier","title":"Rang, H.P Ritter, J.M. Flower, R.J. Henderson, G.","type":"book"},"uris":["http://www.mendeley.com/documents/?uuid=03a538b9-d110-461b-b3aa-fd988daa0f3f"]}],"mendeley":{"formattedCitation":"&lt;sup&gt;16,22&lt;/sup&gt;","plainTextFormattedCitation":"16,22","previouslyFormattedCitation":"&lt;sup&gt;16,22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16,22</w:t>
            </w:r>
            <w:r w:rsidRPr="002F2BEA">
              <w:rPr>
                <w:rFonts w:asciiTheme="majorBidi" w:hAnsiTheme="majorBidi" w:cstheme="majorBidi"/>
                <w:color w:val="auto"/>
              </w:rPr>
              <w:fldChar w:fldCharType="end"/>
            </w:r>
          </w:p>
          <w:p w14:paraId="3F32CEB4"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Topotecan</w:t>
            </w:r>
          </w:p>
        </w:tc>
        <w:tc>
          <w:tcPr>
            <w:tcW w:w="9558" w:type="dxa"/>
            <w:tcBorders>
              <w:left w:val="nil"/>
              <w:right w:val="nil"/>
            </w:tcBorders>
          </w:tcPr>
          <w:p w14:paraId="1B30A7E2" w14:textId="77777777" w:rsidR="00C171AF" w:rsidRPr="002F2BEA" w:rsidRDefault="00C171AF" w:rsidP="003B0468">
            <w:pPr>
              <w:suppressAutoHyphens/>
              <w:spacing w:line="276" w:lineRule="auto"/>
              <w:ind w:right="-109"/>
              <w:jc w:val="left"/>
              <w:rPr>
                <w:rFonts w:asciiTheme="majorBidi" w:hAnsiTheme="majorBidi" w:cstheme="majorBidi"/>
                <w:color w:val="auto"/>
              </w:rPr>
            </w:pPr>
            <w:r w:rsidRPr="002F2BEA">
              <w:rPr>
                <w:rFonts w:asciiTheme="majorBidi" w:hAnsiTheme="majorBidi" w:cstheme="majorBidi"/>
                <w:color w:val="auto"/>
                <w:lang w:val="de-DE"/>
              </w:rPr>
              <w:t>GI AEs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-2","issue":"November","issued":{"date-parts":[["2016"]]},"page":"1-14","title":"Chemotherapy-Induced Constipation and Diarrhea : Pathophysiology , Current and Emerging Treatments","type":"article-journal","volume":"7"},"uris":["http://www.mendeley.com/documents/?uuid=927b86cc-7ddd-47b0-996f-12402eddcefe"]},{"id":"ITEM-3","itemData":{"ISBN":"SBN-13: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id":"ITEM-4","itemData":{"DOI":"10.1016/j.bpg.2020.101691","ISSN":"1521-6918","author":[{"dropping-particle":"","family":"Smith","given":"Padraic","non-dropping-particle":"","parse-names":false,"suffix":""},{"dropping-particle":"","family":"Lavery","given":"Anita","non-dropping-particle":"","parse-names":false,"suffix":""},{"dropping-particle":"","family":"Turkington","given":"Richard C","non-dropping-particle":"","parse-names":false,"suffix":""}],"container-title":"Best Practice &amp; Research Clinical Gastroenterology","id":"ITEM-4","issued":{"date-parts":[["2020"]]},"page":"101691","publisher":"Elsevier Ltd","title":"Jo ur l P re of","type":"article-journal"},"uris":["http://www.mendeley.com/documents/?uuid=c18069e0-bbb5-42e9-8abe-49e28ffa1613"]},{"id":"ITEM-5","itemData":{"DOI":"10.3390/life12010048","ISSN":"20751729","PMID":"35054441","abstract":"The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-5","issue":"48","issued":{"date-parts":[["2021"]]},"title":"Comparison of Anticancer Drug Toxicities: Paradigm Shift in Adverse Effect Profile","type":"article-journal","volume":"12"},"uris":["http://www.mendeley.com/documents/?uuid=82dfed70-2715-43ac-8eb1-bbe78e5826c1"]},{"id":"ITEM-6","itemData":{"ISBN":"9780702053627","id":"ITEM-6","issued":{"date-parts":[["2016"]]},"publisher":"Elsevier","title":"Rang, H.P Ritter, J.M. Flower, R.J. Henderson, G.","type":"book"},"uris":["http://www.mendeley.com/documents/?uuid=03a538b9-d110-461b-b3aa-fd988daa0f3f"]}],"mendeley":{"formattedCitation":"&lt;sup&gt;1,16,19,22,23,29&lt;/sup&gt;","plainTextFormattedCitation":"1,16,19,22,23,29","previouslyFormattedCitation":"&lt;sup&gt;1,16,19,22,23,29&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1,16,19,22,23,29</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xml:space="preserve"> (nausea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-2","issue":"November","issued":{"date-parts":[["2016"]]},"page":"1-14","title":"Chemotherapy-Induced Constipation and Diarrhea : Pathophysiology , Current and Emerging Treatments","type":"article-journal","volume":"7"},"uris":["http://www.mendeley.com/documents/?uuid=927b86cc-7ddd-47b0-996f-12402eddcefe"]},{"id":"ITEM-3","itemData":{"ISBN":"SBN-13: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mendeley":{"formattedCitation":"&lt;sup&gt;16,19,23&lt;/sup&gt;","plainTextFormattedCitation":"16,19,23","previouslyFormattedCitation":"&lt;sup&gt;16,19,23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16,19,23</w:t>
            </w:r>
            <w:r w:rsidRPr="002F2BEA">
              <w:rPr>
                <w:rFonts w:asciiTheme="majorBidi" w:hAnsiTheme="majorBidi" w:cstheme="majorBidi"/>
                <w:color w:val="auto"/>
              </w:rPr>
              <w:fldChar w:fldCharType="end"/>
            </w:r>
            <w:r w:rsidRPr="002F2BEA">
              <w:rPr>
                <w:rFonts w:asciiTheme="majorBidi" w:hAnsiTheme="majorBidi" w:cstheme="majorBidi"/>
                <w:color w:val="auto"/>
              </w:rPr>
              <w:t>, vomiting</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-2","issue":"November","issued":{"date-parts":[["2016"]]},"page":"1-14","title":"Chemotherapy-Induced Constipation and Diarrhea : Pathophysiology , Current and Emerging Treatments","type":"article-journal","volume":"7"},"uris":["http://www.mendeley.com/documents/?uuid=927b86cc-7ddd-47b0-996f-12402eddcefe"]},{"id":"ITEM-3","itemData":{"ISBN":"SBN-13: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mendeley":{"formattedCitation":"&lt;sup&gt;16,19,23&lt;/sup&gt;","plainTextFormattedCitation":"16,19,23","previouslyFormattedCitation":"&lt;sup&gt;16,19,23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16,19,23</w:t>
            </w:r>
            <w:r w:rsidRPr="002F2BEA">
              <w:rPr>
                <w:rFonts w:asciiTheme="majorBidi" w:hAnsiTheme="majorBidi" w:cstheme="majorBidi"/>
                <w:color w:val="auto"/>
              </w:rPr>
              <w:fldChar w:fldCharType="end"/>
            </w:r>
            <w:r w:rsidRPr="002F2BEA">
              <w:rPr>
                <w:rFonts w:asciiTheme="majorBidi" w:hAnsiTheme="majorBidi" w:cstheme="majorBidi"/>
                <w:color w:val="auto"/>
              </w:rPr>
              <w:t>, loss of appetite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diarrhoea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-3","issue":"November","issued":{"date-parts":[["2016"]]},"page":"1-14","title":"Chemotherapy-Induced Constipation and Diarrhea : Pathophysiology , Current and Emerging Treatments","type":"article-journal","volume":"7"},"uris":["http://www.mendeley.com/documents/?uuid=927b86cc-7ddd-47b0-996f-12402eddcefe"]},{"id":"ITEM-4","itemData":{"DOI":"10.1016/j.bpg.2020.101691","ISSN":"1521-6918","author":[{"dropping-particle":"","family":"Smith","given":"Padraic","non-dropping-particle":"","parse-names":false,"suffix":""},{"dropping-particle":"","family":"Lavery","given":"Anita","non-dropping-particle":"","parse-names":false,"suffix":""},{"dropping-particle":"","family":"Turkington","given":"Richard C","non-dropping-particle":"","parse-names":false,"suffix":""}],"container-title":"Best Practice &amp; Research Clinical Gastroenterology","id":"ITEM-4","issued":{"date-parts":[["2020"]]},"page":"101691","publisher":"Elsevier Ltd","title":"Jo ur l P re of","type":"article-journal"},"uris":["http://www.mendeley.com/documents/?uuid=c18069e0-bbb5-42e9-8abe-49e28ffa1613"]},{"id":"ITEM-5","itemData":{"DOI":"10.3390/life12010048","ISSN":"20751729","PMID":"35054441","abstract":"The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-5","issue":"48","issued":{"date-parts":[["2021"]]},"title":"Comparison of Anticancer Drug Toxicities: Paradigm Shift in Adverse Effect Profile","type":"article-journal","volume":"12"},"uris":["http://www.mendeley.com/documents/?uuid=82dfed70-2715-43ac-8eb1-bbe78e5826c1"]},{"id":"ITEM-6","itemData":{"ISBN":"SBN-13: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-6","issued":{"date-parts":[["2009"]]},"publisher-place":"United States of America","title":"Clinical Pharmacology","type":"book"},"uris":["http://www.mendeley.com/documents/?uuid=295b7cca-1977-44d5-b420-082f10e569e9"]}],"mendeley":{"formattedCitation":"&lt;sup&gt;1,16,19,22,23,29&lt;/sup&gt;","plainTextFormattedCitation":"1,16,19,22,23,29","previouslyFormattedCitation":"&lt;sup&gt;1,16,19,22,23,29&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1,16,19,22,23,29</w:t>
            </w:r>
            <w:r w:rsidRPr="002F2BEA">
              <w:rPr>
                <w:rFonts w:asciiTheme="majorBidi" w:hAnsiTheme="majorBidi" w:cstheme="majorBidi"/>
                <w:color w:val="auto"/>
              </w:rPr>
              <w:fldChar w:fldCharType="end"/>
            </w:r>
            <w:r w:rsidRPr="002F2BEA">
              <w:rPr>
                <w:rFonts w:asciiTheme="majorBidi" w:hAnsiTheme="majorBidi" w:cstheme="majorBidi"/>
                <w:color w:val="auto"/>
              </w:rPr>
              <w:t>, abdominal cramps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increased saliva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mouth ulcers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colitis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ileus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hepatotoxicity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7,23&lt;/sup&gt;","plainTextFormattedCitation":"7,23","previouslyFormattedCitation":"&lt;sup&gt;7,23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7,23</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(fatty liver</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steatosis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hepatitis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VOD</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alopacia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16,23&lt;/sup&gt;","plainTextFormattedCitation":"16,23","previouslyFormattedCitation":"&lt;sup&gt;16,23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16,23</w:t>
            </w:r>
            <w:r w:rsidRPr="002F2BEA">
              <w:rPr>
                <w:rFonts w:asciiTheme="majorBidi" w:hAnsiTheme="majorBidi" w:cstheme="majorBidi"/>
                <w:color w:val="auto"/>
              </w:rPr>
              <w:fldChar w:fldCharType="end"/>
            </w:r>
            <w:r w:rsidRPr="002F2BEA">
              <w:rPr>
                <w:rFonts w:asciiTheme="majorBidi" w:hAnsiTheme="majorBidi" w:cstheme="majorBidi"/>
                <w:color w:val="auto"/>
              </w:rPr>
              <w:t>, rashes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16,23&lt;/sup&gt;","plainTextFormattedCitation":"16,23","previouslyFormattedCitation":"&lt;sup&gt;16,23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16,23</w:t>
            </w:r>
            <w:r w:rsidRPr="002F2BEA">
              <w:rPr>
                <w:rFonts w:asciiTheme="majorBidi" w:hAnsiTheme="majorBidi" w:cstheme="majorBidi"/>
                <w:color w:val="auto"/>
              </w:rPr>
              <w:fldChar w:fldCharType="end"/>
            </w:r>
            <w:r w:rsidRPr="002F2BEA">
              <w:rPr>
                <w:rFonts w:asciiTheme="majorBidi" w:hAnsiTheme="majorBidi" w:cstheme="majorBidi"/>
                <w:color w:val="auto"/>
              </w:rPr>
              <w:t>, cholinergic syndrome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16,23&lt;/sup&gt;","plainTextFormattedCitation":"16,23","previouslyFormattedCitation":"&lt;sup&gt;16,23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16,23</w:t>
            </w:r>
            <w:r w:rsidRPr="002F2BEA">
              <w:rPr>
                <w:rFonts w:asciiTheme="majorBidi" w:hAnsiTheme="majorBidi" w:cstheme="majorBidi"/>
                <w:color w:val="auto"/>
              </w:rPr>
              <w:fldChar w:fldCharType="end"/>
            </w:r>
            <w:r w:rsidRPr="002F2BEA">
              <w:rPr>
                <w:rFonts w:asciiTheme="majorBidi" w:hAnsiTheme="majorBidi" w:cstheme="majorBidi"/>
                <w:color w:val="auto"/>
              </w:rPr>
              <w:t>, teratogenic</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renal impairement</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myelosuppression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Pharmacology","type":"book"},"uris":["http://www.mendeley.com/documents/?uuid=5beec3d8-e650-4eb4-801e-10a6a7c655f5"]},{"id":"ITEM-3","itemData":{"ISBN":"9780702053627","id":"ITEM-3","issued":{"date-parts":[["2016"]]},"publisher":"Elsevier","title":"Rang, H.P Ritter, J.M. Flower, R.J. Henderson, G.","type":"book"},"uris":["http://www.mendeley.com/documents/?uuid=03a538b9-d110-461b-b3aa-fd988daa0f3f"]}],"mendeley":{"formattedCitation":"&lt;sup&gt;16,22,23&lt;/sup&gt;","plainTextFormattedCitation":"16,22,23","previouslyFormattedCitation":"&lt;sup&gt;16,22,23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16,22,23</w:t>
            </w:r>
            <w:r w:rsidRPr="002F2BEA">
              <w:rPr>
                <w:rFonts w:asciiTheme="majorBidi" w:hAnsiTheme="majorBidi" w:cstheme="majorBidi"/>
                <w:color w:val="auto"/>
              </w:rPr>
              <w:fldChar w:fldCharType="end"/>
            </w:r>
          </w:p>
        </w:tc>
      </w:tr>
      <w:tr w:rsidR="00C171AF" w14:paraId="628D1BA1" w14:textId="77777777" w:rsidTr="003B0468">
        <w:tc>
          <w:tcPr>
            <w:tcW w:w="1345" w:type="dxa"/>
            <w:vMerge/>
            <w:tcBorders>
              <w:left w:val="nil"/>
              <w:right w:val="nil"/>
            </w:tcBorders>
          </w:tcPr>
          <w:p w14:paraId="450B892B" w14:textId="77777777" w:rsidR="00C171AF" w:rsidRPr="002F2BEA" w:rsidRDefault="00C171AF" w:rsidP="003B0468">
            <w:pPr>
              <w:suppressAutoHyphens/>
              <w:spacing w:line="276" w:lineRule="auto"/>
              <w:jc w:val="left"/>
              <w:rPr>
                <w:rFonts w:asciiTheme="majorBidi" w:hAnsiTheme="majorBidi" w:cstheme="majorBidi"/>
                <w:color w:val="auto"/>
              </w:rPr>
            </w:pPr>
          </w:p>
        </w:tc>
        <w:tc>
          <w:tcPr>
            <w:tcW w:w="1456" w:type="dxa"/>
            <w:tcBorders>
              <w:left w:val="nil"/>
              <w:right w:val="nil"/>
            </w:tcBorders>
          </w:tcPr>
          <w:p w14:paraId="6699FE1A"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Topoisomerase 2 inhibitors</w:t>
            </w:r>
          </w:p>
        </w:tc>
        <w:tc>
          <w:tcPr>
            <w:tcW w:w="2329" w:type="dxa"/>
            <w:tcBorders>
              <w:left w:val="nil"/>
              <w:right w:val="nil"/>
            </w:tcBorders>
          </w:tcPr>
          <w:p w14:paraId="3CB61039"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Etoposide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Pharmacology","type":"book"},"uris":["http://www.mendeley.com/documents/?uuid=295b7cca-1977-44d5-b420-082f10e569e9"]},{"id":"ITEM-3","itemData":{"ISBN":"9780702053627","id":"ITEM-3","issued":{"date-parts":[["2016"]]},"publisher":"Elsevier","title":"Rang, H.P Ritter, J.M. Flower, R.J. Henderson, G.","type":"book"},"uris":["http://www.mendeley.com/documents/?uuid=03a538b9-d110-461b-b3aa-fd988daa0f3f"]}],"mendeley":{"formattedCitation":"&lt;sup&gt;7,22,23&lt;/sup&gt;","plainTextFormattedCitation":"7,22,23","previouslyFormattedCitation":"&lt;sup&gt;7,22,23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7,22,23</w:t>
            </w:r>
            <w:r w:rsidRPr="002F2BEA">
              <w:rPr>
                <w:rFonts w:asciiTheme="majorBidi" w:hAnsiTheme="majorBidi" w:cstheme="majorBidi"/>
                <w:color w:val="auto"/>
              </w:rPr>
              <w:fldChar w:fldCharType="end"/>
            </w:r>
          </w:p>
          <w:p w14:paraId="2F994050"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Teniposide</w:t>
            </w:r>
          </w:p>
        </w:tc>
        <w:tc>
          <w:tcPr>
            <w:tcW w:w="9558" w:type="dxa"/>
            <w:tcBorders>
              <w:left w:val="nil"/>
              <w:right w:val="nil"/>
            </w:tcBorders>
          </w:tcPr>
          <w:p w14:paraId="2544FC3B" w14:textId="77777777" w:rsidR="00C171AF" w:rsidRPr="002F2BEA" w:rsidRDefault="00C171AF" w:rsidP="003B0468">
            <w:pPr>
              <w:suppressAutoHyphens/>
              <w:spacing w:line="276" w:lineRule="auto"/>
              <w:ind w:right="-109"/>
              <w:jc w:val="left"/>
              <w:rPr>
                <w:rFonts w:asciiTheme="majorBidi" w:hAnsiTheme="majorBidi" w:cstheme="majorBidi"/>
                <w:color w:val="auto"/>
              </w:rPr>
            </w:pPr>
            <w:r w:rsidRPr="002F2BEA">
              <w:rPr>
                <w:rFonts w:asciiTheme="majorBidi" w:hAnsiTheme="majorBidi" w:cstheme="majorBidi"/>
                <w:color w:val="auto"/>
                <w:lang w:val="de-DE"/>
              </w:rPr>
              <w:t>GI AEs</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23</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xml:space="preserve"> (nausea</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23</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xml:space="preserve"> vomiting</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{"citationItems":[{"id":"ITEM-1","itemData":{"ISBN":"9780702053627","id":"ITEM-1","issued":{"date-parts":[["2016"]]},"publisher":"Elsevier","title":"Rang, H.P Ritter, J.M. Flower, R.J. Henderson, G.","type":"book"},"uris":["http://www.mendeley.com/documents/?uuid=03a538b9-d110-461b-b3aa-fd988daa0f3f"]},{"id":"ITEM-2","itemData":{"ISBN":"SBN-13: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22,23&lt;/sup&gt;","plainTextFormattedCitation":"22,23","previouslyFormattedCitation":"&lt;sup&gt;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22,23</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anorexia</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23</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stomatitis</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w:instrText>
            </w:r>
            <w:r w:rsidRPr="00C171AF">
              <w:rPr>
                <w:rFonts w:asciiTheme="majorBidi" w:hAnsiTheme="majorBidi" w:cstheme="majorBidi"/>
                <w:color w:val="auto"/>
              </w:rPr>
              <w:instrText xml:space="preserv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w:instrText>
            </w:r>
            <w:r w:rsidRPr="002F2BEA">
              <w:rPr>
                <w:rFonts w:asciiTheme="majorBidi" w:hAnsiTheme="majorBidi" w:cstheme="majorBidi"/>
                <w:color w:val="auto"/>
              </w:rPr>
              <w:instrText>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hepatotoxicity (hepatitis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cholestasis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hepatocellular injury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neurotoxicity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(encephalopathy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seizures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blindness)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myelosuppression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Pharmacology","type":"book"},"uris":["http://www.mendeley.com/documents/?uuid=295b7cca-1977-44d5-b420-082f10e569e9"]},{"id":"ITEM-2","itemData":{"ISBN":"9780702053627","id":"ITEM-2","issued":{"date-parts":[["2016"]]},"publisher":"Elsevier","title":"Rang, H.P Ritter, J.M. Flower, R.J. Henderson, G.","type":"book"},"uris":["http://www.mendeley.com/documents/?uuid=03a538b9-d110-461b-b3aa-fd988daa0f3f"]}],"mendeley":{"formattedCitation":"&lt;sup&gt;22,23&lt;/sup&gt;","plainTextFormattedCitation":"22,23","previouslyFormattedCitation":"&lt;sup&gt;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22,23</w:t>
            </w:r>
            <w:r w:rsidRPr="002F2BEA">
              <w:rPr>
                <w:rFonts w:asciiTheme="majorBidi" w:hAnsiTheme="majorBidi" w:cstheme="majorBidi"/>
                <w:color w:val="auto"/>
              </w:rPr>
              <w:fldChar w:fldCharType="end"/>
            </w:r>
            <w:r w:rsidRPr="002F2BEA">
              <w:rPr>
                <w:rFonts w:asciiTheme="majorBidi" w:hAnsiTheme="majorBidi" w:cstheme="majorBidi"/>
                <w:color w:val="auto"/>
              </w:rPr>
              <w:t>, cardiac 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7,23&lt;/sup&gt;","plainTextFormattedCitation":"7,23","previouslyFormattedCitation":"&lt;sup&gt;7,23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7,23</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(hypotension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7,23&lt;/sup&gt;","plainTextFormattedCitation":"7,23","previouslyFormattedCitation":"&lt;sup&gt;7,23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7,23</w:t>
            </w:r>
            <w:r w:rsidRPr="002F2BEA">
              <w:rPr>
                <w:rFonts w:asciiTheme="majorBidi" w:hAnsiTheme="majorBidi" w:cstheme="majorBidi"/>
                <w:color w:val="auto"/>
              </w:rPr>
              <w:fldChar w:fldCharType="end"/>
            </w:r>
            <w:r w:rsidRPr="002F2BEA">
              <w:rPr>
                <w:rFonts w:asciiTheme="majorBidi" w:hAnsiTheme="majorBidi" w:cstheme="majorBidi"/>
                <w:color w:val="auto"/>
              </w:rPr>
              <w:t>, MI, arrhythmia)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alopecia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Pharmacology","type":"book"},"uris":["http://www.mendeley.com/documents/?uuid=295b7cca-1977-44d5-b420-082f10e569e9"]},{"id":"ITEM-2","itemData":{"ISBN":"9780702053627","id":"ITEM-2","issued":{"date-parts":[["2016"]]},"publisher":"Elsevier","title":"Rang, H.P Ritter, J.M. Flower, R.J. Henderson, G.","type":"book"},"uris":["http://www.mendeley.com/documents/?uuid=03a538b9-d110-461b-b3aa-fd988daa0f3f"]}],"mendeley":{"formattedCitation":"&lt;sup&gt;22,23&lt;/sup&gt;","plainTextFormattedCitation":"22,23","previouslyFormattedCitation":"&lt;sup&gt;22,23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22,23</w:t>
            </w:r>
            <w:r w:rsidRPr="002F2BEA">
              <w:rPr>
                <w:rFonts w:asciiTheme="majorBidi" w:hAnsiTheme="majorBidi" w:cstheme="majorBidi"/>
                <w:color w:val="auto"/>
              </w:rPr>
              <w:fldChar w:fldCharType="end"/>
            </w:r>
          </w:p>
        </w:tc>
      </w:tr>
      <w:tr w:rsidR="00C171AF" w14:paraId="37F083AD" w14:textId="77777777" w:rsidTr="003B0468">
        <w:tc>
          <w:tcPr>
            <w:tcW w:w="1345" w:type="dxa"/>
            <w:vMerge w:val="restart"/>
            <w:tcBorders>
              <w:left w:val="nil"/>
              <w:right w:val="nil"/>
            </w:tcBorders>
          </w:tcPr>
          <w:p w14:paraId="5A69D22B"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Anti-tumor antibiotics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Pharmacology","type":"book"},"uris":["http://www.mendeley.com/documents/?uuid=5beec3d8-e650-4eb4-801e-10a6a7c655f5"]},{"id":"ITEM-3","itemData":{"ISBN":"9780702053627","id":"ITEM-3","issued":{"date-parts":[["2016"]]},"publisher":"Elsevier","title":"Rang, H.P Ritter, J.M. Flower, R.J. Henderson, G.","type":"book"},"uris":["http://www.mendeley.com/documents/?uuid=03a538b9-d110-461b-b3aa-fd988daa0f3f"]}],"mendeley":{"formattedCitation":"&lt;sup&gt;1,16,22&lt;/sup&gt;","plainTextFormattedCitation":"1,16,22","previouslyFormattedCitation":"&lt;sup&gt;1,16,22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1,16,22</w:t>
            </w:r>
            <w:r w:rsidRPr="002F2BEA">
              <w:rPr>
                <w:rFonts w:asciiTheme="majorBidi" w:hAnsiTheme="majorBidi" w:cstheme="majorBidi"/>
                <w:color w:val="auto"/>
              </w:rPr>
              <w:fldChar w:fldCharType="end"/>
            </w:r>
          </w:p>
        </w:tc>
        <w:tc>
          <w:tcPr>
            <w:tcW w:w="1456" w:type="dxa"/>
            <w:tcBorders>
              <w:left w:val="nil"/>
              <w:right w:val="nil"/>
            </w:tcBorders>
          </w:tcPr>
          <w:p w14:paraId="28B09DEE"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Anthracycline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-2","issue":"48","issued":{"date-parts":[["2021"]]},"title":"Comparison of Anticancer Drug Toxicities: Paradigm Shift in Adverse Effect Profile","type":"article-journal","volume":"12"},"uris":["http://www.mendeley.com/documents/?uuid=82dfed70-2715-43ac-8eb1-bbe78e5826c1"]},{"id":"ITEM-3","itemData":{"ISBN":"9780702040849","author":[{"dropping-particle":"","family":"Bennett","given":"Peter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Pharmacology","type":"book"},"uris":["http://www.mendeley.com/documents/?uuid=5beec3d8-e650-4eb4-801e-10a6a7c655f5"]},{"id":"ITEM-4","itemData":{"ISBN":"9780702053627","id":"ITEM-4","issued":{"date-parts":[["2016"]]},"publisher":"Elsevier","title":"Rang, H.P Ritter, J.M. Flower, R.J. Henderson, G.","type":"book"},"uris":["http://www.mendeley.com/documents/?uuid=03a538b9-d110-461b-b3aa-fd988daa0f3f"]}],"mendeley":{"formattedCitation":"&lt;sup&gt;1,7,16,22&lt;/sup&gt;","plainTextFormattedCitation":"1,7,16,22","previouslyFormattedCitation":"&lt;sup&gt;1,7,16,22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1,7,16,22</w:t>
            </w:r>
            <w:r w:rsidRPr="002F2BEA">
              <w:rPr>
                <w:rFonts w:asciiTheme="majorBidi" w:hAnsiTheme="majorBidi" w:cstheme="majorBidi"/>
                <w:color w:val="auto"/>
              </w:rPr>
              <w:fldChar w:fldCharType="end"/>
            </w:r>
          </w:p>
        </w:tc>
        <w:tc>
          <w:tcPr>
            <w:tcW w:w="2329" w:type="dxa"/>
            <w:tcBorders>
              <w:left w:val="nil"/>
              <w:right w:val="nil"/>
            </w:tcBorders>
          </w:tcPr>
          <w:p w14:paraId="1AA772EE"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Doxorubicin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r w:rsidRPr="002F2BEA">
              <w:rPr>
                <w:rFonts w:asciiTheme="majorBidi" w:hAnsiTheme="majorBidi" w:cstheme="majorBidi"/>
                <w:color w:val="auto"/>
              </w:rPr>
              <w:t>, Dactinomycin, Mitomycin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p>
          <w:p w14:paraId="24F0C22B" w14:textId="77777777" w:rsidR="00C171AF" w:rsidRPr="002F2BEA" w:rsidRDefault="00C171AF" w:rsidP="003B0468">
            <w:pPr>
              <w:suppressAutoHyphens/>
              <w:spacing w:line="276" w:lineRule="auto"/>
              <w:ind w:right="-54"/>
              <w:jc w:val="left"/>
              <w:rPr>
                <w:rFonts w:asciiTheme="majorBidi" w:hAnsiTheme="majorBidi" w:cstheme="majorBidi"/>
                <w:color w:val="auto"/>
              </w:rPr>
            </w:pPr>
            <w:r w:rsidRPr="002F2BEA">
              <w:rPr>
                <w:rFonts w:asciiTheme="majorBidi" w:hAnsiTheme="majorBidi" w:cstheme="majorBidi"/>
                <w:color w:val="auto"/>
              </w:rPr>
              <w:t>Daunorubicin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p>
          <w:p w14:paraId="4355BDD1"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Epirubicin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mendeley":{"formattedCitation":"&lt;sup&gt;22&lt;/sup&gt;","plainTextFormattedCitation":"22","previouslyFormattedCitation":"&lt;sup&gt;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22</w:t>
            </w:r>
            <w:r w:rsidRPr="002F2BEA">
              <w:rPr>
                <w:rFonts w:asciiTheme="majorBidi" w:hAnsiTheme="majorBidi" w:cstheme="majorBidi"/>
                <w:color w:val="auto"/>
              </w:rPr>
              <w:fldChar w:fldCharType="end"/>
            </w:r>
          </w:p>
        </w:tc>
        <w:tc>
          <w:tcPr>
            <w:tcW w:w="9558" w:type="dxa"/>
            <w:tcBorders>
              <w:left w:val="nil"/>
              <w:right w:val="nil"/>
            </w:tcBorders>
          </w:tcPr>
          <w:p w14:paraId="4B5FDEBB" w14:textId="77777777" w:rsidR="00C171AF" w:rsidRPr="002F2BEA" w:rsidRDefault="00C171AF" w:rsidP="003B0468">
            <w:pPr>
              <w:suppressAutoHyphens/>
              <w:spacing w:line="276" w:lineRule="auto"/>
              <w:ind w:right="-109"/>
              <w:jc w:val="left"/>
              <w:rPr>
                <w:rFonts w:asciiTheme="majorBidi" w:hAnsiTheme="majorBidi" w:cstheme="majorBidi"/>
                <w:color w:val="auto"/>
              </w:rPr>
            </w:pPr>
            <w:r w:rsidRPr="002F2BEA">
              <w:rPr>
                <w:rFonts w:asciiTheme="majorBidi" w:hAnsiTheme="majorBidi" w:cstheme="majorBidi"/>
                <w:color w:val="auto"/>
              </w:rPr>
              <w:t>GI AEs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mendeley":{"formattedCitation":"&lt;sup&gt;16,20&lt;/sup&gt;","plainTextFormattedCitation":"16,20","previouslyFormattedCitation":"&lt;sup&gt;16,20&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(nausea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mendeley":{"formattedCitation":"&lt;sup&gt;16,20&lt;/sup&gt;","plainTextFormattedCitation":"16,20","previouslyFormattedCitation":"&lt;sup&gt;16,20&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w:t>
            </w:r>
            <w:r w:rsidRPr="002F2BEA">
              <w:rPr>
                <w:rFonts w:asciiTheme="majorBidi" w:hAnsiTheme="majorBidi" w:cstheme="majorBidi"/>
                <w:color w:val="auto"/>
              </w:rPr>
              <w:fldChar w:fldCharType="end"/>
            </w:r>
            <w:r w:rsidRPr="002F2BEA">
              <w:rPr>
                <w:rFonts w:asciiTheme="majorBidi" w:hAnsiTheme="majorBidi" w:cstheme="majorBidi"/>
                <w:color w:val="auto"/>
              </w:rPr>
              <w:t>, vomiting</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mendeley":{"formattedCitation":"&lt;sup&gt;16,20&lt;/sup&gt;","plainTextFormattedCitation":"16,20","previouslyFormattedCitation":"&lt;sup&gt;16,20&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w:t>
            </w:r>
            <w:r w:rsidRPr="002F2BEA">
              <w:rPr>
                <w:rFonts w:asciiTheme="majorBidi" w:hAnsiTheme="majorBidi" w:cstheme="majorBidi"/>
                <w:color w:val="auto"/>
              </w:rPr>
              <w:fldChar w:fldCharType="end"/>
            </w:r>
            <w:r w:rsidRPr="002F2BEA">
              <w:rPr>
                <w:rFonts w:asciiTheme="majorBidi" w:hAnsiTheme="majorBidi" w:cstheme="majorBidi"/>
                <w:color w:val="auto"/>
              </w:rPr>
              <w:t>, stomatitis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mendeley":{"formattedCitation":"&lt;sup&gt;16,20&lt;/sup&gt;","plainTextFormattedCitation":"16,20","previouslyFormattedCitation":"&lt;sup&gt;16,20&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w:t>
            </w:r>
            <w:r w:rsidRPr="002F2BEA">
              <w:rPr>
                <w:rFonts w:asciiTheme="majorBidi" w:hAnsiTheme="majorBidi" w:cstheme="majorBidi"/>
                <w:color w:val="auto"/>
              </w:rPr>
              <w:fldChar w:fldCharType="end"/>
            </w:r>
            <w:r w:rsidRPr="002F2BEA">
              <w:rPr>
                <w:rFonts w:asciiTheme="majorBidi" w:hAnsiTheme="majorBidi" w:cstheme="majorBidi"/>
                <w:color w:val="auto"/>
              </w:rPr>
              <w:t>, anorexia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mendeley":{"formattedCitation":"&lt;sup&gt;16,20&lt;/sup&gt;","plainTextFormattedCitation":"16,20","previouslyFormattedCitation":"&lt;sup&gt;16,20&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w:t>
            </w:r>
            <w:r w:rsidRPr="002F2BEA">
              <w:rPr>
                <w:rFonts w:asciiTheme="majorBidi" w:hAnsiTheme="majorBidi" w:cstheme="majorBidi"/>
                <w:color w:val="auto"/>
              </w:rPr>
              <w:fldChar w:fldCharType="end"/>
            </w:r>
            <w:r w:rsidRPr="002F2BEA">
              <w:rPr>
                <w:rFonts w:asciiTheme="majorBidi" w:hAnsiTheme="majorBidi" w:cstheme="majorBidi"/>
                <w:color w:val="auto"/>
              </w:rPr>
              <w:t>, stomatitis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anorexia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nephrotoxicity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(glomerular sclerosis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AKI</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red-colour urine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hyperuticemia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16&lt;/sup&gt;","plainTextFormattedCitation":"16","previouslyFormattedCitation":"&lt;sup&gt;16&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w:t>
            </w:r>
            <w:r w:rsidRPr="002F2BEA">
              <w:rPr>
                <w:rFonts w:asciiTheme="majorBidi" w:hAnsiTheme="majorBidi" w:cstheme="majorBidi"/>
                <w:color w:val="auto"/>
              </w:rPr>
              <w:fldChar w:fldCharType="end"/>
            </w:r>
            <w:r w:rsidRPr="002F2BEA">
              <w:rPr>
                <w:rFonts w:asciiTheme="majorBidi" w:hAnsiTheme="majorBidi" w:cstheme="majorBidi"/>
                <w:color w:val="auto"/>
              </w:rPr>
              <w:t>), hepatotoxicity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(hepatitis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cholestasis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VOD</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neurotoxicity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(Extrapyramidal syndrome</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encephalopathy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w:t>
            </w:r>
            <w:r w:rsidRPr="002F2BEA">
              <w:rPr>
                <w:rFonts w:asciiTheme="majorBidi" w:hAnsiTheme="majorBidi" w:cstheme="majorBidi"/>
                <w:color w:val="auto"/>
              </w:rPr>
              <w:fldChar w:fldCharType="end"/>
            </w:r>
            <w:r w:rsidRPr="002F2BEA">
              <w:rPr>
                <w:rFonts w:asciiTheme="majorBidi" w:hAnsiTheme="majorBidi" w:cstheme="majorBidi"/>
                <w:color w:val="auto"/>
              </w:rPr>
              <w:t>, cerebral/ myocardial infarcts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{"citationItems":[{"id":"ITEM-1","itemData":{"ISBN":"9780702053627","id":"ITEM-1","issued":{"date-parts":[["2016"]]},"publisher":"Elsevier","title":"Rang, H.P Ritter, J.M. Flower, R.J. Henderson, G.","type":"book"},"uris":["http://www.mendeley.com/documents/?uuid=03a538b9-d110-461b-b3aa-fd988daa0f3f"]},{"id":"ITEM-2","itemData":{"DOI":"10.3390/cancers14030627","ISSN":"20726694","abstract":"Recent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P.","non-dropping-particle":"","parse-names":false,"suffix":""}],"container-title":"Cancers","id":"ITEM-2","issue":"3","issued":{"date-parts":[["2022"]]},"page":"1-27","title":"Chemotherapy Side-Effects: Not All DNA Damage Is Equal","type":"article-journal","volume":"14"},"uris":["http://www.mendeley.com/documents/?uuid=0f2af5aa-b95f-4467-9ebc-fbf325762e68"]}],"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7,22</w:t>
            </w:r>
            <w:r w:rsidRPr="002F2BEA">
              <w:rPr>
                <w:rFonts w:asciiTheme="majorBidi" w:hAnsiTheme="majorBidi" w:cstheme="majorBidi"/>
                <w:color w:val="auto"/>
              </w:rPr>
              <w:fldChar w:fldCharType="end"/>
            </w:r>
            <w:r w:rsidRPr="002F2BEA">
              <w:rPr>
                <w:rFonts w:asciiTheme="majorBidi" w:hAnsiTheme="majorBidi" w:cstheme="majorBidi"/>
                <w:color w:val="auto"/>
              </w:rPr>
              <w:t>, hyperuricemia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mendeley":{"formattedCitation":"&lt;sup&gt;16,20&lt;/sup&gt;","plainTextFormattedCitation":"16,20","previouslyFormattedCitation":"&lt;sup&gt;16,20&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w:t>
            </w:r>
            <w:r w:rsidRPr="002F2BEA">
              <w:rPr>
                <w:rFonts w:asciiTheme="majorBidi" w:hAnsiTheme="majorBidi" w:cstheme="majorBidi"/>
                <w:color w:val="auto"/>
              </w:rPr>
              <w:fldChar w:fldCharType="end"/>
            </w:r>
            <w:r w:rsidRPr="002F2BEA">
              <w:rPr>
                <w:rFonts w:asciiTheme="majorBidi" w:hAnsiTheme="majorBidi" w:cstheme="majorBidi"/>
                <w:color w:val="auto"/>
              </w:rPr>
              <w:t>), cardiotoxicity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Pharmacology","type":"book"},"uris":["http://www.mendeley.com/documents/?uuid=5beec3d8-e650-4eb4-801e-10a6a7c655f5"]},{"id":"ITEM-3","itemData":{"ISBN":"9780702053627","id":"ITEM-3","issued":{"date-parts":[["2016"]]},"publisher":"Elsevier","title":"Rang, H.P Ritter, J.M. Flower, R.J. Henderson, G.","type":"book"},"uris":["http://www.mendeley.com/documents/?uuid=03a538b9-d110-461b-b3aa-fd988daa0f3f"]}],"mendeley":{"formattedCitation":"&lt;sup&gt;7,16,22&lt;/sup&gt;","plainTextFormattedCitation":"7,16,22","previouslyFormattedCitation":"&lt;sup&gt;7,16,22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7,16,22</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xml:space="preserve"> (CHF</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7</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xml:space="preserve">, </w:t>
            </w:r>
            <w:r>
              <w:rPr>
                <w:rFonts w:asciiTheme="majorBidi" w:hAnsiTheme="majorBidi" w:cstheme="majorBidi"/>
                <w:color w:val="auto"/>
                <w:lang w:val="de-DE"/>
              </w:rPr>
              <w:t xml:space="preserve"> </w:t>
            </w:r>
            <w:r w:rsidRPr="002F2BEA">
              <w:rPr>
                <w:rFonts w:asciiTheme="majorBidi" w:hAnsiTheme="majorBidi" w:cstheme="majorBidi"/>
                <w:color w:val="auto"/>
                <w:lang w:val="de-DE"/>
              </w:rPr>
              <w:t>HF</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7,22</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myo-/ pericarditis</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7</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arrhythmia</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Equal","type":"article-journal","volume":"14"},"uris":["http://www.mendeley.com/documents/?uuid=0f2af5aa-b95f-4467-9ebc-fbf325762e68"]},{"id":"ITEM-2","itemData":{"ISBN":"9780702053627","id":"ITEM-2","issued":{"date-parts":[["2016"]]},"publisher":"Elsevier","title":"Rang, H.P Ritter, J.M. Flower, R.J. Henderson, G.","type":"book"},"uris":["http://www.mendeley.com/documents/?uuid=03a538b9-d110-461b-b3aa-fd988daa0f3f"]}],"mendeley":{"formattedCitation":"&lt;sup&gt;7,22&lt;/sup&gt;","plainTextFormattedCitation":"7,22","previouslyFormattedCitation":"&lt;sup&gt;7,22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7,22</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angina</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7</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MI</w:t>
            </w:r>
            <w:r w:rsidRPr="002F2BEA">
              <w:rPr>
                <w:rFonts w:asciiTheme="majorBidi" w:hAnsiTheme="majorBidi" w:cstheme="majorBidi"/>
                <w:color w:val="auto"/>
              </w:rPr>
              <w:fldChar w:fldCharType="begin" w:fldLock="1"/>
            </w:r>
            <w:r w:rsidRPr="002F2BEA">
              <w:rPr>
                <w:rFonts w:asciiTheme="majorBidi" w:hAnsiTheme="majorBidi" w:cstheme="majorBidi"/>
                <w:color w:val="auto"/>
                <w:lang w:val="de-DE"/>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mendeley":{"formattedCitation":"&lt;sup&gt;7&lt;/sup&gt;","plainTextFormattedCitation":"7","previouslyFormattedCitation":"&lt;sup&gt;7&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lang w:val="de-DE"/>
              </w:rPr>
              <w:t>7</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mylosuppression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{"citationItems":[{"id":"ITEM-1","itemData":{"DOI":"10.3390/cancers14030627","ISSN":"20726694","abstract":"Recent advances have increased survival rates of children and adults suffering from cancer thanks to effective anti-cancer therapy, such as chemotherapy. However, during treatment and later in life they are frequently confronted with the severe negative side-effects of their life-saving treatment. The occurrence of numerous features of accelerated aging, seriously affecting quality of life, has now become one of the most pressing problems associated with (pediatric) cancer treat-ment. Chemotherapies frequently target and damage the DNA, causing mutations or genome in-stability, a major hallmark of both cancer and aging. However, there are numerous types of chemo-therapeutic drugs that are genotoxic and interfere with DNA metabolism in different ways, each with their own biodistribution, kinetics, and biological fate. Depending on the type of DNA lesion produced (e.g., interference with DNA replication or RNA transcription), the organ or cell type inflicted (e.g., cell cycle or differentiation status, metabolic state, activity of clearance and detoxification mechanisms, the cellular condition or micro-environment), and the degree of exposure, outcomes of cancer treatment can largely differ. These considerations provide a conceptual framework in which different classes of chemotherapeutics contribute to the development of toxicities and accelerated aging of different organ systems. Here, we summarize frequently observed side-effects in (pediatric) ex-cancer patients and discuss which types of DNA damage might be responsible.","author":[{"dropping-particle":"","family":"Boogaard","given":"Winnie M.C.","non-dropping-particle":"van den","parse-names":false,"suffix":""},{"dropping-particle":"","family":"Komninos","given":"Daphne S.J.","non-dropping-particle":"","parse-names":false,"suffix":""},{"dropping-particle":"","family":"Vermeij","given":"Wilbert P.","non-dropping-particle":"","parse-names":false,"suffix":""}],"container-title":"Cancers","id":"ITEM-1","issue":"3","issued":{"date-parts":[["2022"]]},"page":"1-27","title":"Chemotherapy Side-Effects: Not All DNA Damage Is Equal","type":"article-journal","volume":"14"},"uris":["http://www.mendeley.com/documents/?uuid=0f2af5aa-b95f-4467-9ebc-fbf325762e68"]},{"id":"ITEM-2","itemData":{"ISBN":"SBN-13: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Pharmacology","type":"book"},"uris":["http://www.mendeley.com/documents/?uuid=295b7cca-1977-44d5-b420-082f10e569e9"]},{"id":"ITEM-3","itemData":{"ISBN":"9780702040849","author":[{"dropping-particle":"","family":"Bennett","given":"Peter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-3","issued":{"date-parts":[["2012"]]},"publisher":"Elsevier","title":"Clinical Pharmacology","type":"book"},"uris":["http://www.mendeley.com/documents/?uuid=5beec3d8-e650-4eb4-801e-10a6a7c655f5"]}],"mendeley":{"formattedCitation":"&lt;sup&gt;7,16,23&lt;/sup&gt;","plainTextFormattedCitation":"7,16,23","previouslyFormattedCitation":"&lt;sup&gt;7,16,23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7,16,23</w:t>
            </w:r>
            <w:r w:rsidRPr="002F2BEA">
              <w:rPr>
                <w:rFonts w:asciiTheme="majorBidi" w:hAnsiTheme="majorBidi" w:cstheme="majorBidi"/>
                <w:color w:val="auto"/>
              </w:rPr>
              <w:fldChar w:fldCharType="end"/>
            </w:r>
            <w:r w:rsidRPr="002F2BEA">
              <w:rPr>
                <w:rFonts w:asciiTheme="majorBidi" w:hAnsiTheme="majorBidi" w:cstheme="majorBidi"/>
                <w:color w:val="auto"/>
                <w:lang w:val="de-DE"/>
              </w:rPr>
              <w:t>, tissue damage with extravasation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review","type":"article-journal","volume":"5"},"uris":["http://www.mendeley.com/documents/?uuid=8e80b0f7-3a78-461b-a781-afd9ae780543"]},{"id":"ITEM-3","itemData":{"ISBN":"9780702053627","id":"ITEM-3","issued":{"date-parts":[["2016"]]},"publisher":"Elsevier","title":"Rang, H.P Ritter, J.M. Flower, R.J. Henderson, G.","type":"book"},"uris":["http://www.mendeley.com/documents/?uuid=03a538b9-d110-461b-b3aa-fd988daa0f3f"]}],"mendeley":{"formattedCitation":"&lt;sup&gt;16,20,22&lt;/sup&gt;","plainTextFormattedCitation":"16,20,22","previouslyFormattedCitation":"&lt;sup&gt;16,20,22&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16,20,22</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r w:rsidRPr="002F2BEA">
              <w:rPr>
                <w:rFonts w:asciiTheme="majorBidi" w:hAnsiTheme="majorBidi" w:cstheme="majorBidi"/>
                <w:color w:val="auto"/>
                <w:lang w:val="de-DE"/>
              </w:rPr>
              <w:t>alopecia</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mendeley":{"formattedCitation":"&lt;sup&gt;16,20&lt;/sup&gt;","plainTextFormattedCitation":"16,20","previouslyFormattedCitation":"&lt;sup&gt;16,20&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w:t>
            </w:r>
            <w:r w:rsidRPr="002F2BEA">
              <w:rPr>
                <w:rFonts w:asciiTheme="majorBidi" w:hAnsiTheme="majorBidi" w:cstheme="majorBidi"/>
                <w:color w:val="auto"/>
              </w:rPr>
              <w:fldChar w:fldCharType="end"/>
            </w:r>
            <w:r w:rsidRPr="002F2BEA">
              <w:rPr>
                <w:rFonts w:asciiTheme="majorBidi" w:hAnsiTheme="majorBidi" w:cstheme="majorBidi"/>
                <w:color w:val="auto"/>
              </w:rPr>
              <w:t>, conjuctivities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mendeley":{"formattedCitation":"&lt;sup&gt;16,20&lt;/sup&gt;","plainTextFormattedCitation":"16,20","previouslyFormattedCitation":"&lt;sup&gt;16,20&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w:t>
            </w:r>
            <w:r w:rsidRPr="002F2BEA">
              <w:rPr>
                <w:rFonts w:asciiTheme="majorBidi" w:hAnsiTheme="majorBidi" w:cstheme="majorBidi"/>
                <w:color w:val="auto"/>
              </w:rPr>
              <w:fldChar w:fldCharType="end"/>
            </w:r>
            <w:r w:rsidRPr="002F2BEA">
              <w:rPr>
                <w:rFonts w:asciiTheme="majorBidi" w:hAnsiTheme="majorBidi" w:cstheme="majorBidi"/>
                <w:color w:val="auto"/>
              </w:rPr>
              <w:t>, acral pigmentation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mendeley":{"formattedCitation":"&lt;sup&gt;16,20&lt;/sup&gt;","plainTextFormattedCitation":"16,20","previouslyFormattedCitation":"&lt;sup&gt;16,20&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w:t>
            </w:r>
            <w:r w:rsidRPr="002F2BEA">
              <w:rPr>
                <w:rFonts w:asciiTheme="majorBidi" w:hAnsiTheme="majorBidi" w:cstheme="majorBidi"/>
                <w:color w:val="auto"/>
              </w:rPr>
              <w:fldChar w:fldCharType="end"/>
            </w:r>
            <w:r w:rsidRPr="002F2BEA">
              <w:rPr>
                <w:rFonts w:asciiTheme="majorBidi" w:hAnsiTheme="majorBidi" w:cstheme="majorBidi"/>
                <w:color w:val="auto"/>
              </w:rPr>
              <w:t>, dermatitis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Pharmacology","type":"book"},"uris":["http://www.mendeley.com/documents/?uuid=5beec3d8-e650-4eb4-801e-10a6a7c655f5"]},{"id":"ITEM-2","itemData":{"DOI":"10.21037/PCM-21-38","ISSN":"26172216","abstract":"Background and Objective: Side effects of drugs administered for breast cancer (BC) according to cancer biology and patients' clinical features can limit patient's compliance and consequently the benefit. Precision medicine is a growing research field to improve the management of BC patient's care and evaluating toxicities profile could be an interesting feature in the choice a personalised treatment. This review aims to explore the implications of a tailored anti-cancer therapy knowing the safety profile and predisposing factors for potential specific drug-related toxicities. More specifically, this review aims to focus on personalised medicine and patients' selection according to clinical, laboratory and genetic features involved in adverse events (AEs) development. Methods: We performed an extensive literature research on PubMed and available Medical Oncology Congresses resources regarding tailored anti-cancer therapy for BC, toxicity profile and predisposing factors for potential specific drug-related toxicities, selecting publications in English in a timeframe from January 1, 1997 to December 31, 2021. Furthermore, we provide a focus on personalised medicine with potential implications on patients' selection. Key Contents and Findings: Literature review focused on the role of anti-cancer agents toxicity profile and AEs predisposing factors in the personalisation of BC patients treatment. For most anti-cancer agents, potential safety-related biomarkers and the implications of clinical features of BC patients for a tailored treatment were investigated. Conclusions: A safety profile-tailored treatment combined with the clinical characteristics of BC patients and potential biomarkers predisposing to specific treatment-related toxicities might be particularly helpful in the therapeutic choice in the context of precision oncology. In this perspective, the knowledge and the application of these factors would be crucial for better choice and management of the best care for the right patient.","author":[{"dropping-particle":"","family":"Lai","given":"Eleonora","non-dropping-particle":"","parse-names":false,"suffix":""},{"dropping-particle":"","family":"Persano","given":"Mara","non-dropping-particle":"","parse-names":false,"suffix":""},{"dropping-particle":"","family":"Dubois","given":"Marco","non-dropping-particle":"","parse-names":false,"suffix":""},{"dropping-particle":"","family":"Spanu","given":"Dario","non-dropping-particle":"","parse-names":false,"suffix":""},{"dropping-particle":"","family":"Donisi","given":"Clelia","non-dropping-particle":"","parse-names":false,"suffix":""},{"dropping-particle":"","family":"Pozzari","given":"Marta","non-dropping-particle":"","parse-names":false,"suffix":""},{"dropping-particle":"","family":"Deias","given":"Giulia","non-dropping-particle":"","parse-names":false,"suffix":""},{"dropping-particle":"","family":"Saba","given":"Giorgio","non-dropping-particle":"","parse-names":false,"suffix":""},{"dropping-particle":"","family":"Migliari","given":"Marco","non-dropping-particle":"","parse-names":false,"suffix":""},{"dropping-particle":"","family":"Liscia","given":"Nicole","non-dropping-particle":"","parse-names":false,"suffix":""},{"dropping-particle":"","family":"Dessì","given":"Mariele","non-dropping-particle":"","parse-names":false,"suffix":""},{"dropping-particle":"","family":"Scartozzi","given":"Mario","non-dropping-particle":"","parse-names":false,"suffix":""},{"dropping-particle":"","family":"Atzori","given":"Francesco","non-dropping-particle":"","parse-names":false,"suffix":""}],"container-title":"Precision Cancer Medicine","id":"ITEM-2","issue":"September 2021","issued":{"date-parts":[["2022"]]},"title":"Drug-related toxicity in breast cancer patients: a new path towards tailored treatment?-a narrative review","type":"article-journal","volume":"5"},"uris":["http://www.mendeley.com/documents/?uuid=8e80b0f7-3a78-461b-a781-afd9ae780543"]}],"mendeley":{"formattedCitation":"&lt;sup&gt;16,20&lt;/sup&gt;","plainTextFormattedCitation":"16,20","previouslyFormattedCitation":"&lt;sup&gt;16,20&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16,20</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p>
        </w:tc>
      </w:tr>
      <w:tr w:rsidR="00C171AF" w14:paraId="10A9E3EF" w14:textId="77777777" w:rsidTr="003B0468">
        <w:tc>
          <w:tcPr>
            <w:tcW w:w="1345" w:type="dxa"/>
            <w:vMerge/>
            <w:tcBorders>
              <w:left w:val="nil"/>
              <w:right w:val="nil"/>
            </w:tcBorders>
          </w:tcPr>
          <w:p w14:paraId="20F8523A" w14:textId="77777777" w:rsidR="00C171AF" w:rsidRPr="002F2BEA" w:rsidRDefault="00C171AF" w:rsidP="003B0468">
            <w:pPr>
              <w:suppressAutoHyphens/>
              <w:spacing w:line="276" w:lineRule="auto"/>
              <w:jc w:val="left"/>
              <w:rPr>
                <w:rFonts w:asciiTheme="majorBidi" w:hAnsiTheme="majorBidi" w:cstheme="majorBidi"/>
                <w:color w:val="auto"/>
              </w:rPr>
            </w:pPr>
          </w:p>
        </w:tc>
        <w:tc>
          <w:tcPr>
            <w:tcW w:w="1456" w:type="dxa"/>
            <w:tcBorders>
              <w:left w:val="nil"/>
              <w:right w:val="nil"/>
            </w:tcBorders>
          </w:tcPr>
          <w:p w14:paraId="71772E65"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Other</w:t>
            </w:r>
          </w:p>
        </w:tc>
        <w:tc>
          <w:tcPr>
            <w:tcW w:w="2329" w:type="dxa"/>
            <w:tcBorders>
              <w:left w:val="nil"/>
              <w:right w:val="nil"/>
            </w:tcBorders>
          </w:tcPr>
          <w:p w14:paraId="043BC2CB"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color w:val="auto"/>
              </w:rPr>
              <w:t>Mitoxantrone, Bleomycin</w:t>
            </w:r>
          </w:p>
        </w:tc>
        <w:tc>
          <w:tcPr>
            <w:tcW w:w="9558" w:type="dxa"/>
            <w:tcBorders>
              <w:left w:val="nil"/>
              <w:right w:val="nil"/>
            </w:tcBorders>
          </w:tcPr>
          <w:p w14:paraId="03ACA105" w14:textId="77777777" w:rsidR="00C171AF" w:rsidRPr="002F2BEA" w:rsidRDefault="00C171AF" w:rsidP="003B0468">
            <w:pPr>
              <w:suppressAutoHyphens/>
              <w:spacing w:line="276" w:lineRule="auto"/>
              <w:ind w:right="-109"/>
              <w:jc w:val="left"/>
              <w:rPr>
                <w:rFonts w:asciiTheme="majorBidi" w:hAnsiTheme="majorBidi" w:cstheme="majorBidi"/>
                <w:color w:val="auto"/>
              </w:rPr>
            </w:pPr>
            <w:r w:rsidRPr="002F2BEA">
              <w:rPr>
                <w:rFonts w:asciiTheme="majorBidi" w:hAnsiTheme="majorBidi" w:cstheme="majorBidi"/>
                <w:color w:val="auto"/>
              </w:rPr>
              <w:t>Mylosuppression</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cardiomyopathy</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anaphylacxis</w:t>
            </w:r>
            <w:r w:rsidRPr="002F2BEA">
              <w:rPr>
                <w:rFonts w:asciiTheme="majorBidi" w:hAnsiTheme="majorBidi" w:cstheme="majorBidi"/>
                <w:color w:val="auto"/>
              </w:rPr>
              <w:fldChar w:fldCharType="begin" w:fldLock="1"/>
            </w:r>
            <w:r w:rsidRPr="002F2BEA">
              <w:rPr>
                <w:rFonts w:asciiTheme="majorBidi" w:hAnsiTheme="majorBidi" w:cstheme="majorBidi"/>
                <w:color w:val="auto"/>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23&lt;/sup&gt;","plainTextFormattedCitation":"23","previouslyFormattedCitation":"&lt;sup&gt;23&lt;/sup&gt;"},"properties":{"noteIndex":0},"schema":"https://github.com/citation-style-language/schema/raw/master/csl-citation.json"}</w:instrText>
            </w:r>
            <w:r w:rsidRPr="002F2BEA">
              <w:rPr>
                <w:rFonts w:asciiTheme="majorBidi" w:hAnsiTheme="majorBidi" w:cstheme="majorBidi"/>
                <w:color w:val="auto"/>
              </w:rPr>
              <w:fldChar w:fldCharType="separate"/>
            </w:r>
            <w:r w:rsidRPr="002F2BEA">
              <w:rPr>
                <w:rFonts w:asciiTheme="majorBidi" w:hAnsiTheme="majorBidi" w:cstheme="majorBidi"/>
                <w:noProof/>
                <w:color w:val="auto"/>
                <w:vertAlign w:val="superscript"/>
              </w:rPr>
              <w:t>23</w:t>
            </w:r>
            <w:r w:rsidRPr="002F2BEA">
              <w:rPr>
                <w:rFonts w:asciiTheme="majorBidi" w:hAnsiTheme="majorBidi" w:cstheme="majorBidi"/>
                <w:color w:val="auto"/>
              </w:rPr>
              <w:fldChar w:fldCharType="end"/>
            </w:r>
            <w:r w:rsidRPr="002F2BEA">
              <w:rPr>
                <w:rFonts w:asciiTheme="majorBidi" w:hAnsiTheme="majorBidi" w:cstheme="majorBidi"/>
                <w:color w:val="auto"/>
              </w:rPr>
              <w:t xml:space="preserve"> </w:t>
            </w:r>
          </w:p>
        </w:tc>
      </w:tr>
      <w:tr w:rsidR="00C171AF" w14:paraId="706D943E" w14:textId="77777777" w:rsidTr="003B0468">
        <w:tc>
          <w:tcPr>
            <w:tcW w:w="1345" w:type="dxa"/>
            <w:vMerge w:val="restart"/>
            <w:tcBorders>
              <w:left w:val="nil"/>
              <w:right w:val="nil"/>
            </w:tcBorders>
          </w:tcPr>
          <w:p w14:paraId="6099F441"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rPr>
              <w:t>Immunotherapy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{"citationItems":[{"id":"ITEM-1","itemData":{"DOI":"10.3390/life12010048","ISSN":"20751729","PMID":"35054441","abstract":"The inception of cancer treatment with chemotherapeutics began in the 1940s with nitrogen mustards that were initially employed as weapons in World War II. Since then, treatment options for different malignancies have evolved over the period of last seventy years. Until the late 1990s, all the chemotherapeutic agents were small molecule chemicals with a highly nonspecific and severe toxicity spectrum. With the landmark approval of rituximab in 1997, a new horizon has opened up for numerous therapeutic antibodies in solid and hematological cancers. Although this transition to large molecules improved the survival and quality of life of cancer patients, this has also coincided with the change in adverse effect patterns. Typically, the anticancer agents are fraught with multifarious adverse effects that negatively impact different organs of cancer patients, which ultimately aggravate their sufferings. In contrast to the small molecules, anticancer antibodies are more targeted toward cancer signaling pathways and exhibit fewer side effects than traditional small molecule chemotherapy treatments. Nevertheless, the interference with the immune system triggers serious inflammation-and infection-related adverse effects. The differences in drug disposition and interaction with human basal pathways contribute to this paradigm shift in adverse effect profile. It is critical that healthcare team members gain a thorough insight of the adverse effect differences between the agents discovered during the last twenty-five years and before. In this review, we summarized the general mechanisms and adverse effects of small and large molecule anticancer drugs that would further our understanding on the toxicity patterns of chemotherapeutic regimens.","author":[{"dropping-particle":"","family":"Basak","given":"Debasish","non-dropping-particle":"","parse-names":false,"suffix":""},{"dropping-particle":"","family":"Arrighi","given":"Scott","non-dropping-particle":"","parse-names":false,"suffix":""},{"dropping-particle":"","family":"Darwiche","given":"Yasenya","non-dropping-particle":"","parse-names":false,"suffix":""},{"dropping-particle":"","family":"Deb","given":"Subrata","non-dropping-particle":"","parse-names":false,"suffix":""}],"container-title":"Life","id":"ITEM-1","issue":"48","issued":{"date-parts":[["2021"]]},"title":"Comparison of Anticancer Drug Toxicities: Paradigm Shift in Adverse Effect Profile","type":"article-journal","volume":"12"},"uris":["http://www.mendeley.com/documents/?uuid=82dfed70-2715-43ac-8eb1-bbe78e5826c1"]},{"id":"ITEM-2","itemData":{"ISBN":"9780702040849","author":[{"dropping-particle":"","family":"Bennett","given":"Peter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Pharmacology","type":"book"},"uris":["http://www.mendeley.com/documents/?uuid=5beec3d8-e650-4eb4-801e-10a6a7c655f5"]},{"id":"ITEM-3","itemData":{"ISBN":"SBN-13: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-3","issued":{"date-parts":[["2009"]]},"publisher-place":"United States of America","title":"Clinical Pharmacology","type":"book"},"uris":["http://www.mendeley.com/documents/?uuid=295b7cca-1977-44d5-b420-082f10e569e9"]},{"id":"ITEM-4","itemData":{"ISBN":"9780702053627","id":"ITEM-4","issued":{"date-parts":[["2016"]]},"publisher":"Elsevier","title":"Rang, H.P Ritter, J.M. Flower, R.J. Henderson, G.","type":"book"},"uris":["http://www.mendeley.com/documents/?uuid=03a538b9-d110-461b-b3aa-fd988daa0f3f"]}],"mendeley":{"formattedCitation":"&lt;sup&gt;1,21,27,28&lt;/sup&gt;","plainTextFormattedCitation":"1,21,27,28","previouslyFormattedCitation":"&lt;sup&gt;1,21,27,28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1,21,27,28</w:t>
            </w:r>
            <w:r w:rsidRPr="002F2BEA">
              <w:rPr>
                <w:rFonts w:asciiTheme="majorBidi" w:hAnsiTheme="majorBidi" w:cstheme="majorBidi"/>
              </w:rPr>
              <w:fldChar w:fldCharType="end"/>
            </w:r>
            <w:r w:rsidRPr="002F2BEA">
              <w:rPr>
                <w:rFonts w:asciiTheme="majorBidi" w:hAnsiTheme="majorBidi" w:cstheme="majorBidi"/>
              </w:rPr>
              <w:t xml:space="preserve"> </w:t>
            </w:r>
          </w:p>
        </w:tc>
        <w:tc>
          <w:tcPr>
            <w:tcW w:w="1456" w:type="dxa"/>
            <w:tcBorders>
              <w:left w:val="nil"/>
              <w:right w:val="nil"/>
            </w:tcBorders>
          </w:tcPr>
          <w:p w14:paraId="0D3C56CE"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rPr>
              <w:t>Monoclonal antibodies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Pharmacology","type":"book"},"uris":["http://www.mendeley.com/documents/?uuid=295b7cca-1977-44d5-b420-082f10e569e9"]},{"id":"ITEM-2","itemData":{"ISBN":"9780702053627","id":"ITEM-2","issued":{"date-parts":[["2016"]]},"publisher":"Elsevier","title":"Rang, H.P Ritter, J.M. Flower, R.J. Henderson, G.","type":"book"},"uris":["http://www.mendeley.com/documents/?uuid=03a538b9-d110-461b-b3aa-fd988daa0f3f"]}],"mendeley":{"formattedCitation":"&lt;sup&gt;27,28&lt;/sup&gt;","plainTextFormattedCitation":"27,28","previouslyFormattedCitation":"&lt;sup&gt;27,28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27,28</w:t>
            </w:r>
            <w:r w:rsidRPr="002F2BEA">
              <w:rPr>
                <w:rFonts w:asciiTheme="majorBidi" w:hAnsiTheme="majorBidi" w:cstheme="majorBidi"/>
              </w:rPr>
              <w:fldChar w:fldCharType="end"/>
            </w:r>
          </w:p>
        </w:tc>
        <w:tc>
          <w:tcPr>
            <w:tcW w:w="2329" w:type="dxa"/>
            <w:tcBorders>
              <w:left w:val="nil"/>
              <w:right w:val="nil"/>
            </w:tcBorders>
          </w:tcPr>
          <w:p w14:paraId="5EDAD39B"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Rituximab</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Pharmacology","type":"book"},"uris":["http://www.mendeley.com/documents/?uuid=5beec3d8-e650-4eb4-801e-10a6a7c655f5"]},{"id":"ITEM-2","itemData":{"ISBN":"9780702053627","id":"ITEM-2","issued":{"date-parts":[["2016"]]},"publisher":"Elsevier","title":"Rang, H.P Ritter, J.M. Flower, R.J. Henderson, G.","type":"book"},"uris":["http://www.mendeley.com/documents/?uuid=03a538b9-d110-461b-b3aa-fd988daa0f3f"]}],"mendeley":{"formattedCitation":"&lt;sup&gt;21,27&lt;/sup&gt;","plainTextFormattedCitation":"21,27","previouslyFormattedCitation":"&lt;sup&gt;21,27&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21,27</w:t>
            </w:r>
            <w:r w:rsidRPr="002F2BEA">
              <w:rPr>
                <w:rFonts w:asciiTheme="majorBidi" w:hAnsiTheme="majorBidi" w:cstheme="majorBidi"/>
                <w:color w:val="000000" w:themeColor="text1"/>
              </w:rPr>
              <w:fldChar w:fldCharType="end"/>
            </w:r>
          </w:p>
          <w:p w14:paraId="0BF4D90C"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Ofatumab</w:t>
            </w:r>
            <w:r w:rsidRPr="002F2BEA">
              <w:rPr>
                <w:rFonts w:asciiTheme="majorBidi" w:hAnsiTheme="majorBidi" w:cstheme="majorBidi"/>
                <w:b/>
                <w:bCs/>
              </w:rPr>
              <w:fldChar w:fldCharType="begin" w:fldLock="1"/>
            </w:r>
            <w:r w:rsidRPr="002F2BEA">
              <w:rPr>
                <w:rFonts w:asciiTheme="majorBidi" w:hAnsiTheme="majorBidi" w:cstheme="majorBidi"/>
                <w:b/>
                <w:bCs/>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b/>
                <w:bCs/>
              </w:rPr>
              <w:fldChar w:fldCharType="separate"/>
            </w:r>
            <w:r w:rsidRPr="002F2BEA">
              <w:rPr>
                <w:rFonts w:asciiTheme="majorBidi" w:hAnsiTheme="majorBidi" w:cstheme="majorBidi"/>
                <w:bCs/>
                <w:noProof/>
                <w:vertAlign w:val="superscript"/>
              </w:rPr>
              <w:t>27</w:t>
            </w:r>
            <w:r w:rsidRPr="002F2BEA">
              <w:rPr>
                <w:rFonts w:asciiTheme="majorBidi" w:hAnsiTheme="majorBidi" w:cstheme="majorBidi"/>
                <w:b/>
                <w:bCs/>
              </w:rPr>
              <w:fldChar w:fldCharType="end"/>
            </w:r>
          </w:p>
          <w:p w14:paraId="4B375EE0" w14:textId="77777777" w:rsidR="00C171AF" w:rsidRPr="002F2BEA" w:rsidRDefault="00C171AF" w:rsidP="003B0468">
            <w:pPr>
              <w:suppressAutoHyphens/>
              <w:spacing w:line="276" w:lineRule="auto"/>
              <w:jc w:val="left"/>
              <w:rPr>
                <w:rFonts w:asciiTheme="majorBidi" w:hAnsiTheme="majorBidi" w:cstheme="majorBidi"/>
                <w:color w:val="auto"/>
              </w:rPr>
            </w:pPr>
            <w:r w:rsidRPr="002F2BEA">
              <w:rPr>
                <w:rFonts w:asciiTheme="majorBidi" w:hAnsiTheme="majorBidi" w:cstheme="majorBidi"/>
              </w:rPr>
              <w:t>Obinutuzumab</w:t>
            </w:r>
          </w:p>
        </w:tc>
        <w:tc>
          <w:tcPr>
            <w:tcW w:w="9558" w:type="dxa"/>
            <w:tcBorders>
              <w:left w:val="nil"/>
              <w:right w:val="nil"/>
            </w:tcBorders>
          </w:tcPr>
          <w:p w14:paraId="263F9616" w14:textId="77777777" w:rsidR="00C171AF" w:rsidRPr="002F2BEA" w:rsidRDefault="00C171AF" w:rsidP="003B0468">
            <w:pPr>
              <w:suppressAutoHyphens/>
              <w:spacing w:line="276" w:lineRule="auto"/>
              <w:ind w:right="-109"/>
              <w:jc w:val="left"/>
              <w:rPr>
                <w:rFonts w:asciiTheme="majorBidi" w:hAnsiTheme="majorBidi" w:cstheme="majorBidi"/>
                <w:color w:val="auto"/>
              </w:rPr>
            </w:pPr>
            <w:r w:rsidRPr="002F2BEA">
              <w:rPr>
                <w:rFonts w:asciiTheme="majorBidi" w:hAnsiTheme="majorBidi" w:cstheme="majorBidi"/>
              </w:rPr>
              <w:t>Infusion-related reactions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Pharmacology","type":"book"},"uris":["http://www.mendeley.com/documents/?uuid=295b7cca-1977-44d5-b420-082f10e569e9"]},{"id":"ITEM-2","itemData":{"ISBN":"9780702053627","id":"ITEM-2","issued":{"date-parts":[["2016"]]},"publisher":"Elsevier","title":"Rang, H.P Ritter, J.M. Flower, R.J. Henderson, G.","type":"book"},"uris":["http://www.mendeley.com/documents/?uuid=03a538b9-d110-461b-b3aa-fd988daa0f3f"]}],"mendeley":{"formattedCitation":"&lt;sup&gt;27,28&lt;/sup&gt;","plainTextFormattedCitation":"27,28","previouslyFormattedCitation":"&lt;sup&gt;27,28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27,28</w:t>
            </w:r>
            <w:r w:rsidRPr="002F2BEA">
              <w:rPr>
                <w:rFonts w:asciiTheme="majorBidi" w:hAnsiTheme="majorBidi" w:cstheme="majorBidi"/>
              </w:rPr>
              <w:fldChar w:fldCharType="end"/>
            </w:r>
            <w:r w:rsidRPr="002F2BEA">
              <w:rPr>
                <w:rFonts w:asciiTheme="majorBidi" w:hAnsiTheme="majorBidi" w:cstheme="majorBidi"/>
              </w:rPr>
              <w:t>, (fever</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Pharmacology","type":"book"},"uris":["http://www.mendeley.com/documents/?uuid=295b7cca-1977-44d5-b420-082f10e569e9"]},{"id":"ITEM-2","itemData":{"ISBN":"9780702053627","id":"ITEM-2","issued":{"date-parts":[["2016"]]},"publisher":"Elsevier","title":"Rang, H.P Ritter, J.M. Flower, R.J. Henderson, G.","type":"book"},"uris":["http://www.mendeley.com/documents/?uuid=03a538b9-d110-461b-b3aa-fd988daa0f3f"]}],"mendeley":{"formattedCitation":"&lt;sup&gt;27,28&lt;/sup&gt;","plainTextFormattedCitation":"27,28","previouslyFormattedCitation":"&lt;sup&gt;27,28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27,28</w:t>
            </w:r>
            <w:r w:rsidRPr="002F2BEA">
              <w:rPr>
                <w:rFonts w:asciiTheme="majorBidi" w:hAnsiTheme="majorBidi" w:cstheme="majorBidi"/>
              </w:rPr>
              <w:fldChar w:fldCharType="end"/>
            </w:r>
            <w:r w:rsidRPr="002F2BEA">
              <w:rPr>
                <w:rFonts w:asciiTheme="majorBidi" w:hAnsiTheme="majorBidi" w:cstheme="majorBidi"/>
              </w:rPr>
              <w:t>, chills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Pharmacology","type":"book"},"uris":["http://www.mendeley.com/documents/?uuid=295b7cca-1977-44d5-b420-082f10e569e9"]},{"id":"ITEM-2","itemData":{"ISBN":"9780702053627","id":"ITEM-2","issued":{"date-parts":[["2016"]]},"publisher":"Elsevier","title":"Rang, H.P Ritter, J.M. Flower, R.J. Henderson, G.","type":"book"},"uris":["http://www.mendeley.com/documents/?uuid=03a538b9-d110-461b-b3aa-fd988daa0f3f"]}],"mendeley":{"formattedCitation":"&lt;sup&gt;27,28&lt;/sup&gt;","plainTextFormattedCitation":"27,28","previouslyFormattedCitation":"&lt;sup&gt;27,28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27,28</w:t>
            </w:r>
            <w:r w:rsidRPr="002F2BEA">
              <w:rPr>
                <w:rFonts w:asciiTheme="majorBidi" w:hAnsiTheme="majorBidi" w:cstheme="majorBidi"/>
              </w:rPr>
              <w:fldChar w:fldCharType="end"/>
            </w:r>
            <w:r w:rsidRPr="002F2BEA">
              <w:rPr>
                <w:rFonts w:asciiTheme="majorBidi" w:hAnsiTheme="majorBidi" w:cstheme="majorBidi"/>
              </w:rPr>
              <w:t>, shortness of breath</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xml:space="preserve"> , low blood pressure</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xml:space="preserve"> , anaphylaxis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myelosuppression</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21,28</w:t>
            </w:r>
            <w:r w:rsidRPr="002F2BEA">
              <w:rPr>
                <w:rFonts w:asciiTheme="majorBidi" w:hAnsiTheme="majorBidi" w:cstheme="majorBidi"/>
              </w:rPr>
              <w:fldChar w:fldCharType="end"/>
            </w:r>
            <w:r w:rsidRPr="002F2BEA">
              <w:rPr>
                <w:rFonts w:asciiTheme="majorBidi" w:hAnsiTheme="majorBidi" w:cstheme="majorBidi"/>
              </w:rPr>
              <w:t>, hepatotoxicity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opportunistic infections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hypersensitivity</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Pharmacology","type":"book"},"uris":["http://www.mendeley.com/documents/?uuid=5beec3d8-e650-4eb4-801e-10a6a7c655f5"]},{"id":"ITEM-2","itemData":{"ISBN":"9780702053627","id":"ITEM-2","issued":{"date-parts":[["2016"]]},"publisher":"Elsevier","title":"Rang, H.P Ritter, J.M. Flower, R.J. Henderson, G.","type":"book"},"uris":["http://www.mendeley.com/documents/?uuid=03a538b9-d110-461b-b3aa-fd988daa0f3f"]}],"mendeley":{"formattedCitation":"&lt;sup&gt;21,27&lt;/sup&gt;","plainTextFormattedCitation":"21,27","previouslyFormattedCitation":"&lt;sup&gt;21,27&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21,27</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angioedema</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rPr>
              <w:t xml:space="preserve">, </w:t>
            </w:r>
            <w:r w:rsidRPr="002F2BEA">
              <w:rPr>
                <w:rFonts w:asciiTheme="majorBidi" w:hAnsiTheme="majorBidi" w:cstheme="majorBidi"/>
                <w:color w:val="000000" w:themeColor="text1"/>
              </w:rPr>
              <w:t xml:space="preserve">precipitate angina/ arrhythmia (with pre-existing </w:t>
            </w:r>
            <w:bookmarkStart w:id="11" w:name="_Hlk213908918"/>
            <w:r>
              <w:rPr>
                <w:rFonts w:asciiTheme="majorBidi" w:hAnsiTheme="majorBidi" w:cstheme="majorBidi"/>
                <w:color w:val="000000" w:themeColor="text1"/>
              </w:rPr>
              <w:t>Cardio-Vascular Disease [</w:t>
            </w:r>
            <w:r w:rsidRPr="002F2BEA">
              <w:rPr>
                <w:rFonts w:asciiTheme="majorBidi" w:hAnsiTheme="majorBidi" w:cstheme="majorBidi"/>
                <w:color w:val="000000" w:themeColor="text1"/>
              </w:rPr>
              <w:t>CVD</w:t>
            </w:r>
            <w:bookmarkEnd w:id="11"/>
            <w:r>
              <w:rPr>
                <w:rFonts w:asciiTheme="majorBidi" w:hAnsiTheme="majorBidi" w:cstheme="majorBidi"/>
                <w:color w:val="000000" w:themeColor="text1"/>
              </w:rPr>
              <w:t>]</w:t>
            </w:r>
            <w:r w:rsidRPr="002F2BEA">
              <w:rPr>
                <w:rFonts w:asciiTheme="majorBidi" w:hAnsiTheme="majorBidi" w:cstheme="majorBidi"/>
                <w:color w:val="000000" w:themeColor="text1"/>
              </w:rPr>
              <w:t>)</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Pharmacology","type":"book"},"uris":["http://www.mendeley.com/documents/?uuid=5beec3d8-e650-4eb4-801e-10a6a7c655f5"]},{"id":"ITEM-2","itemData":{"ISBN":"9780702053627","id":"ITEM-2","issued":{"date-parts":[["2016"]]},"publisher":"Elsevier","title":"Rang, H.P Ritter, J.M. Flower, R.J. Henderson, G.","type":"book"},"uris":["http://www.mendeley.com/documents/?uuid=03a538b9-d110-461b-b3aa-fd988daa0f3f"]}],"mendeley":{"formattedCitation":"&lt;sup&gt;21,27&lt;/sup&gt;","plainTextFormattedCitation":"21,27","previouslyFormattedCitation":"&lt;sup&gt;21,27&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21,27</w:t>
            </w:r>
            <w:r w:rsidRPr="002F2BEA">
              <w:rPr>
                <w:rFonts w:asciiTheme="majorBidi" w:hAnsiTheme="majorBidi" w:cstheme="majorBidi"/>
                <w:color w:val="000000" w:themeColor="text1"/>
              </w:rPr>
              <w:fldChar w:fldCharType="end"/>
            </w:r>
          </w:p>
        </w:tc>
      </w:tr>
      <w:tr w:rsidR="00C171AF" w14:paraId="1A755111" w14:textId="77777777" w:rsidTr="003B0468">
        <w:tc>
          <w:tcPr>
            <w:tcW w:w="1345" w:type="dxa"/>
            <w:vMerge/>
            <w:tcBorders>
              <w:left w:val="nil"/>
              <w:right w:val="nil"/>
            </w:tcBorders>
          </w:tcPr>
          <w:p w14:paraId="36DD0EF4" w14:textId="77777777" w:rsidR="00C171AF" w:rsidRPr="002F2BEA" w:rsidRDefault="00C171AF" w:rsidP="003B0468">
            <w:pPr>
              <w:suppressAutoHyphens/>
              <w:spacing w:line="276" w:lineRule="auto"/>
              <w:jc w:val="left"/>
              <w:rPr>
                <w:rFonts w:asciiTheme="majorBidi" w:hAnsiTheme="majorBidi" w:cstheme="majorBidi"/>
              </w:rPr>
            </w:pPr>
          </w:p>
        </w:tc>
        <w:tc>
          <w:tcPr>
            <w:tcW w:w="1456" w:type="dxa"/>
            <w:tcBorders>
              <w:left w:val="nil"/>
              <w:right w:val="nil"/>
            </w:tcBorders>
          </w:tcPr>
          <w:p w14:paraId="59936701"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Protein kinase inhibitors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p>
        </w:tc>
        <w:tc>
          <w:tcPr>
            <w:tcW w:w="2329" w:type="dxa"/>
            <w:tcBorders>
              <w:left w:val="nil"/>
              <w:right w:val="nil"/>
            </w:tcBorders>
          </w:tcPr>
          <w:p w14:paraId="06E36C54"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Axitinib, Imatinib</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rPr>
              <w:t xml:space="preserve">, </w:t>
            </w:r>
          </w:p>
        </w:tc>
        <w:tc>
          <w:tcPr>
            <w:tcW w:w="9558" w:type="dxa"/>
            <w:tcBorders>
              <w:left w:val="nil"/>
              <w:right w:val="nil"/>
            </w:tcBorders>
          </w:tcPr>
          <w:p w14:paraId="5DBF999F" w14:textId="77777777" w:rsidR="00C171AF" w:rsidRPr="002F2BEA" w:rsidRDefault="00C171AF" w:rsidP="003B0468">
            <w:pPr>
              <w:suppressAutoHyphens/>
              <w:spacing w:line="276" w:lineRule="auto"/>
              <w:ind w:right="-109"/>
              <w:jc w:val="left"/>
              <w:rPr>
                <w:rFonts w:asciiTheme="majorBidi" w:hAnsiTheme="majorBidi" w:cstheme="majorBidi"/>
              </w:rPr>
            </w:pPr>
            <w:r w:rsidRPr="003C7B2E">
              <w:rPr>
                <w:rFonts w:asciiTheme="majorBidi" w:hAnsiTheme="majorBidi" w:cstheme="majorBidi"/>
                <w:lang w:val="pt-PT"/>
              </w:rPr>
              <w:t>GI AEs</w:t>
            </w:r>
            <w:r w:rsidRPr="002F2BEA">
              <w:rPr>
                <w:rFonts w:asciiTheme="majorBidi" w:hAnsiTheme="majorBidi" w:cstheme="majorBidi"/>
              </w:rPr>
              <w:fldChar w:fldCharType="begin" w:fldLock="1"/>
            </w:r>
            <w:r w:rsidRPr="003C7B2E">
              <w:rPr>
                <w:rFonts w:asciiTheme="majorBidi" w:hAnsiTheme="majorBidi" w:cstheme="majorBidi"/>
                <w:lang w:val="pt-PT"/>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3C7B2E">
              <w:rPr>
                <w:rFonts w:asciiTheme="majorBidi" w:hAnsiTheme="majorBidi" w:cstheme="majorBidi"/>
                <w:noProof/>
                <w:vertAlign w:val="superscript"/>
                <w:lang w:val="pt-PT"/>
              </w:rPr>
              <w:t>27</w:t>
            </w:r>
            <w:r w:rsidRPr="002F2BEA">
              <w:rPr>
                <w:rFonts w:asciiTheme="majorBidi" w:hAnsiTheme="majorBidi" w:cstheme="majorBidi"/>
              </w:rPr>
              <w:fldChar w:fldCharType="end"/>
            </w:r>
            <w:r w:rsidRPr="003C7B2E">
              <w:rPr>
                <w:rFonts w:asciiTheme="majorBidi" w:hAnsiTheme="majorBidi" w:cstheme="majorBidi"/>
                <w:lang w:val="pt-PT"/>
              </w:rPr>
              <w:t xml:space="preserve"> (nausea</w:t>
            </w:r>
            <w:r w:rsidRPr="002F2BEA">
              <w:rPr>
                <w:rFonts w:asciiTheme="majorBidi" w:hAnsiTheme="majorBidi" w:cstheme="majorBidi"/>
              </w:rPr>
              <w:fldChar w:fldCharType="begin" w:fldLock="1"/>
            </w:r>
            <w:r w:rsidRPr="003C7B2E">
              <w:rPr>
                <w:rFonts w:asciiTheme="majorBidi" w:hAnsiTheme="majorBidi" w:cstheme="majorBidi"/>
                <w:lang w:val="pt-PT"/>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3C7B2E">
              <w:rPr>
                <w:rFonts w:asciiTheme="majorBidi" w:hAnsiTheme="majorBidi" w:cstheme="majorBidi"/>
                <w:noProof/>
                <w:vertAlign w:val="superscript"/>
                <w:lang w:val="pt-PT"/>
              </w:rPr>
              <w:t>27</w:t>
            </w:r>
            <w:r w:rsidRPr="002F2BEA">
              <w:rPr>
                <w:rFonts w:asciiTheme="majorBidi" w:hAnsiTheme="majorBidi" w:cstheme="majorBidi"/>
              </w:rPr>
              <w:fldChar w:fldCharType="end"/>
            </w:r>
            <w:r w:rsidRPr="003C7B2E">
              <w:rPr>
                <w:rFonts w:asciiTheme="majorBidi" w:hAnsiTheme="majorBidi" w:cstheme="majorBidi"/>
                <w:lang w:val="pt-PT"/>
              </w:rPr>
              <w:t>, diarrhea</w:t>
            </w:r>
            <w:r w:rsidRPr="002F2BEA">
              <w:rPr>
                <w:rFonts w:asciiTheme="majorBidi" w:hAnsiTheme="majorBidi" w:cstheme="majorBidi"/>
              </w:rPr>
              <w:fldChar w:fldCharType="begin" w:fldLock="1"/>
            </w:r>
            <w:r w:rsidRPr="003C7B2E">
              <w:rPr>
                <w:rFonts w:asciiTheme="majorBidi" w:hAnsiTheme="majorBidi" w:cstheme="majorBidi"/>
                <w:lang w:val="pt-PT"/>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3C7B2E">
              <w:rPr>
                <w:rFonts w:asciiTheme="majorBidi" w:hAnsiTheme="majorBidi" w:cstheme="majorBidi"/>
                <w:noProof/>
                <w:vertAlign w:val="superscript"/>
                <w:lang w:val="pt-PT"/>
              </w:rPr>
              <w:t>27</w:t>
            </w:r>
            <w:r w:rsidRPr="002F2BEA">
              <w:rPr>
                <w:rFonts w:asciiTheme="majorBidi" w:hAnsiTheme="majorBidi" w:cstheme="majorBidi"/>
              </w:rPr>
              <w:fldChar w:fldCharType="end"/>
            </w:r>
            <w:r w:rsidRPr="003C7B2E">
              <w:rPr>
                <w:rFonts w:asciiTheme="majorBidi" w:hAnsiTheme="majorBidi" w:cstheme="majorBidi"/>
                <w:lang w:val="pt-PT"/>
              </w:rPr>
              <w:t>, pain</w:t>
            </w:r>
            <w:r w:rsidRPr="002F2BEA">
              <w:rPr>
                <w:rFonts w:asciiTheme="majorBidi" w:hAnsiTheme="majorBidi" w:cstheme="majorBidi"/>
              </w:rPr>
              <w:fldChar w:fldCharType="begin" w:fldLock="1"/>
            </w:r>
            <w:r w:rsidRPr="003C7B2E">
              <w:rPr>
                <w:rFonts w:asciiTheme="majorBidi" w:hAnsiTheme="majorBidi" w:cstheme="majorBidi"/>
                <w:lang w:val="pt-PT"/>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3C7B2E">
              <w:rPr>
                <w:rFonts w:asciiTheme="majorBidi" w:hAnsiTheme="majorBidi" w:cstheme="majorBidi"/>
                <w:noProof/>
                <w:vertAlign w:val="superscript"/>
                <w:lang w:val="pt-PT"/>
              </w:rPr>
              <w:t>27</w:t>
            </w:r>
            <w:r w:rsidRPr="002F2BEA">
              <w:rPr>
                <w:rFonts w:asciiTheme="majorBidi" w:hAnsiTheme="majorBidi" w:cstheme="majorBidi"/>
              </w:rPr>
              <w:fldChar w:fldCharType="end"/>
            </w:r>
            <w:r w:rsidRPr="003C7B2E">
              <w:rPr>
                <w:rFonts w:asciiTheme="majorBidi" w:hAnsiTheme="majorBidi" w:cstheme="majorBidi"/>
                <w:lang w:val="pt-PT"/>
              </w:rPr>
              <w:t>), headache</w:t>
            </w:r>
            <w:r w:rsidRPr="002F2BEA">
              <w:rPr>
                <w:rFonts w:asciiTheme="majorBidi" w:hAnsiTheme="majorBidi" w:cstheme="majorBidi"/>
              </w:rPr>
              <w:fldChar w:fldCharType="begin" w:fldLock="1"/>
            </w:r>
            <w:r w:rsidRPr="003C7B2E">
              <w:rPr>
                <w:rFonts w:asciiTheme="majorBidi" w:hAnsiTheme="majorBidi" w:cstheme="majorBidi"/>
                <w:lang w:val="pt-PT"/>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3C7B2E">
              <w:rPr>
                <w:rFonts w:asciiTheme="majorBidi" w:hAnsiTheme="majorBidi" w:cstheme="majorBidi"/>
                <w:noProof/>
                <w:vertAlign w:val="superscript"/>
                <w:lang w:val="pt-PT"/>
              </w:rPr>
              <w:t>27</w:t>
            </w:r>
            <w:r w:rsidRPr="002F2BEA">
              <w:rPr>
                <w:rFonts w:asciiTheme="majorBidi" w:hAnsiTheme="majorBidi" w:cstheme="majorBidi"/>
              </w:rPr>
              <w:fldChar w:fldCharType="end"/>
            </w:r>
            <w:r w:rsidRPr="003C7B2E">
              <w:rPr>
                <w:rFonts w:asciiTheme="majorBidi" w:hAnsiTheme="majorBidi" w:cstheme="majorBidi"/>
                <w:lang w:val="pt-PT"/>
              </w:rPr>
              <w:t>, fatigue</w:t>
            </w:r>
            <w:r w:rsidRPr="002F2BEA">
              <w:rPr>
                <w:rFonts w:asciiTheme="majorBidi" w:hAnsiTheme="majorBidi" w:cstheme="majorBidi"/>
              </w:rPr>
              <w:fldChar w:fldCharType="begin" w:fldLock="1"/>
            </w:r>
            <w:r w:rsidRPr="003C7B2E">
              <w:rPr>
                <w:rFonts w:asciiTheme="majorBidi" w:hAnsiTheme="majorBidi" w:cstheme="majorBidi"/>
                <w:lang w:val="pt-PT"/>
              </w:rPr>
              <w:instrText>ADDIN CSL_CITATION {"citationItems":[{"id":"ITEM-1","itemData":{</w:instrText>
            </w:r>
            <w:r w:rsidRPr="002F2BEA">
              <w:rPr>
                <w:rFonts w:asciiTheme="majorBidi" w:hAnsiTheme="majorBidi" w:cstheme="majorBidi"/>
              </w:rPr>
              <w:instrText>"ISBN":"9780702053627","id":"ITEM-1","issued":{"date-parts":[["2016"]]},"publisher":"Elsevier","title":"Rang,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rPr>
              <w:t>, rash</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p>
        </w:tc>
      </w:tr>
      <w:tr w:rsidR="00C171AF" w14:paraId="240A872C" w14:textId="77777777" w:rsidTr="003B0468">
        <w:tc>
          <w:tcPr>
            <w:tcW w:w="1345" w:type="dxa"/>
            <w:vMerge/>
            <w:tcBorders>
              <w:left w:val="nil"/>
              <w:right w:val="nil"/>
            </w:tcBorders>
          </w:tcPr>
          <w:p w14:paraId="21B3A6A9" w14:textId="77777777" w:rsidR="00C171AF" w:rsidRPr="002F2BEA" w:rsidRDefault="00C171AF" w:rsidP="003B0468">
            <w:pPr>
              <w:suppressAutoHyphens/>
              <w:spacing w:line="276" w:lineRule="auto"/>
              <w:jc w:val="left"/>
              <w:rPr>
                <w:rFonts w:asciiTheme="majorBidi" w:hAnsiTheme="majorBidi" w:cstheme="majorBidi"/>
              </w:rPr>
            </w:pPr>
          </w:p>
        </w:tc>
        <w:tc>
          <w:tcPr>
            <w:tcW w:w="1456" w:type="dxa"/>
            <w:tcBorders>
              <w:left w:val="nil"/>
              <w:right w:val="nil"/>
            </w:tcBorders>
          </w:tcPr>
          <w:p w14:paraId="040D5EB1"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Immunostimulatory cytokines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{"citationItems":[{"id":"ITEM-1","itemData":{"ISSN":"19492553","abstract":"During the past decades, anticancer immunotherapy has evolved from a promising therapeutic option to a robust clinical reality. Many immunotherapeutic regimens are now approved by the US Food and Drug Administration and the European Medicines Agency for use in cancer patients, and many others are being investigated as standalone therapeutic interventions or combined with conventional treatments in clinical studies. Immunotherapies may be subdivided into \"passive\" and \"active\" based on their ability to engage the host immune system against cancer. Since the anticancer activity of most passive immunotherapeutics (including tumor-targeting monoclonal antibodies) also relies on the host immune system, this classification does not properly reflect the complexity of the drug-host-tumor interaction. Alternatively, anticancer immunotherapeutics can be classified according to their antigen specificity. While some immunotherapies specifically target one (or a few) defined tumor-associated antigen(s), others operate in a relatively non-specific manner and boost natural or therapy-elicited anticancer immune responses of unknown and often broad specificity. Here, we propose a critical, integrated classification of anticancer immunotherapies and discuss the clinical relevance of these approaches.","author":[{"dropping-particle":"","family":"Galluzzi","given":"Lorenzo","non-dropping-particle":"","parse-names":false,"suffix":""},{"dropping-particle":"","family":"Vacchelli","given":"Erika","non-dropping-particle":"","parse-names":false,"suffix":""},{"dropping-particle":"","family":"Pedro","given":"José-Manuel Bravo-San","non-dropping-particle":"","parse-names":false,"suffix":""},{"dropping-particle":"","family":"Buqué","given":"Aitziber","non-dropping-particle":"","parse-names":false,"suffix":""},{"dropping-particle":"","family":"Senovilla","given":"Laura","non-dropping-particle":"","parse-names":false,"suffix":""},{"dropping-particle":"","family":"Baracco","given":"Elisa Elena","non-dropping-particle":"","parse-names":false,"suffix":""},{"dropping-particle":"","family":"Bloy","given":"Norma","non-dropping-particle":"","parse-names":false,"suffix":""},{"dropping-particle":"","family":"Castoldi","given":"Francesca","non-dropping-particle":"","parse-names":false,"suffix":""},{"dropping-particle":"","family":"Abastado","given":"Jean-Pierre","non-dropping-particle":"","parse-names":false,"suffix":""},{"dropping-particle":"","family":"Agostinis","given":"Patrizia","non-dropping-particle":"","parse-names":false,"suffix":""},{"dropping-particle":"","family":"Apte","given":"Ron N","non-dropping-particle":"","parse-names":false,"suffix":""},{"dropping-particle":"","family":"Aranda","given":"Fernando","non-dropping-particle":"","parse-names":false,"suffix":""},{"dropping-particle":"","family":"Ayyoub","given":"Maha","non-dropping-particle":"","parse-names":false,"suffix":""},{"dropping-particle":"","family":"Beckhove","given":"Philipp","non-dropping-particle":"","parse-names":false,"suffix":""},{"dropping-particle":"","family":"Blay","given":"Jean-Yves","non-dropping-particle":"","parse-names":false,"suffix":""},{"dropping-particle":"","family":"Okada","given":"Hideho","non-dropping-particle":"","parse-names":false,"suffix":""},{"dropping-particle":"","family":"Palucka","given":"Anna Karolina","non-dropping-particle":"","parse-names":false,"suffix":""},{"dropping-particle":"","family":"Peter","given":"Marcus E","non-dropping-particle":"","parse-names":false,"suffix":""},{"dropping-particle":"","family":"Pienta","given":"Kenneth J","non-dropping-particle":"","parse-names":false,"suffix":""},{"dropping-particle":"","family":"Porgador","given":"Angel","non-dropping-particle":"","parse-names":false,"suffix":""},{"dropping-particle":"","family":"Prendergast","given":"George C","non-dropping-particle":"","parse-names":false,"suffix":""},{"dropping-particle":"","family":"Rabinovich","given":"Gabriel A","non-dropping-particle":"","parse-names":false,"suffix":""},{"dropping-particle":"","family":"Restifo","given":"Nicholas P","non-dropping-particle":"","parse-names":false,"suffix":""},{"dropping-particle":"","family":"Rizvi","given":"Naiyer","non-dropping-particle":"","parse-names":false,"suffix":""},{"dropping-particle":"","family":"Sautès-Fridman","given":"Catherine","non-dropping-particle":"","parse-names":false,"suffix":""},{"dropping-particle":"","family":"Schreiber","given":"Hans","non-dropping-particle":"","parse-names":false,"suffix":""},{"dropping-particle":"","family":"Seliger","given":"Barbara","non-dropping-particle":"","parse-names":false,"suffix":""},{"dropping-particle":"","family":"Shiku","given":"Hiroshi","non-dropping-particle":"","parse-names":false,"suffix":""},{"dropping-particle":"","family":"Silva-Santos","given":"Bruno","non-dropping-particle":"","parse-names":false,"suffix":""},{"dropping-particle":"","family":"Smyth","given":"Mark J","non-dropping-particle":"","parse-names":false,"suffix":""},{"dropping-particle":"","family":"Speiser","given":"Daniel E","non-dropping-particle":"","parse-names":false,"suffix":""},{"dropping-particle":"","family":"Spisek","given":"Radek","non-dropping-particle":"","parse-names":false,"suffix":""},{"dropping-particle":"","family":"Srivastava","given":"Pramod K","non-dropping-particle":"","parse-names":false,"suffix":""},{"dropping-particle":"","family":"Talmadge","given":"James E","non-dropping-particle":"","parse-names":false,"suffix":""},{"dropping-particle":"","family":"Tartour","given":"Eric","non-dropping-particle":"","parse-names":false,"suffix":""},{"dropping-particle":"","family":"Burg","given":"Sjoerd H","non-dropping-particle":"Van Der","parse-names":false,"suffix":""},{"dropping-particle":"","family":"Eynde","given":"Benoît J","non-dropping-particle":"Van Den","parse-names":false,"suffix":""},{"dropping-particle":"","family":"Vile","given":"Richard","non-dropping-particle":"","parse-names":false,"suffix":""},{"dropping-particle":"","family":"Wagner","given":"Hermann","non-dropping-particle":"","parse-names":false,"suffix":""},{"dropping-particle":"","family":"Weber","given":"Jeffrey S","non-dropping-particle":"","parse-names":false,"suffix":""},{"dropping-particle":"","family":"Whiteside","given":"Theresa L","non-dropping-particle":"","parse-names":false,"suffix":""},{"dropping-particle":"","family":"Wolchok","given":"Jedd D","non-dropping-particle":"","parse-names":false,"suffix":""},{"dropping-particle":"","family":"Zitvogel","given":"Laurence","non-dropping-particle":"","parse-names":false,"suffix":""},{"dropping-particle":"","family":"Zou","given":"Weiping","non-dropping-particle":"","parse-names":false,"suffix":""},{"dropping-particle":"","family":"Kroemer","given":"Guido","non-dropping-particle":"","parse-names":false,"suffix":""}],"container-title":"François Ghiringhelli","id":"ITEM-1","issue":"24","issued":{"date-parts":[["2014"]]},"page":"66","title":"Aled Clayton 23,24 , Mario P. Colombo 19 , Lisa Coussens 25 , Madhav V. Dhodapkar 26 , Alexander M. Eggermont 3 , Douglas T. Fearon 27 , Wolf H. Fridman 2,4,28,29 , Jitka Fučíková 6,30 , Dmitry I. Gabrilovich 31","type":"article-journal","volume":"5"},"uris":["http://www.mendeley.com/documents/?uuid=eb752968-f8b0-4c92-877b-af663e8853a3"]},{"id":"ITEM-2","itemData":{"ISBN":"SBN-13: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28,53&lt;/sup&gt;","plainTextFormattedCitation":"28,53","previouslyFormattedCitation":"&lt;sup&gt;28,53&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28,53</w:t>
            </w:r>
            <w:r w:rsidRPr="002F2BEA">
              <w:rPr>
                <w:rFonts w:asciiTheme="majorBidi" w:hAnsiTheme="majorBidi" w:cstheme="majorBidi"/>
              </w:rPr>
              <w:fldChar w:fldCharType="end"/>
            </w:r>
          </w:p>
        </w:tc>
        <w:tc>
          <w:tcPr>
            <w:tcW w:w="2329" w:type="dxa"/>
            <w:tcBorders>
              <w:left w:val="nil"/>
              <w:right w:val="nil"/>
            </w:tcBorders>
          </w:tcPr>
          <w:p w14:paraId="0FF64FBF"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Interferon-α</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{"citationItems":[{"id":"ITEM-1","itemData":{"ISSN":"19492553","abstract":"During the past decades, anticancer immunotherapy has evolved from a promising therapeutic option to a robust clinical reality. Many immunotherapeutic regimens are now approved by the US Food and Drug Administration and the European Medicines Agency for use in cancer patients, and many others are being investigated as standalone therapeutic interventions or combined with conventional treatments in clinical studies. Immunotherapies may be subdivided into \"passive\" and \"active\" based on their ability to engage the host immune system against cancer. Since the anticancer activity of most passive immunotherapeutics (including tumor-targeting monoclonal antibodies) also relies on the host immune system, this classification does not properly reflect the complexity of the drug-host-tumor interaction. Alternatively, anticancer immunotherapeutics can be classified according to their antigen specificity. While some immunotherapies specifically target one (or a few) defined tumor-associated antigen(s), others operate in a relatively non-specific manner and boost natural or therapy-elicited anticancer immune responses of unknown and often broad specificity. Here, we propose a critical, integrated classification of anticancer immunotherapies and discuss the clinical relevance of these approaches.","author":[{"dropping-particle":"","family":"Galluzzi","given":"Lorenzo","non-dropping-particle":"","parse-names":false,"suffix":""},{"dropping-particle":"","family":"Vacchelli","given":"Erika","non-dropping-particle":"","parse-names":false,"suffix":""},{"dropping-particle":"","family":"Pedro","given":"José-Manuel Bravo-San","non-dropping-particle":"","parse-names":false,"suffix":""},{"dropping-particle":"","family":"Buqué","given":"Aitziber","non-dropping-particle":"","parse-names":false,"suffix":""},{"dropping-particle":"","family":"Senovilla","given":"Laura","non-dropping-particle":"","parse-names":false,"suffix":""},{"dropping-particle":"","family":"Baracco","given":"Elisa Elena","non-dropping-particle":"","parse-names":false,"suffix":""},{"dropping-particle":"","family":"Bloy","given":"Norma","non-dropping-particle":"","parse-names":false,"suffix":""},{"dropping-particle":"","family":"Castoldi","given":"Francesca","non-dropping-particle":"","parse-names":false,"suffix":""},{"dropping-particle":"","family":"Abastado","given":"Jean-Pierre","non-dropping-particle":"","parse-names":false,"suffix":""},{"dropping-particle":"","family":"Agostinis","given":"Patrizia","non-dropping-particle":"","parse-names":false,"suffix":""},{"dropping-particle":"","family":"Apte","given":"Ron N","non-dropping-particle":"","parse-names":false,"suffix":""},{"dropping-particle":"","family":"Aranda","given":"Fernando","non-dropping-particle":"","parse-names":false,"suffix":""},{"dropping-particle":"","family":"Ayyoub","given":"Maha","non-dropping-particle":"","parse-names":false,"suffix":""},{"dropping-particle":"","family":"Beckhove","given":"Philipp","non-dropping-particle":"","parse-names":false,"suffix":""},{"dropping-particle":"","family":"Blay","given":"Jean-Yves","non-dropping-particle":"","parse-names":false,"suffix":""},{"dropping-particle":"","family":"Okada","given":"Hideho","non-dropping-particle":"","parse-names":false,"suffix":""},{"dropping-particle":"","family":"Palucka","given":"Anna Karolina","non-dropping-particle":"","parse-names":false,"suffix":""},{"dropping-particle":"","family":"Peter","given":"Marcus E","non-dropping-particle":"","parse-names":false,"suffix":""},{"dropping-particle":"","family":"Pienta","given":"Kenneth J","non-dropping-particle":"","parse-names":false,"suffix":""},{"dropping-particle":"","family":"Porgador","given":"Angel","non-dropping-particle":"","parse-names":false,"suffix":""},{"dropping-particle":"","family":"Prendergast","given":"George C","non-dropping-particle":"","parse-names":false,"suffix":""},{"dropping-particle":"","family":"Rabinovich","given":"Gabriel A","non-dropping-particle":"","parse-names":false,"suffix":""},{"dropping-particle":"","family":"Restifo","given":"Nicholas P","non-dropping-particle":"","parse-names":false,"suffix":""},{"dropping-particle":"","family":"Rizvi","given":"Naiyer","non-dropping-particle":"","parse-names":false,"suffix":""},{"dropping-particle":"","family":"Sautès-Fridman","given":"Catherine","non-dropping-particle":"","parse-names":false,"suffix":""},{"dropping-particle":"","family":"Schreiber","given":"Hans","non-dropping-particle":"","parse-names":false,"suffix":""},{"dropping-particle":"","family":"Seliger","given":"Barbara","non-dropping-particle":"","parse-names":false,"suffix":""},{"dropping-particle":"","family":"Shiku","given":"Hiroshi","non-dropping-particle":"","parse-names":false,"suffix":""},{"dropping-particle":"","family":"Silva-Santos","given":"Bruno","non-dropping-particle":"","parse-names":false,"suffix":""},{"dropping-particle":"","family":"Smyth","given":"Mark J","non-dropping-particle":"","parse-names":false,"suffix":""},{"dropping-particle":"","family":"Speiser","given":"Daniel E","non-dropping-particle":"","parse-names":false,"suffix":""},{"dropping-particle":"","family":"Spisek","given":"Radek","non-dropping-particle":"","parse-names":false,"suffix":""},{"dropping-particle":"","family":"Srivastava","given":"Pramod K","non-dropping-particle":"","parse-names":false,"suffix":""},{"dropping-particle":"","family":"Talmadge","given":"James E","non-dropping-particle":"","parse-names":false,"suffix":""},{"dropping-particle":"","family":"Tartour","given":"Eric","non-dropping-particle":"","parse-names":false,"suffix":""},{"dropping-particle":"","family":"Burg","given":"Sjoerd H","non-dropping-particle":"Van Der","parse-names":false,"suffix":""},{"dropping-particle":"","family":"Eynde","given":"Benoît J","non-dropping-particle":"Van Den","parse-names":false,"suffix":""},{"dropping-particle":"","family":"Vile","given":"Richard","non-dropping-particle":"","parse-names":false,"suffix":""},{"dropping-particle":"","family":"Wagner","given":"Hermann","non-dropping-particle":"","parse-names":false,"suffix":""},{"dropping-particle":"","family":"Weber","given":"Jeffrey S","non-dropping-particle":"","parse-names":false,"suffix":""},{"dropping-particle":"","family":"Whiteside","given":"Theresa L","non-dropping-particle":"","parse-names":false,"suffix":""},{"dropping-particle":"","family":"Wolchok","given":"Jedd D","non-dropping-particle":"","parse-names":false,"suffix":""},{"dropping-particle":"","family":"Zitvogel","given":"Laurence","non-dropping-particle":"","parse-names":false,"suffix":""},{"dropping-particle":"","family":"Zou","given":"Weiping","non-dropping-particle":"","parse-names":false,"suffix":""},{"dropping-particle":"","family":"Kroemer","given":"Guido","non-dropping-particle":"","parse-names":false,"suffix":""}],"container-title":"François Ghiringhelli","id":"ITEM-1","issue":"24","issued":{"date-parts":[["2014"]]},"page":"66","title":"Aled Clayton 23,24 , Mario P. Colombo 19 , Lisa Coussens 25 , Madhav V. Dhodapkar 26 , Alexander M. Eggermont 3 , Douglas T. Fearon 27 , Wolf H. Fridman 2,4,28,29 , Jitka Fučíková 6,30 , Dmitry I. Gabrilovich 31","type":"article-journal","volume":"5"},"uris":["http://www.mendeley.com/documents/?uuid=eb752968-f8b0-4c92-877b-af663e8853a3"]}],"mendeley":{"formattedCitation":"&lt;sup&gt;53&lt;/sup&gt;","plainTextFormattedCitation":"53","previouslyFormattedCitation":"&lt;sup&gt;53&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53</w:t>
            </w:r>
            <w:r w:rsidRPr="002F2BEA">
              <w:rPr>
                <w:rFonts w:asciiTheme="majorBidi" w:hAnsiTheme="majorBidi" w:cstheme="majorBidi"/>
              </w:rPr>
              <w:fldChar w:fldCharType="end"/>
            </w:r>
          </w:p>
          <w:p w14:paraId="775E02A3"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Interleukin-2</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{"citationItems":[{"id":"ITEM-1","itemData":{"ISSN":"19492553","abstract":"During the past decades, anticancer immunotherapy has evolved from a promising therapeutic option to a robust clinical reality. Many immunotherapeutic regimens are now approved by the US Food and Drug Administration and the European Medicines Agency for use in cancer patients, and many others are being investigated as standalone therapeutic interventions or combined with conventional treatments in clinical studies. Immunotherapies may be subdivided into \"passive\" and \"active\" based on their ability to engage the host immune system against cancer. Since the anticancer activity of most passive immunotherapeutics (including tumor-targeting monoclonal antibodies) also relies on the host immune system, this classification does not properly reflect the complexity of the drug-host-tumor interaction. Alternatively, anticancer immunotherapeutics can be classified according to their antigen specificity. While some immunotherapies specifically target one (or a few) defined tumor-associated antigen(s), others operate in a relatively non-specific manner and boost natural or therapy-elicited anticancer immune responses of unknown and often broad specificity. Here, we propose a critical, integrated classification of anticancer immunotherapies and discuss the clinical relevance of these approaches.","author":[{"dropping-particle":"","family":"Galluzzi","given":"Lorenzo","non-dropping-particle":"","parse-names":false,"suffix":""},{"dropping-particle":"","family":"Vacchelli","given":"Erika","non-dropping-particle":"","parse-names":false,"suffix":""},{"dropping-particle":"","family":"Pedro","given":"José-Manuel Bravo-San","non-dropping-particle":"","parse-names":false,"suffix":""},{"dropping-particle":"","family":"Buqué","given":"Aitziber","non-dropping-particle":"","parse-names":false,"suffix":""},{"dropping-particle":"","family":"Senovilla","given":"Laura","non-dropping-particle":"","parse-names":false,"suffix":""},{"dropping-particle":"","family":"Baracco","given":"Elisa Elena","non-dropping-particle":"","parse-names":false,"suffix":""},{"dropping-particle":"","family":"Bloy","given":"Norma","non-dropping-particle":"","parse-names":false,"suffix":""},{"dropping-particle":"","family":"Castoldi","given":"Francesca","non-dropping-particle":"","parse-names":false,"suffix":""},{"dropping-particle":"","family":"Abastado","given":"Jean-Pierre","non-dropping-particle":"","parse-names":false,"suffix":""},{"dropping-particle":"","family":"Agostinis","given":"Patrizia","non-dropping-particle":"","parse-names":false,"suffix":""},{"dropping-particle":"","family":"Apte","given":"Ron N","non-dropping-particle":"","parse-names":false,"suffix":""},{"dropping-particle":"","family":"Aranda","given":"Fernando","non-dropping-particle":"","parse-names":false,"suffix":""},{"dropping-particle":"","family":"Ayyoub","given":"Maha","non-dropping-particle":"","parse-names":false,"suffix":""},{"dropping-particle":"","family":"Beckhove","given":"Philipp","non-dropping-particle":"","parse-names":false,"suffix":""},{"dropping-particle":"","family":"Blay","given":"Jean-Yves","non-dropping-particle":"","parse-names":false,"suffix":""},{"dropping-particle":"","family":"Okada","given":"Hideho","non-dropping-particle":"","parse-names":false,"suffix":""},{"dropping-particle":"","family":"Palucka","given":"Anna Karolina","non-dropping-particle":"","parse-names":false,"suffix":""},{"dropping-particle":"","family":"Peter","given":"Marcus E","non-dropping-particle":"","parse-names":false,"suffix":""},{"dropping-particle":"","family":"Pienta","given":"Kenneth J","non-dropping-particle":"","parse-names":false,"suffix":""},{"dropping-particle":"","family":"Porgador","given":"Angel","non-dropping-particle":"","parse-names":false,"suffix":""},{"dropping-particle":"","family":"Prendergast","given":"George C","non-dropping-particle":"","parse-names":false,"suffix":""},{"dropping-particle":"","family":"Rabinovich","given":"Gabriel A","non-dropping-particle":"","parse-names":false,"suffix":""},{"dropping-particle":"","family":"Restifo","given":"Nicholas P","non-dropping-particle":"","parse-names":false,"suffix":""},{"dropping-particle":"","family":"Rizvi","given":"Naiyer","non-dropping-particle":"","parse-names":false,"suffix":""},{"dropping-particle":"","family":"Sautès-Fridman","given":"Catherine","non-dropping-particle":"","parse-names":false,"suffix":""},{"dropping-particle":"","family":"Schreiber","given":"Hans","non-dropping-particle":"","parse-names":false,"suffix":""},{"dropping-particle":"","family":"Seliger","given":"Barbara","non-dropping-particle":"","parse-names":false,"suffix":""},{"dropping-particle":"","family":"Shiku","given":"Hiroshi","non-dropping-particle":"","parse-names":false,"suffix":""},{"dropping-particle":"","family":"Silva-Santos","given":"Bruno","non-dropping-particle":"","parse-names":false,"suffix":""},{"dropping-particle":"","family":"Smyth","given":"Mark J","non-dropping-particle":"","parse-names":false,"suffix":""},{"dropping-particle":"","family":"Speiser","given":"Daniel E","non-dropping-particle":"","parse-names":false,"suffix":""},{"dropping-particle":"","family":"Spisek","given":"Radek","non-dropping-particle":"","parse-names":false,"suffix":""},{"dropping-particle":"","family":"Srivastava","given":"Pramod K","non-dropping-particle":"","parse-names":false,"suffix":""},{"dropping-particle":"","family":"Talmadge","given":"James E","non-dropping-particle":"","parse-names":false,"suffix":""},{"dropping-particle":"","family":"Tartour","given":"Eric","non-dropping-particle":"","parse-names":false,"suffix":""},{"dropping-particle":"","family":"Burg","given":"Sjoerd H","non-dropping-particle":"Van Der","parse-names":false,"suffix":""},{"dropping-particle":"","family":"Eynde","given":"Benoît J","non-dropping-particle":"Van Den","parse-names":false,"suffix":""},{"dropping-particle":"","family":"Vile","given":"Richard","non-dropping-particle":"","parse-names":false,"suffix":""},{"dropping-particle":"","family":"Wagner","given":"Hermann","non-dropping-particle":"","parse-names":false,"suffix":""},{"dropping-particle":"","family":"Weber","given":"Jeffrey S","non-dropping-particle":"","parse-names":false,"suffix":""},{"dropping-particle":"","family":"Whiteside","given":"Theresa L","non-dropping-particle":"","parse-names":false,"suffix":""},{"dropping-particle":"","family":"Wolchok","given":"Jedd D","non-dropping-particle":"","parse-names":false,"suffix":""},{"dropping-particle":"","family":"Zitvogel","given":"Laurence","non-dropping-particle":"","parse-names":false,"suffix":""},{"dropping-particle":"","family":"Zou","given":"Weiping","non-dropping-particle":"","parse-names":false,"suffix":""},{"dropping-particle":"","family":"Kroemer","given":"Guido","non-dropping-particle":"","parse-names":false,"suffix":""}],"container-title":"François Ghiringhelli","id":"ITEM-1","issue":"24","issued":{"date-parts":[["2014"]]},"page":"66","title":"Aled Clayton 23,24 , Mario P. Colombo 19 , Lisa Coussens 25 , Madhav V. Dhodapkar 26 , Alexander M. Eggermont 3 , Douglas T. Fearon 27 , Wolf H. Fridman 2,4,28,29 , Jitka Fučíková 6,30 , Dmitry I. Gabrilovich 31","type":"article-journal","volume":"5"},"uris":["http://www.mendeley.com/documents/?uuid=eb752968-f8b0-4c92-877b-af663e8853a3"]}],"mendeley":{"formattedCitation":"&lt;sup&gt;53&lt;/sup&gt;","plainTextFormattedCitation":"53","previouslyFormattedCitation":"&lt;sup&gt;53&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53</w:t>
            </w:r>
            <w:r w:rsidRPr="002F2BEA">
              <w:rPr>
                <w:rFonts w:asciiTheme="majorBidi" w:hAnsiTheme="majorBidi" w:cstheme="majorBidi"/>
              </w:rPr>
              <w:fldChar w:fldCharType="end"/>
            </w:r>
            <w:r w:rsidRPr="002F2BEA">
              <w:rPr>
                <w:rFonts w:asciiTheme="majorBidi" w:hAnsiTheme="majorBidi" w:cstheme="majorBidi"/>
              </w:rPr>
              <w:t xml:space="preserve">  </w:t>
            </w:r>
          </w:p>
        </w:tc>
        <w:tc>
          <w:tcPr>
            <w:tcW w:w="9558" w:type="dxa"/>
            <w:tcBorders>
              <w:left w:val="nil"/>
              <w:right w:val="nil"/>
            </w:tcBorders>
          </w:tcPr>
          <w:p w14:paraId="6C982684" w14:textId="77777777" w:rsidR="00C171AF" w:rsidRPr="002F2BEA" w:rsidRDefault="00C171AF" w:rsidP="003B0468">
            <w:pPr>
              <w:suppressAutoHyphens/>
              <w:spacing w:line="276" w:lineRule="auto"/>
              <w:ind w:right="-109"/>
              <w:jc w:val="left"/>
              <w:rPr>
                <w:rFonts w:asciiTheme="majorBidi" w:hAnsiTheme="majorBidi" w:cstheme="majorBidi"/>
              </w:rPr>
            </w:pPr>
            <w:r w:rsidRPr="002F2BEA">
              <w:rPr>
                <w:rFonts w:asciiTheme="majorBidi" w:hAnsiTheme="majorBidi" w:cstheme="majorBidi"/>
              </w:rPr>
              <w:t>Fever</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chills</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rash</w:t>
            </w:r>
            <w:r w:rsidRPr="002F2BEA">
              <w:rPr>
                <w:rFonts w:asciiTheme="majorBidi" w:hAnsiTheme="majorBidi" w:cstheme="majorBidi"/>
                <w:color w:val="000000" w:themeColor="text1"/>
              </w:rPr>
              <w:t>/ erythema nodosum</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respiratory distress</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xml:space="preserve">, </w:t>
            </w:r>
            <w:r w:rsidRPr="002F2BEA">
              <w:rPr>
                <w:rFonts w:asciiTheme="majorBidi" w:hAnsiTheme="majorBidi" w:cstheme="majorBidi"/>
              </w:rPr>
              <w:t>GI AEs</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xml:space="preserve"> – (nausea</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vomiting</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diarrhoea</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rPr>
              <w:t>, anorexia</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Headache</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confusion</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rPr>
              <w:t>, depression</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rPr>
              <w:t>, psychiatric disorders</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rPr>
              <w:t>, myalgias</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fatigue</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arthralgias</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bone marrow depression</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w:t>
            </w:r>
            <w:r w:rsidRPr="002F2BEA">
              <w:rPr>
                <w:rFonts w:asciiTheme="majorBidi" w:hAnsiTheme="majorBidi" w:cstheme="majorBidi"/>
              </w:rPr>
              <w:t xml:space="preserve"> anaemia</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thrombocytopenia</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leukopenia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w:instrText>
            </w:r>
            <w:r w:rsidRPr="002F2BEA">
              <w:rPr>
                <w:rFonts w:asciiTheme="majorBidi" w:hAnsiTheme="majorBidi" w:cstheme="majorBidi"/>
                <w:lang w:val="it-IT"/>
              </w:rPr>
              <w:instrText xml:space="preserv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28</w:t>
            </w:r>
            <w:r w:rsidRPr="002F2BEA">
              <w:rPr>
                <w:rFonts w:asciiTheme="majorBidi" w:hAnsiTheme="majorBidi" w:cstheme="majorBidi"/>
              </w:rPr>
              <w:fldChar w:fldCharType="end"/>
            </w:r>
            <w:r w:rsidRPr="002F2BEA">
              <w:rPr>
                <w:rFonts w:asciiTheme="majorBidi" w:hAnsiTheme="majorBidi" w:cstheme="majorBidi"/>
                <w:color w:val="000000" w:themeColor="text1"/>
                <w:lang w:val="it-IT"/>
              </w:rPr>
              <w:t>, neutropenia</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w:instrText>
            </w:r>
            <w:r w:rsidRPr="002F2BEA">
              <w:rPr>
                <w:rFonts w:asciiTheme="majorBidi" w:hAnsiTheme="majorBidi" w:cstheme="majorBidi"/>
              </w:rPr>
              <w:instrText>α</w:instrText>
            </w:r>
            <w:r w:rsidRPr="002F2BEA">
              <w:rPr>
                <w:rFonts w:asciiTheme="majorBidi" w:hAnsiTheme="majorBidi" w:cstheme="majorBidi"/>
                <w:lang w:val="it-IT"/>
              </w:rPr>
              <w:instrText>-helical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28</w:t>
            </w:r>
            <w:r w:rsidRPr="002F2BEA">
              <w:rPr>
                <w:rFonts w:asciiTheme="majorBidi" w:hAnsiTheme="majorBidi" w:cstheme="majorBidi"/>
              </w:rPr>
              <w:fldChar w:fldCharType="end"/>
            </w:r>
            <w:r w:rsidRPr="002F2BEA">
              <w:rPr>
                <w:rFonts w:asciiTheme="majorBidi" w:hAnsiTheme="majorBidi" w:cstheme="majorBidi"/>
                <w:color w:val="000000" w:themeColor="text1"/>
                <w:lang w:val="it-IT"/>
              </w:rPr>
              <w:t>, thrombocytopenia</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w:instrText>
            </w:r>
            <w:r w:rsidRPr="002F2BEA">
              <w:rPr>
                <w:rFonts w:asciiTheme="majorBidi" w:hAnsiTheme="majorBidi" w:cstheme="majorBidi"/>
              </w:rPr>
              <w:instrText>α</w:instrText>
            </w:r>
            <w:r w:rsidRPr="002F2BEA">
              <w:rPr>
                <w:rFonts w:asciiTheme="majorBidi" w:hAnsiTheme="majorBidi" w:cstheme="majorBidi"/>
                <w:lang w:val="it-IT"/>
              </w:rPr>
              <w:instrText>-helical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28</w:t>
            </w:r>
            <w:r w:rsidRPr="002F2BEA">
              <w:rPr>
                <w:rFonts w:asciiTheme="majorBidi" w:hAnsiTheme="majorBidi" w:cstheme="majorBidi"/>
              </w:rPr>
              <w:fldChar w:fldCharType="end"/>
            </w:r>
            <w:r w:rsidRPr="002F2BEA">
              <w:rPr>
                <w:rFonts w:asciiTheme="majorBidi" w:hAnsiTheme="majorBidi" w:cstheme="majorBidi"/>
                <w:color w:val="000000" w:themeColor="text1"/>
                <w:lang w:val="it-IT"/>
              </w:rPr>
              <w:t xml:space="preserve">, </w:t>
            </w:r>
            <w:r w:rsidRPr="002F2BEA">
              <w:rPr>
                <w:rFonts w:asciiTheme="majorBidi" w:hAnsiTheme="majorBidi" w:cstheme="majorBidi"/>
                <w:lang w:val="it-IT"/>
              </w:rPr>
              <w:t>renal toxicity</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lang w:val="it-I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lang w:val="it-IT"/>
              </w:rPr>
              <w:t>, fluid retention</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lang w:val="it-I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lang w:val="it-IT"/>
              </w:rPr>
              <w:t>, capillary leak syndrome</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w:instrText>
            </w:r>
            <w:r w:rsidRPr="002F2BEA">
              <w:rPr>
                <w:rFonts w:asciiTheme="majorBidi" w:hAnsiTheme="majorBidi" w:cstheme="majorBidi"/>
                <w:color w:val="000000" w:themeColor="text1"/>
              </w:rPr>
              <w:instrText>":"Pankaj","non-dropping-particle":"","parse-names":false,"suffix":""}],"edition":"11","id":"ITEM-1","issued":{"date-parts":[["2012"]]},"publisher":"Elsevier","title":"Clinical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nephrotic syndrome</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xml:space="preserve">, </w:t>
            </w:r>
            <w:r w:rsidRPr="002F2BEA">
              <w:rPr>
                <w:rFonts w:asciiTheme="majorBidi" w:hAnsiTheme="majorBidi" w:cstheme="majorBidi"/>
              </w:rPr>
              <w:t>hepatic toxicity</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myocardial toxicity</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xml:space="preserve"> (hypotension</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-2","issued":{"date-parts":[["2009"]]},"publisher-place":"United States of America","title":"Clinical Pharmacology","type":"book"},"uris":["http://www.mendeley.com/documents/?uuid=295b7cca-1977-44d5-b420-082f10e569e9"]}],"mendeley":{"formattedCitation":"&lt;sup&gt;21,28&lt;/sup&gt;","plainTextFormattedCitation":"21,28","previouslyFormattedCitation":"&lt;sup&gt;21,28&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21,28</w:t>
            </w:r>
            <w:r w:rsidRPr="002F2BEA">
              <w:rPr>
                <w:rFonts w:asciiTheme="majorBidi" w:hAnsiTheme="majorBidi" w:cstheme="majorBidi"/>
                <w:color w:val="000000" w:themeColor="text1"/>
              </w:rPr>
              <w:fldChar w:fldCharType="end"/>
            </w:r>
            <w:r w:rsidRPr="002F2BEA">
              <w:rPr>
                <w:rFonts w:asciiTheme="majorBidi" w:hAnsiTheme="majorBidi" w:cstheme="majorBidi"/>
              </w:rPr>
              <w:t>, chest pain</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HF</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w:t>
            </w:r>
            <w:r w:rsidRPr="002F2BEA">
              <w:rPr>
                <w:rFonts w:asciiTheme="majorBidi" w:hAnsiTheme="majorBidi" w:cstheme="majorBidi"/>
                <w:color w:val="000000" w:themeColor="text1"/>
              </w:rPr>
              <w:t>, cough</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breathing difficulty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xml:space="preserve">, </w:t>
            </w:r>
            <w:r w:rsidRPr="002F2BEA">
              <w:rPr>
                <w:rFonts w:asciiTheme="majorBidi" w:hAnsiTheme="majorBidi" w:cstheme="majorBidi"/>
                <w:color w:val="000000" w:themeColor="text1"/>
              </w:rPr>
              <w:t>hypothyroidism</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p>
        </w:tc>
      </w:tr>
      <w:tr w:rsidR="00C171AF" w14:paraId="55C918F0" w14:textId="77777777" w:rsidTr="003B0468">
        <w:tc>
          <w:tcPr>
            <w:tcW w:w="1345" w:type="dxa"/>
            <w:vMerge/>
            <w:tcBorders>
              <w:left w:val="nil"/>
              <w:right w:val="nil"/>
            </w:tcBorders>
          </w:tcPr>
          <w:p w14:paraId="42F06825" w14:textId="77777777" w:rsidR="00C171AF" w:rsidRPr="002F2BEA" w:rsidRDefault="00C171AF" w:rsidP="003B0468">
            <w:pPr>
              <w:suppressAutoHyphens/>
              <w:spacing w:line="276" w:lineRule="auto"/>
              <w:jc w:val="left"/>
              <w:rPr>
                <w:rFonts w:asciiTheme="majorBidi" w:hAnsiTheme="majorBidi" w:cstheme="majorBidi"/>
              </w:rPr>
            </w:pPr>
          </w:p>
        </w:tc>
        <w:tc>
          <w:tcPr>
            <w:tcW w:w="1456" w:type="dxa"/>
            <w:tcBorders>
              <w:left w:val="nil"/>
              <w:right w:val="nil"/>
            </w:tcBorders>
          </w:tcPr>
          <w:p w14:paraId="1BD82005"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Targeted therapies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p>
          <w:p w14:paraId="4D512BB8" w14:textId="77777777" w:rsidR="00C171AF" w:rsidRPr="002F2BEA" w:rsidRDefault="00C171AF" w:rsidP="003B0468">
            <w:pPr>
              <w:suppressAutoHyphens/>
              <w:spacing w:line="276" w:lineRule="auto"/>
              <w:jc w:val="left"/>
              <w:rPr>
                <w:rFonts w:asciiTheme="majorBidi" w:hAnsiTheme="majorBidi" w:cstheme="majorBidi"/>
              </w:rPr>
            </w:pPr>
          </w:p>
        </w:tc>
        <w:tc>
          <w:tcPr>
            <w:tcW w:w="2329" w:type="dxa"/>
            <w:tcBorders>
              <w:left w:val="nil"/>
              <w:right w:val="nil"/>
            </w:tcBorders>
          </w:tcPr>
          <w:p w14:paraId="3E070BC2"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bortezomib</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p>
          <w:p w14:paraId="2F5AEA1E"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gefitinib</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p>
          <w:p w14:paraId="4DD4562B"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imatinib</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p>
        </w:tc>
        <w:tc>
          <w:tcPr>
            <w:tcW w:w="9558" w:type="dxa"/>
            <w:tcBorders>
              <w:left w:val="nil"/>
              <w:right w:val="nil"/>
            </w:tcBorders>
          </w:tcPr>
          <w:p w14:paraId="65FA7E38" w14:textId="77777777" w:rsidR="00C171AF" w:rsidRPr="002F2BEA" w:rsidRDefault="00C171AF" w:rsidP="003B0468">
            <w:pPr>
              <w:suppressAutoHyphens/>
              <w:spacing w:line="276" w:lineRule="auto"/>
              <w:ind w:right="-109"/>
              <w:jc w:val="left"/>
              <w:rPr>
                <w:rFonts w:asciiTheme="majorBidi" w:hAnsiTheme="majorBidi" w:cstheme="majorBidi"/>
              </w:rPr>
            </w:pPr>
            <w:r w:rsidRPr="002F2BEA">
              <w:rPr>
                <w:rFonts w:asciiTheme="majorBidi" w:hAnsiTheme="majorBidi" w:cstheme="majorBidi"/>
                <w:lang w:val="de-DE"/>
              </w:rPr>
              <w:t>GI AEs</w:t>
            </w:r>
            <w:r w:rsidRPr="002F2BEA">
              <w:rPr>
                <w:rFonts w:asciiTheme="majorBidi" w:hAnsiTheme="majorBidi" w:cstheme="majorBidi"/>
              </w:rPr>
              <w:fldChar w:fldCharType="begin" w:fldLock="1"/>
            </w:r>
            <w:r w:rsidRPr="002F2BEA">
              <w:rPr>
                <w:rFonts w:asciiTheme="majorBidi" w:hAnsiTheme="majorBidi" w:cstheme="majorBidi"/>
                <w:lang w:val="de-DE"/>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de-DE"/>
              </w:rPr>
              <w:t>28</w:t>
            </w:r>
            <w:r w:rsidRPr="002F2BEA">
              <w:rPr>
                <w:rFonts w:asciiTheme="majorBidi" w:hAnsiTheme="majorBidi" w:cstheme="majorBidi"/>
              </w:rPr>
              <w:fldChar w:fldCharType="end"/>
            </w:r>
            <w:r w:rsidRPr="002F2BEA">
              <w:rPr>
                <w:rFonts w:asciiTheme="majorBidi" w:hAnsiTheme="majorBidi" w:cstheme="majorBidi"/>
                <w:lang w:val="de-DE"/>
              </w:rPr>
              <w:t xml:space="preserve"> (Nausea</w:t>
            </w:r>
            <w:r w:rsidRPr="002F2BEA">
              <w:rPr>
                <w:rFonts w:asciiTheme="majorBidi" w:hAnsiTheme="majorBidi" w:cstheme="majorBidi"/>
              </w:rPr>
              <w:fldChar w:fldCharType="begin" w:fldLock="1"/>
            </w:r>
            <w:r w:rsidRPr="002F2BEA">
              <w:rPr>
                <w:rFonts w:asciiTheme="majorBidi" w:hAnsiTheme="majorBidi" w:cstheme="majorBidi"/>
                <w:lang w:val="de-DE"/>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de-DE"/>
              </w:rPr>
              <w:t>28</w:t>
            </w:r>
            <w:r w:rsidRPr="002F2BEA">
              <w:rPr>
                <w:rFonts w:asciiTheme="majorBidi" w:hAnsiTheme="majorBidi" w:cstheme="majorBidi"/>
              </w:rPr>
              <w:fldChar w:fldCharType="end"/>
            </w:r>
            <w:r w:rsidRPr="002F2BEA">
              <w:rPr>
                <w:rFonts w:asciiTheme="majorBidi" w:hAnsiTheme="majorBidi" w:cstheme="majorBidi"/>
                <w:lang w:val="de-DE"/>
              </w:rPr>
              <w:t>, vomiting</w:t>
            </w:r>
            <w:r w:rsidRPr="002F2BEA">
              <w:rPr>
                <w:rFonts w:asciiTheme="majorBidi" w:hAnsiTheme="majorBidi" w:cstheme="majorBidi"/>
              </w:rPr>
              <w:fldChar w:fldCharType="begin" w:fldLock="1"/>
            </w:r>
            <w:r w:rsidRPr="002F2BEA">
              <w:rPr>
                <w:rFonts w:asciiTheme="majorBidi" w:hAnsiTheme="majorBidi" w:cstheme="majorBidi"/>
                <w:lang w:val="de-DE"/>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de-DE"/>
              </w:rPr>
              <w:t>28</w:t>
            </w:r>
            <w:r w:rsidRPr="002F2BEA">
              <w:rPr>
                <w:rFonts w:asciiTheme="majorBidi" w:hAnsiTheme="majorBidi" w:cstheme="majorBidi"/>
              </w:rPr>
              <w:fldChar w:fldCharType="end"/>
            </w:r>
            <w:r w:rsidRPr="002F2BEA">
              <w:rPr>
                <w:rFonts w:asciiTheme="majorBidi" w:hAnsiTheme="majorBidi" w:cstheme="majorBidi"/>
                <w:lang w:val="de-DE"/>
              </w:rPr>
              <w:t>, diarrhea</w:t>
            </w:r>
            <w:r w:rsidRPr="002F2BEA">
              <w:rPr>
                <w:rFonts w:asciiTheme="majorBidi" w:hAnsiTheme="majorBidi" w:cstheme="majorBidi"/>
              </w:rPr>
              <w:fldChar w:fldCharType="begin" w:fldLock="1"/>
            </w:r>
            <w:r w:rsidRPr="002F2BEA">
              <w:rPr>
                <w:rFonts w:asciiTheme="majorBidi" w:hAnsiTheme="majorBidi" w:cstheme="majorBidi"/>
                <w:lang w:val="de-DE"/>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de-DE"/>
              </w:rPr>
              <w:t>28</w:t>
            </w:r>
            <w:r w:rsidRPr="002F2BEA">
              <w:rPr>
                <w:rFonts w:asciiTheme="majorBidi" w:hAnsiTheme="majorBidi" w:cstheme="majorBidi"/>
              </w:rPr>
              <w:fldChar w:fldCharType="end"/>
            </w:r>
            <w:r w:rsidRPr="002F2BEA">
              <w:rPr>
                <w:rFonts w:asciiTheme="majorBidi" w:hAnsiTheme="majorBidi" w:cstheme="majorBidi"/>
                <w:lang w:val="de-DE"/>
              </w:rPr>
              <w:t>, appetite loss</w:t>
            </w:r>
            <w:r w:rsidRPr="002F2BEA">
              <w:rPr>
                <w:rFonts w:asciiTheme="majorBidi" w:hAnsiTheme="majorBidi" w:cstheme="majorBidi"/>
              </w:rPr>
              <w:fldChar w:fldCharType="begin" w:fldLock="1"/>
            </w:r>
            <w:r w:rsidRPr="002F2BEA">
              <w:rPr>
                <w:rFonts w:asciiTheme="majorBidi" w:hAnsiTheme="majorBidi" w:cstheme="majorBidi"/>
                <w:lang w:val="de-DE"/>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w:instrText>
            </w:r>
            <w:r w:rsidRPr="00C171AF">
              <w:rPr>
                <w:rFonts w:asciiTheme="majorBidi" w:hAnsiTheme="majorBidi" w:cstheme="majorBidi"/>
              </w:rPr>
              <w:instrText xml:space="preserv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w:instrText>
            </w:r>
            <w:r w:rsidRPr="002F2BEA">
              <w:rPr>
                <w:rFonts w:asciiTheme="majorBidi" w:hAnsiTheme="majorBidi" w:cstheme="majorBidi"/>
              </w:rPr>
              <w:instrText>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constipation</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pyrexia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headache</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fatigue</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malaise</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weakness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peripheral neuropathy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hepatotoxicity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nephrotoxicity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periorbital/ lower limb edema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cardiac toxicity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xml:space="preserve"> (arrythmia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HF</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ischemia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MI</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pulmonary edema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pericardial effusion</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low-blood pressure</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de-DE"/>
              </w:rPr>
              <w:t>28</w:t>
            </w:r>
            <w:r w:rsidRPr="002F2BEA">
              <w:rPr>
                <w:rFonts w:asciiTheme="majorBidi" w:hAnsiTheme="majorBidi" w:cstheme="majorBidi"/>
              </w:rPr>
              <w:fldChar w:fldCharType="end"/>
            </w:r>
            <w:r w:rsidRPr="002F2BEA">
              <w:rPr>
                <w:rFonts w:asciiTheme="majorBidi" w:hAnsiTheme="majorBidi" w:cstheme="majorBidi"/>
                <w:lang w:val="de-DE"/>
              </w:rPr>
              <w:t>), myelosuppression</w:t>
            </w:r>
            <w:r w:rsidRPr="002F2BEA">
              <w:rPr>
                <w:rFonts w:asciiTheme="majorBidi" w:hAnsiTheme="majorBidi" w:cstheme="majorBidi"/>
              </w:rPr>
              <w:fldChar w:fldCharType="begin" w:fldLock="1"/>
            </w:r>
            <w:r w:rsidRPr="002F2BEA">
              <w:rPr>
                <w:rFonts w:asciiTheme="majorBidi" w:hAnsiTheme="majorBidi" w:cstheme="majorBidi"/>
                <w:lang w:val="de-DE"/>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rash</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r w:rsidRPr="002F2BEA">
              <w:rPr>
                <w:rFonts w:asciiTheme="majorBidi" w:hAnsiTheme="majorBidi" w:cstheme="majorBidi"/>
              </w:rPr>
              <w:t>, abnormal eyelash growth</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{"citationItems":[{"id":"ITEM-1","itemData":{"ISBN":"SBN-13: 978-0-7817-8938-7","abstract":"Predicting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Williams","given":"Lippincott","non-dropping-particle":"","parse-names":false,"suffix":""},{"dropping-particle":"","family":"Wilkins","given":"Lippincott","non-dropping-particle":"","parse-names":false,"suffix":""}],"edition":"3","id":"ITEM-1","issued":{"date-parts":[["2009"]]},"publisher-place":"United States of America","title":"Clinical Pharmacology","type":"book"},"uris":["http://www.mendeley.com/documents/?uuid=295b7cca-1977-44d5-b420-082f10e569e9"]}],"mendeley":{"formattedCitation":"&lt;sup&gt;28&lt;/sup&gt;","plainTextFormattedCitation":"28","previouslyFormattedCitation":"&lt;sup&gt;28&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28</w:t>
            </w:r>
            <w:r w:rsidRPr="002F2BEA">
              <w:rPr>
                <w:rFonts w:asciiTheme="majorBidi" w:hAnsiTheme="majorBidi" w:cstheme="majorBidi"/>
              </w:rPr>
              <w:fldChar w:fldCharType="end"/>
            </w:r>
          </w:p>
        </w:tc>
      </w:tr>
      <w:tr w:rsidR="00C171AF" w14:paraId="457A722A" w14:textId="77777777" w:rsidTr="003B0468">
        <w:tc>
          <w:tcPr>
            <w:tcW w:w="1345" w:type="dxa"/>
            <w:vMerge/>
            <w:tcBorders>
              <w:left w:val="nil"/>
              <w:right w:val="nil"/>
            </w:tcBorders>
          </w:tcPr>
          <w:p w14:paraId="1ECE8CED" w14:textId="77777777" w:rsidR="00C171AF" w:rsidRPr="002F2BEA" w:rsidRDefault="00C171AF" w:rsidP="003B0468">
            <w:pPr>
              <w:suppressAutoHyphens/>
              <w:spacing w:line="276" w:lineRule="auto"/>
              <w:jc w:val="left"/>
              <w:rPr>
                <w:rFonts w:asciiTheme="majorBidi" w:hAnsiTheme="majorBidi" w:cstheme="majorBidi"/>
              </w:rPr>
            </w:pPr>
          </w:p>
        </w:tc>
        <w:tc>
          <w:tcPr>
            <w:tcW w:w="1456" w:type="dxa"/>
            <w:tcBorders>
              <w:left w:val="nil"/>
              <w:right w:val="nil"/>
            </w:tcBorders>
          </w:tcPr>
          <w:p w14:paraId="75011C7D"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Others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{"citationItems":[{"id":"ITEM-1","itemData":{"ISSN":"19492553","abstract":"During the past decades, anticancer immunotherapy has evolved from a promising therapeutic option to a robust clinical reality. Many immunotherapeutic regimens are now approved by the US Food and Drug Administration and the European Medicines Agency for use in cancer patients, and many others are being investigated as standalone therapeutic interventions or combined with conventional treatments in clinical studies. Immunotherapies may be subdivided into \"passive\" and \"active\" based on their ability to engage the host immune system against cancer. Since the anticancer activity of most passive immunotherapeutics (including tumor-targeting monoclonal antibodies) also relies on the host immune system, this classification does not properly reflect the complexity of the drug-host-tumor interaction. Alternatively, anticancer immunotherapeutics can be classified according to their antigen specificity. While some immunotherapies specifically target one (or a few) defined tumor-associated antigen(s), others operate in a relatively non-specific manner and boost natural or therapy-elicited anticancer immune responses of unknown and often broad specificity. Here, we propose a critical, integrated classification of anticancer immunotherapies and discuss the clinical relevance of these approaches.","author":[{"dropping-particle":"","family":"Galluzzi","given":"Lorenzo","non-dropping-particle":"","parse-names":false,"suffix":""},{"dropping-particle":"","family":"Vacchelli","given":"Erika","non-dropping-particle":"","parse-names":false,"suffix":""},{"dropping-particle":"","family":"Pedro","given":"José-Manuel Bravo-San","non-dropping-particle":"","parse-names":false,"suffix":""},{"dropping-particle":"","family":"Buqué","given":"Aitziber","non-dropping-particle":"","parse-names":false,"suffix":""},{"dropping-particle":"","family":"Senovilla","given":"Laura","non-dropping-particle":"","parse-names":false,"suffix":""},{"dropping-particle":"","family":"Baracco","given":"Elisa Elena","non-dropping-particle":"","parse-names":false,"suffix":""},{"dropping-particle":"","family":"Bloy","given":"Norma","non-dropping-particle":"","parse-names":false,"suffix":""},{"dropping-particle":"","family":"Castoldi","given":"Francesca","non-dropping-particle":"","parse-names":false,"suffix":""},{"dropping-particle":"","family":"Abastado","given":"Jean-Pierre","non-dropping-particle":"","parse-names":false,"suffix":""},{"dropping-particle":"","family":"Agostinis","given":"Patrizia","non-dropping-particle":"","parse-names":false,"suffix":""},{"dropping-particle":"","family":"Apte","given":"Ron N","non-dropping-particle":"","parse-names":false,"suffix":""},{"dropping-particle":"","family":"Aranda","given":"Fernando","non-dropping-particle":"","parse-names":false,"suffix":""},{"dropping-particle":"","family":"Ayyoub","given":"Maha","non-dropping-particle":"","parse-names":false,"suffix":""},{"dropping-particle":"","family":"Beckhove","given":"Philipp","non-dropping-particle":"","parse-names":false,"suffix":""},{"dropping-particle":"","family":"Blay","given":"Jean-Yves","non-dropping-particle":"","parse-names":false,"suffix":""},{"dropping-particle":"","family":"Okada","given":"Hideho","non-dropping-particle":"","parse-names":false,"suffix":""},{"dropping-particle":"","family":"Palucka","given":"Anna Karolina","non-dropping-particle":"","parse-names":false,"suffix":""},{"dropping-particle":"","family":"Peter","given":"Marcus E","non-dropping-particle":"","parse-names":false,"suffix":""},{"dropping-particle":"","family":"Pienta","given":"Kenneth J","non-dropping-particle":"","parse-names":false,"suffix":""},{"dropping-particle":"","family":"Porgador","given":"Angel","non-dropping-particle":"","parse-names":false,"suffix":""},{"dropping-particle":"","family":"Prendergast","given":"George C","non-dropping-particle":"","parse-names":false,"suffix":""},{"dropping-particle":"","family":"Rabinovich","given":"Gabriel A","non-dropping-particle":"","parse-names":false,"suffix":""},{"dropping-particle":"","family":"Restifo","given":"Nicholas P","non-dropping-particle":"","parse-names":false,"suffix":""},{"dropping-particle":"","family":"Rizvi","given":"Naiyer","non-dropping-particle":"","parse-names":false,"suffix":""},{"dropping-particle":"","family":"Sautès-Fridman","given":"Catherine","non-dropping-particle":"","parse-names":false,"suffix":""},{"dropping-particle":"","family":"Schreiber","given":"Hans","non-dropping-particle":"","parse-names":false,"suffix":""},{"dropping-particle":"","family":"Seliger","given":"Barbara","non-dropping-particle":"","parse-names":false,"suffix":""},{"dropping-particle":"","family":"Shiku","given":"Hiroshi","non-dropping-particle":"","parse-names":false,"suffix":""},{"dropping-particle":"","family":"Silva-Santos","given":"Bruno","non-dropping-particle":"","parse-names":false,"suffix":""},{"dropping-particle":"","family":"Smyth","given":"Mark J","non-dropping-particle":"","parse-names":false,"suffix":""},{"dropping-particle":"","family":"Speiser","given":"Daniel E","non-dropping-particle":"","parse-names":false,"suffix":""},{"dropping-particle":"","family":"Spisek","given":"Radek","non-dropping-particle":"","parse-names":false,"suffix":""},{"dropping-particle":"","family":"Srivastava","given":"Pramod K","non-dropping-particle":"","parse-names":false,"suffix":""},{"dropping-particle":"","family":"Talmadge","given":"James E","non-dropping-particle":"","parse-names":false,"suffix":""},{"dropping-particle":"","family":"Tartour","given":"Eric","non-dropping-particle":"","parse-names":false,"suffix":""},{"dropping-particle":"","family":"Burg","given":"Sjoerd H","non-dropping-particle":"Van Der","parse-names":false,"suffix":""},{"dropping-particle":"","family":"Eynde","given":"Benoît J","non-dropping-particle":"Van Den","parse-names":false,"suffix":""},{"dropping-particle":"","family":"Vile","given":"Richard","non-dropping-particle":"","parse-names":false,"suffix":""},{"dropping-particle":"","family":"Wagner","given":"Hermann","non-dropping-particle":"","parse-names":false,"suffix":""},{"dropping-particle":"","family":"Weber","given":"Jeffrey S","non-dropping-particle":"","parse-names":false,"suffix":""},{"dropping-particle":"","family":"Whiteside","given":"Theresa L","non-dropping-particle":"","parse-names":false,"suffix":""},{"dropping-particle":"","family":"Wolchok","given":"Jedd D","non-dropping-particle":"","parse-names":false,"suffix":""},{"dropping-particle":"","family":"Zitvogel","given":"Laurence","non-dropping-particle":"","parse-names":false,"suffix":""},{"dropping-particle":"","family":"Zou","given":"Weiping","non-dropping-particle":"","parse-names":false,"suffix":""},{"dropping-particle":"","family":"Kroemer","given":"Guido","non-dropping-particle":"","parse-names":false,"suffix":""}],"container-title":"François Ghiringhelli","id":"ITEM-1","issue":"24","issued":{"date-parts":[["2014"]]},"page":"66","title":"Aled Clayton 23,24 , Mario P. Colombo 19 , Lisa Coussens 25 , Madhav V. Dhodapkar 26 , Alexander M. Eggermont 3 , Douglas T. Fearon 27 , Wolf H. Fridman 2,4,28,29 , Jitka Fučíková 6,30 , Dmitry I. Gabrilovich 31","type":"article-journal","volume":"5"},"uris":["http://www.mendeley.com/documents/?uuid=eb752968-f8b0-4c92-877b-af663e8853a3"]},{"id":"ITEM-2","itemData":{"DOI":"10.4081/hr.2015.5704","ISSN":"20388330","abstract":"Immunomodulatory drugs (IMiDs) currently used in the treatment of multiple myeloma, are thalidomide, lenalidomide and pomalidomide. One of the most common side effects of thalidomide is neurotoxicity, predominantly in the form of peripheral neuropathy. We report 6 cases of significant central neurotoxicity associated with IMiD therapy. Treatment with thalidomide (1 patient), lenalidomide (4 patients), and pomalidomide (1 patient) was associated with various clinical manifestations of central neurotoxicity, including reversible coma, amnesia, expressive aphasia, and dysarthria. Central neurotoxicity should be recognized as an important side effect of IMiD therapy.","author":[{"dropping-particle":"","family":"Patel","given":"Urmeel H.","non-dropping-particle":"","parse-names":false,"suffix":""},{"dropping-particle":"","family":"Mir","given":"Muhammad A.","non-dropping-particle":"","parse-names":false,"suffix":""},{"dropping-particle":"","family":"Sivik","given":"Jeffrey K.","non-dropping-particle":"","parse-names":false,"suffix":""},{"dropping-particle":"","family":"Raheja","given":"Divisha","non-dropping-particle":"","parse-names":false,"suffix":""},{"dropping-particle":"","family":"Pandey","given":"Manoj K.","non-dropping-particle":"","parse-names":false,"suffix":""},{"dropping-particle":"","family":"Talamo","given":"Giampaolo","non-dropping-particle":"","parse-names":false,"suffix":""}],"container-title":"Hematology Reports","id":"ITEM-2","issue":"1","issued":{"date-parts":[["2015"]]},"page":"12-14","title":"Central neurotoxicity of immunomodulatory drugs in multiple myeloma","type":"article-journal","volume":"7"},"uris":["http://www.mendeley.com/documents/?uuid=1d00722a-96c0-4cbb-8077-c214b423187f"]},{"id":"ITEM-3","itemData":{"ISBN":"9780702053627","id":"ITEM-3","issued":{"date-parts":[["2016"]]},"publisher":"Elsevier","title":"Rang, H.P Ritter, J.M. Flower, R.J. Henderson, G.","type":"book"},"uris":["http://www.mendeley.com/documents/?uuid=03a538b9-d110-461b-b3aa-fd988daa0f3f"]}],"mendeley":{"formattedCitation":"&lt;sup&gt;27,33,53&lt;/sup&gt;","plainTextFormattedCitation":"27,33,53","previouslyFormattedCitation":"&lt;sup&gt;27,33,53&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27,33,53</w:t>
            </w:r>
            <w:r w:rsidRPr="002F2BEA">
              <w:rPr>
                <w:rFonts w:asciiTheme="majorBidi" w:hAnsiTheme="majorBidi" w:cstheme="majorBidi"/>
              </w:rPr>
              <w:fldChar w:fldCharType="end"/>
            </w:r>
          </w:p>
        </w:tc>
        <w:tc>
          <w:tcPr>
            <w:tcW w:w="2329" w:type="dxa"/>
            <w:tcBorders>
              <w:left w:val="nil"/>
              <w:right w:val="nil"/>
            </w:tcBorders>
          </w:tcPr>
          <w:p w14:paraId="46AED0AF"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Thalidomide</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p>
          <w:p w14:paraId="3B88AB5B"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Lenalidomide</w:t>
            </w:r>
          </w:p>
          <w:p w14:paraId="05229D7A"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Pomalidomide</w:t>
            </w:r>
          </w:p>
        </w:tc>
        <w:tc>
          <w:tcPr>
            <w:tcW w:w="9558" w:type="dxa"/>
            <w:tcBorders>
              <w:left w:val="nil"/>
              <w:right w:val="nil"/>
            </w:tcBorders>
          </w:tcPr>
          <w:p w14:paraId="1BFFF583" w14:textId="77777777" w:rsidR="00C171AF" w:rsidRPr="002F2BEA" w:rsidRDefault="00C171AF" w:rsidP="003B0468">
            <w:pPr>
              <w:suppressAutoHyphens/>
              <w:spacing w:line="276" w:lineRule="auto"/>
              <w:ind w:right="-109"/>
              <w:jc w:val="left"/>
              <w:rPr>
                <w:rFonts w:asciiTheme="majorBidi" w:hAnsiTheme="majorBidi" w:cstheme="majorBidi"/>
              </w:rPr>
            </w:pPr>
            <w:r w:rsidRPr="002F2BEA">
              <w:rPr>
                <w:rFonts w:asciiTheme="majorBidi" w:hAnsiTheme="majorBidi" w:cstheme="majorBidi"/>
              </w:rPr>
              <w:t>GI AEs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mendeley":{"formattedCitation":"&lt;sup&gt;24&lt;/sup&gt;","plainTextFormattedCitation":"24","previouslyFormattedCitation":"&lt;sup&gt;24&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24</w:t>
            </w:r>
            <w:r w:rsidRPr="002F2BEA">
              <w:rPr>
                <w:rFonts w:asciiTheme="majorBidi" w:hAnsiTheme="majorBidi" w:cstheme="majorBidi"/>
              </w:rPr>
              <w:fldChar w:fldCharType="end"/>
            </w:r>
            <w:r w:rsidRPr="002F2BEA">
              <w:rPr>
                <w:rFonts w:asciiTheme="majorBidi" w:hAnsiTheme="majorBidi" w:cstheme="majorBidi"/>
              </w:rPr>
              <w:t xml:space="preserve"> (nausea, vomiting, diarrhoea, constipation)</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{"citationItems":[{"id":"ITEM-1","itemData":{"DOI":"10.3389/fphar.2016.00414","author":[{"dropping-particle":"","family":"Mcquade","given":"Rachel M","non-dropping-particle":"","parse-names":false,"suffix":""},{"dropping-particle":"","family":"Stojanovska","given":"Vanesa","non-dropping-particle":"","parse-names":false,"suffix":""},{"dropping-particle":"","family":"Abalo","given":"Raquel","non-dropping-particle":"","parse-names":false,"suffix":""},{"dropping-particle":"","family":"Bornstein","given":"Joel C","non-dropping-particle":"","parse-names":false,"suffix":""},{"dropping-particle":"","family":"Nurgali","given":"Kulmira","non-dropping-particle":"","parse-names":false,"suffix":""}],"id":"ITEM-1","issue":"November","issued":{"date-parts":[["2016"]]},"page":"1-14","title":"Chemotherapy-Induced Constipation and Diarrhea : Pathophysiology , Current and Emerging Treatments","type":"article-journal","volume":"7"},"uris":["http://www.mendeley.com/documents/?uuid=927b86cc-7ddd-47b0-996f-12402eddcefe"]}],"mendeley":{"formattedCitation":"&lt;sup&gt;24&lt;/sup&gt;","plainTextFormattedCitation":"24","previouslyFormattedCitation":"&lt;sup&gt;24&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24</w:t>
            </w:r>
            <w:r w:rsidRPr="002F2BEA">
              <w:rPr>
                <w:rFonts w:asciiTheme="majorBidi" w:hAnsiTheme="majorBidi" w:cstheme="majorBidi"/>
              </w:rPr>
              <w:fldChar w:fldCharType="end"/>
            </w:r>
            <w:r w:rsidRPr="002F2BEA">
              <w:rPr>
                <w:rFonts w:asciiTheme="majorBidi" w:hAnsiTheme="majorBidi" w:cstheme="majorBidi"/>
              </w:rPr>
              <w:t>, Neurotoxicity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G.","type":"book"},"uris":["http://www.mendeley.com/documents/?uuid=03a538b9-d110-461b-b3aa-fd988daa0f3f"]},{"id":"ITEM-2","itemData":{"DOI":"10.4081/hr.2015.5704","ISSN":"20388330","abstract":"Immunomodulatory drugs (IMiDs) currently used in the treatment of multiple myeloma, are thalidomide, lenalidomide and pomalidomide. One of the most common side effects of thalidomide is neurotoxicity, predominantly in the form of peripheral neuropathy. We report 6 cases of significant central neurotoxicity associated with IMiD therapy. Treatment with thalidomide (1 patient), lenalidomide (4 patients), and pomalidomide (1 patient) was associated with various clinical manifestations of central neurotoxicity, including reversible coma, amnesia, expressive aphasia, and dysarthria. Central neurotoxicity should be recognized as an important side effect of IMiD therapy.","author":[{"dropping-particle":"","family":"Patel","given":"Urmeel H.","non-dropping-particle":"","parse-names":false,"suffix":""},{"dropping-particle":"","family":"Mir","given":"Muhammad A.","non-dropping-particle":"","parse-names":false,"suffix":""},{"dropping-particle":"","family":"Sivik","given":"Jeffrey K.","non-dropping-particle":"","parse-names":false,"suffix":""},{"dropping-particle":"","family":"Raheja","given":"Divisha","non-dropping-particle":"","parse-names":false,"suffix":""},{"dropping-particle":"","family":"Pandey","given":"Manoj K.","non-dropping-particle":"","parse-names":false,"suffix":""},{"dropping-particle":"","family":"Talamo","given":"Giampaolo","non-dropping-particle":"","parse-names":false,"suffix":""}],"container-title":"Hematology Reports","id":"ITEM-2","issue":"1","issued":{"date-parts":[["2015"]]},"page":"12-14","title":"Central neurotoxicity of immunomodulatory drugs in multiple myeloma","type":"article-journal","volume":"7"},"uris":["http://www.mendeley.com/documents/?uuid=1d00722a-96c0-4cbb-8077-c214b423187f"]}],"mendeley":{"formattedCitation":"&lt;sup&gt;27,33&lt;/sup&gt;","plainTextFormattedCitation":"27,33","previouslyFormattedCitation":"&lt;sup&gt;27,33&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27,33</w:t>
            </w:r>
            <w:r w:rsidRPr="002F2BEA">
              <w:rPr>
                <w:rFonts w:asciiTheme="majorBidi" w:hAnsiTheme="majorBidi" w:cstheme="majorBidi"/>
              </w:rPr>
              <w:fldChar w:fldCharType="end"/>
            </w:r>
            <w:r w:rsidRPr="002F2BEA">
              <w:rPr>
                <w:rFonts w:asciiTheme="majorBidi" w:hAnsiTheme="majorBidi" w:cstheme="majorBidi"/>
              </w:rPr>
              <w:t xml:space="preserve"> (peripheral neutopathy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rPr>
              <w:t>, weakness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rPr>
              <w:t>, sensory loss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rPr>
              <w:t>, reversible coma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{"citationItems":[{"id":"ITEM-1","itemData":{"DOI":"10.4081/hr.2015.5704","ISSN":"20388330","abstract":"Immunomodulatory drugs (IMiDs) currently used in the treatment of multiple myeloma, are thalidomide, lenalidomide and pomalidomide. One of the most common side effects of thalidomide is neurotoxicity, predominantly in the form of peripheral neuropathy. We report 6 cases of significant central neurotoxicity associated with IMiD therapy. Treatment with thalidomide (1 patient), lenalidomide (4 patients), and pomalidomide (1 patient) was associated with various clinical manifestations of central neurotoxicity, including reversible coma, amnesia, expressive aphasia, and dysarthria. Central neurotoxicity should be recognized as an important side effect of IMiD therapy.","author":[{"dropping-particle":"","family":"Patel","given":"Urmeel H.","non-dropping-particle":"","parse-names":false,"suffix":""},{"dropping-particle":"","family":"Mir","given":"Muhammad A.","non-dropping-particle":"","parse-names":false,"suffix":""},{"dropping-particle":"","family":"Sivik","given":"Jeffrey K.","non-dropping-particle":"","parse-names":false,"suffix":""},{"dropping-particle":"","family":"Raheja","given":"Divisha","non-dropping-particle":"","parse-names":false,"suffix":""},{"dropping-particle":"","family":"Pandey","given":"Manoj K.","non-dropping-particle":"","parse-names":false,"suffix":""},{"dropping-particle":"","family":"Talamo","given":"Giampaolo","non-dropping-particle":"","parse-names":false,"suffix":""}],"container-title":"Hematology Reports","id":"ITEM-1","issue":"1","issued":{"date-parts":[["2015"]]},"page":"12-14","title":"Central neurotoxicity of immunomodulatory drugs in multiple myeloma","type":"article-journal","volume":"7"},"uris":["http://www.mendeley.com/documents/?uuid=1d00722a-96c0-4cbb-8077-c214b423187f"]}],"mendeley":{"formattedCitation":"&lt;sup&gt;33&lt;/sup&gt;","plainTextFormattedCitation":"33","previouslyFormattedCitation":"&lt;sup&gt;33&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33</w:t>
            </w:r>
            <w:r w:rsidRPr="002F2BEA">
              <w:rPr>
                <w:rFonts w:asciiTheme="majorBidi" w:hAnsiTheme="majorBidi" w:cstheme="majorBidi"/>
              </w:rPr>
              <w:fldChar w:fldCharType="end"/>
            </w:r>
            <w:r w:rsidRPr="002F2BEA">
              <w:rPr>
                <w:rFonts w:asciiTheme="majorBidi" w:hAnsiTheme="majorBidi" w:cstheme="majorBidi"/>
              </w:rPr>
              <w:t>, amnesia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{"citationItems":[{"id":"ITEM-1","itemData":{"DOI":"10.4081/hr.2015.5704","ISSN":"20388330","abstract":"Immunomodulatory drugs (IMiDs) currently used in the treatment of multiple myeloma, are thalidomide, lenalidomide and pomalidomide. One of the most common side effects of thalidomide is neurotoxicity, predominantly in the form of peripheral neuropathy. We report 6 cases of significant central neurotoxicity associated with IMiD therapy. Treatment with thalidomide (1 patient), lenalidomide (4 patients), and pomalidomide (1 patient) was associated with various clinical manifestations of central neurotoxicity, including reversible coma, amnesia, expressive aphasia, and dysarthria. Central neurotoxicity should be recognized as an important side effect of IMiD therapy.","author":[{"dropping-particle":"","family":"Patel","given":"Urmeel H.","non-dropping-particle":"","parse-names":false,"suffix":""},{"dropping-particle":"","family":"Mir","given":"Muhammad A.","non-dropping-particle":"","parse-names":false,"suffix":""},{"dropping-particle":"","family":"Sivik","given":"Jeffrey K.","non-dropping-particle":"","parse-names":false,"suffix":""},{"dropping-particle":"","family":"Raheja","given":"Divisha","non-dropping-particle":"","parse-names":false,"suffix":""},{"dropping-particle":"","family":"Pandey","given":"Manoj K.","non-dropping-particle":"","parse-names":false,"suffix":""},{"dropping-particle":"","family":"Talamo","given":"Giampaolo","non-dropping-particle":"","parse-names":false,"suffix":""}],"container-title":"Hematology Reports","id":"ITEM-1","issue":"1","issued":{"date-parts":[["2015"]]},"page":"12-14","title":"Central neurotoxicity of immunomodulatory drugs in multiple myeloma","type":"article-journal","volume":"7"},"uris":["http://www.mendeley.com/documents/?uuid=1d00722a-96c0-4cbb-8077-c214b423187f"]}],"mendeley":{"formattedCitation":"&lt;sup&gt;33&lt;/sup&gt;","plainTextFormattedCitation":"33","previouslyFormattedCitation":"&lt;sup&gt;33&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33</w:t>
            </w:r>
            <w:r w:rsidRPr="002F2BEA">
              <w:rPr>
                <w:rFonts w:asciiTheme="majorBidi" w:hAnsiTheme="majorBidi" w:cstheme="majorBidi"/>
              </w:rPr>
              <w:fldChar w:fldCharType="end"/>
            </w:r>
            <w:r w:rsidRPr="002F2BEA">
              <w:rPr>
                <w:rFonts w:asciiTheme="majorBidi" w:hAnsiTheme="majorBidi" w:cstheme="majorBidi"/>
              </w:rPr>
              <w:t>, expressive aphasia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{"citationItems":[{"id":"ITEM-1","itemData":{"DOI":"10.4081/hr.2015.5704","ISSN":"20388330","abstract":"Immunomodulatory drugs (IMiDs) currently used in the treatment of multiple myeloma, are thalidomide, lenalidomide and pomalidomide. One of the most common side effects of thalidomide is neurotoxicity, predominantly in the form of peripheral neuropathy. We report 6 cases of significant central neurotoxicity associated with IMiD therapy. Treatment with thalidomide (1 patient), lenalidomide (4 patients), and pomalidomide (1 patient) was associated with various clinical manifestations of central neurotoxicity, including reversible coma, amnesia, expressive aphasia, and dysarthria. Central neurotoxicity should be recognized as an important side effect of IMiD therapy.","author":[{"dropping-particle":"","family":"Patel","given":"Urmeel H.","non-dropping-particle":"","parse-names":false,"suffix":""},{"dropping-particle":"","family":"Mir","given":"Muhammad A.","non-dropping-particle":"","parse-names":false,"suffix":""},{"dropping-particle":"","family":"Sivik","given":"Jeffrey K.","non-dropping-particle":"","parse-names":false,"suffix":""},{"dropping-particle":"","family":"Raheja","given":"Divisha","non-dropping-particle":"","parse-names":false,"suffix":""},{"dropping-particle":"","family":"Pandey","given":"Manoj K.","non-dropping-particle":"","parse-names":false,"suffix":""},{"dropping-particle":"","family":"Talamo","given":"Giampaolo","non-dropping-particle":"","parse-names":false,"suffix":""}],"container-title":"Hematology Reports","id":"ITEM-1","issue":"1","issued":{"date-parts":[["2015"]]},"page":"12-14","title":"Central neurotoxicity of immunomodulatory drugs in multiple myeloma","type":"article-journal","volume":"7"},"uris":["http://www.mendeley.com/documents/?uuid=1d00722a-96c0-4cbb-8077-c214b423187f"]}],"mendeley":{"formattedCitation":"&lt;sup&gt;33&lt;/sup&gt;","plainTextFormattedCitation":"33","previouslyFormattedCitation":"&lt;sup&gt;33&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33</w:t>
            </w:r>
            <w:r w:rsidRPr="002F2BEA">
              <w:rPr>
                <w:rFonts w:asciiTheme="majorBidi" w:hAnsiTheme="majorBidi" w:cstheme="majorBidi"/>
              </w:rPr>
              <w:fldChar w:fldCharType="end"/>
            </w:r>
            <w:r w:rsidRPr="002F2BEA">
              <w:rPr>
                <w:rFonts w:asciiTheme="majorBidi" w:hAnsiTheme="majorBidi" w:cstheme="majorBidi"/>
              </w:rPr>
              <w:t>, dysarthria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{"citationItems":[{"id":"ITEM-1","itemData":{"DOI":"10.4081/hr.2015.5704","ISSN":"20388330","abstract":"Immunomodulatory drugs (IMiDs) currently used in the treatment of multiple myeloma, are thalidomide, lenalidomide and pomalidomide. One of the most common side effects of thalidomide is neurotoxicity, predominantly in the form of peripheral neuropathy. We report 6 cases of significant central neurotoxicity associated with IMiD therapy. Treatment with thalidomide (1 patient), lenalidomide (4 patients), and pomalidomide (1 patient) was associated with various clinical manifestations of central neurotoxicity, including reversible coma, amnesia, expressive aphasia, and dysarthria. Central neurotoxicity should be recognized as an important side effect of IMiD therapy.","author":[{"dropping-particle":"","family":"Patel","given":"Urmeel H.","non-dropping-particle":"","parse-names":false,"suffix":""},{"dropping-particle":"","family":"Mir","given":"Muhammad A.","non-dropping-particle":"","parse-names":false,"suffix":""},{"dropping-particle":"","family":"Sivik","given":"Jeffrey K.","non-dropping-particle":"","parse-names":false,"suffix":""},{"dropping-particle":"","family":"Raheja","given":"Divisha","non-dropping-particle":"","parse-names":false,"suffix":""},{"dropping-particle":"","family":"Pandey","given":"Manoj K.","non-dropping-particle":"","parse-names":false,"suffix":""},{"dropping-particle":"","family":"Talamo","given":"Giampaolo","non-dropping-particle":"","parse-names":false,"suffix":""}],"container-title":"Hematology Reports","id":"ITEM-1","issue":"1","issued":{"date-parts":[["2015"]]},"page":"12-14","title":"Central neurotoxicity of immunomodulatory drugs in multiple myeloma","type":"article-journal","volume":"7"},"uris":["http://www.mendeley.com/documents/?uuid=1d00722a-96c0-4cbb-8077-c214b423187f"]}],"mendeley":{"formattedCitation":"&lt;sup&gt;33&lt;/sup&gt;","plainTextFormattedCitation":"33","previouslyFormattedCitation":"&lt;sup&gt;33&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33</w:t>
            </w:r>
            <w:r w:rsidRPr="002F2BEA">
              <w:rPr>
                <w:rFonts w:asciiTheme="majorBidi" w:hAnsiTheme="majorBidi" w:cstheme="majorBidi"/>
              </w:rPr>
              <w:fldChar w:fldCharType="end"/>
            </w:r>
            <w:r w:rsidRPr="002F2BEA">
              <w:rPr>
                <w:rFonts w:asciiTheme="majorBidi" w:hAnsiTheme="majorBidi" w:cstheme="majorBidi"/>
              </w:rPr>
              <w:t>), Bone marrow suppression and neutrpenia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rPr>
              <w:t xml:space="preserve"> (mainly by lenalidomide), teratogenicity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p>
        </w:tc>
      </w:tr>
      <w:tr w:rsidR="00C171AF" w14:paraId="652C20A8" w14:textId="77777777" w:rsidTr="003B0468">
        <w:tc>
          <w:tcPr>
            <w:tcW w:w="1345" w:type="dxa"/>
            <w:vMerge w:val="restart"/>
            <w:tcBorders>
              <w:left w:val="nil"/>
              <w:right w:val="nil"/>
            </w:tcBorders>
          </w:tcPr>
          <w:p w14:paraId="057A8B5B"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Hormone therapy</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Pharmacology","type":"book"},"uris":["http://www.mendeley.com/documents/?uuid=5beec3d8-e650-4eb4-801e-10a6a7c655f5"]},{"id":"ITEM-2","itemData":{"ISBN":"9780702053627","id":"ITEM-2","issued":{"date-parts":[["2016"]]},"publisher":"Elsevier","title":"Rang, H.P Ritter, J.M. Flower, R.J. Henderson, G.","type":"book"},"uris":["http://www.mendeley.com/documents/?uuid=03a538b9-d110-461b-b3aa-fd988daa0f3f"]}],"mendeley":{"formattedCitation":"&lt;sup&gt;21,27&lt;/sup&gt;","plainTextFormattedCitation":"21,27","previouslyFormattedCitation":"&lt;sup&gt;21,27&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21,27</w:t>
            </w:r>
            <w:r w:rsidRPr="002F2BEA">
              <w:rPr>
                <w:rFonts w:asciiTheme="majorBidi" w:hAnsiTheme="majorBidi" w:cstheme="majorBidi"/>
                <w:color w:val="000000" w:themeColor="text1"/>
              </w:rPr>
              <w:fldChar w:fldCharType="end"/>
            </w:r>
          </w:p>
        </w:tc>
        <w:tc>
          <w:tcPr>
            <w:tcW w:w="1456" w:type="dxa"/>
            <w:tcBorders>
              <w:left w:val="nil"/>
              <w:right w:val="nil"/>
            </w:tcBorders>
          </w:tcPr>
          <w:p w14:paraId="4940CA38"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Hormone analogues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rPr>
              <w:t xml:space="preserve"> </w:t>
            </w:r>
          </w:p>
        </w:tc>
        <w:tc>
          <w:tcPr>
            <w:tcW w:w="2329" w:type="dxa"/>
            <w:tcBorders>
              <w:left w:val="nil"/>
              <w:right w:val="nil"/>
            </w:tcBorders>
          </w:tcPr>
          <w:p w14:paraId="559AADF8"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Medroxyprogesterone, goserelin, leuporelin</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Pharmacology","type":"book"},"uris":["http://www.mendeley.com/documents/?uuid=5beec3d8-e650-4eb4-801e-10a6a7c655f5"]},{"id":"ITEM-2","itemData":{"ISBN":"9780702053627","id":"ITEM-2","issued":{"date-parts":[["2016"]]},"publisher":"Elsevier","title":"Rang, H.P Ritter, J.M. Flower, R.J. Henderson, G.","type":"book"},"uris":["http://www.mendeley.com/documents/?uuid=03a538b9-d110-461b-b3aa-fd988daa0f3f"]}],"mendeley":{"formattedCitation":"&lt;sup&gt;21,27&lt;/sup&gt;","plainTextFormattedCitation":"21,27","previouslyFormattedCitation":"&lt;sup&gt;21,27&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21,27</w:t>
            </w:r>
            <w:r w:rsidRPr="002F2BEA">
              <w:rPr>
                <w:rFonts w:asciiTheme="majorBidi" w:hAnsiTheme="majorBidi" w:cstheme="majorBidi"/>
                <w:color w:val="000000" w:themeColor="text1"/>
              </w:rPr>
              <w:fldChar w:fldCharType="end"/>
            </w:r>
          </w:p>
        </w:tc>
        <w:tc>
          <w:tcPr>
            <w:tcW w:w="9558" w:type="dxa"/>
            <w:tcBorders>
              <w:left w:val="nil"/>
              <w:right w:val="nil"/>
            </w:tcBorders>
          </w:tcPr>
          <w:p w14:paraId="2A10E4F4" w14:textId="77777777" w:rsidR="00C171AF" w:rsidRPr="002F2BEA" w:rsidRDefault="00C171AF" w:rsidP="003B0468">
            <w:pPr>
              <w:suppressAutoHyphens/>
              <w:spacing w:line="276" w:lineRule="auto"/>
              <w:ind w:right="-109"/>
              <w:jc w:val="left"/>
              <w:rPr>
                <w:rFonts w:asciiTheme="majorBidi" w:hAnsiTheme="majorBidi" w:cstheme="majorBidi"/>
              </w:rPr>
            </w:pPr>
            <w:r w:rsidRPr="002F2BEA">
              <w:rPr>
                <w:rFonts w:asciiTheme="majorBidi" w:hAnsiTheme="majorBidi" w:cstheme="majorBidi"/>
                <w:lang w:val="it-IT"/>
              </w:rPr>
              <w:t>Headache</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21</w:t>
            </w:r>
            <w:r w:rsidRPr="002F2BEA">
              <w:rPr>
                <w:rFonts w:asciiTheme="majorBidi" w:hAnsiTheme="majorBidi" w:cstheme="majorBidi"/>
              </w:rPr>
              <w:fldChar w:fldCharType="end"/>
            </w:r>
            <w:r w:rsidRPr="002F2BEA">
              <w:rPr>
                <w:rFonts w:asciiTheme="majorBidi" w:hAnsiTheme="majorBidi" w:cstheme="majorBidi"/>
                <w:lang w:val="it-IT"/>
              </w:rPr>
              <w:t>, nausea</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21</w:t>
            </w:r>
            <w:r w:rsidRPr="002F2BEA">
              <w:rPr>
                <w:rFonts w:asciiTheme="majorBidi" w:hAnsiTheme="majorBidi" w:cstheme="majorBidi"/>
              </w:rPr>
              <w:fldChar w:fldCharType="end"/>
            </w:r>
            <w:r w:rsidRPr="002F2BEA">
              <w:rPr>
                <w:rFonts w:asciiTheme="majorBidi" w:hAnsiTheme="majorBidi" w:cstheme="majorBidi"/>
                <w:lang w:val="it-IT"/>
              </w:rPr>
              <w:t>, insomnia</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21</w:t>
            </w:r>
            <w:r w:rsidRPr="002F2BEA">
              <w:rPr>
                <w:rFonts w:asciiTheme="majorBidi" w:hAnsiTheme="majorBidi" w:cstheme="majorBidi"/>
              </w:rPr>
              <w:fldChar w:fldCharType="end"/>
            </w:r>
            <w:r w:rsidRPr="002F2BEA">
              <w:rPr>
                <w:rFonts w:asciiTheme="majorBidi" w:hAnsiTheme="majorBidi" w:cstheme="majorBidi"/>
                <w:lang w:val="it-IT"/>
              </w:rPr>
              <w:t>, fatigue</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21</w:t>
            </w:r>
            <w:r w:rsidRPr="002F2BEA">
              <w:rPr>
                <w:rFonts w:asciiTheme="majorBidi" w:hAnsiTheme="majorBidi" w:cstheme="majorBidi"/>
              </w:rPr>
              <w:fldChar w:fldCharType="end"/>
            </w:r>
            <w:r w:rsidRPr="002F2BEA">
              <w:rPr>
                <w:rFonts w:asciiTheme="majorBidi" w:hAnsiTheme="majorBidi" w:cstheme="majorBidi"/>
                <w:lang w:val="it-IT"/>
              </w:rPr>
              <w:t>, depression</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w:instrText>
            </w:r>
            <w:r w:rsidRPr="00C171AF">
              <w:rPr>
                <w:rFonts w:asciiTheme="majorBidi" w:hAnsiTheme="majorBidi" w:cstheme="majorBidi"/>
              </w:rPr>
              <w:instrText>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C171AF">
              <w:rPr>
                <w:rFonts w:asciiTheme="majorBidi" w:hAnsiTheme="majorBidi" w:cstheme="majorBidi"/>
                <w:noProof/>
                <w:vertAlign w:val="superscript"/>
              </w:rPr>
              <w:t>21</w:t>
            </w:r>
            <w:r w:rsidRPr="002F2BEA">
              <w:rPr>
                <w:rFonts w:asciiTheme="majorBidi" w:hAnsiTheme="majorBidi" w:cstheme="majorBidi"/>
              </w:rPr>
              <w:fldChar w:fldCharType="end"/>
            </w:r>
            <w:r w:rsidRPr="00C171AF">
              <w:rPr>
                <w:rFonts w:asciiTheme="majorBidi" w:hAnsiTheme="majorBidi" w:cstheme="majorBidi"/>
              </w:rPr>
              <w:t>, menstrual changes</w:t>
            </w:r>
            <w:r w:rsidRPr="002F2BEA">
              <w:rPr>
                <w:rFonts w:asciiTheme="majorBidi" w:hAnsiTheme="majorBidi" w:cstheme="majorBidi"/>
              </w:rPr>
              <w:fldChar w:fldCharType="begin" w:fldLock="1"/>
            </w:r>
            <w:r w:rsidRPr="00C171AF">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w:instrText>
            </w:r>
            <w:r w:rsidRPr="002F2BEA">
              <w:rPr>
                <w:rFonts w:asciiTheme="majorBidi" w:hAnsiTheme="majorBidi" w:cstheme="majorBidi"/>
              </w:rPr>
              <w:instrText>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gynecomastia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hot flushes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oedema</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weight gain</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hirsutism</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thrombophlebitis and thromboembolism</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xml:space="preserve">, urticaria </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bone pain</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urethral obstruction</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importance</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testicular atrophy</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w:t>
            </w:r>
            <w:r w:rsidRPr="002F2BEA">
              <w:rPr>
                <w:rFonts w:asciiTheme="majorBidi" w:hAnsiTheme="majorBidi" w:cstheme="majorBidi"/>
              </w:rPr>
              <w:fldChar w:fldCharType="end"/>
            </w:r>
            <w:r w:rsidRPr="002F2BEA">
              <w:rPr>
                <w:rFonts w:asciiTheme="majorBidi" w:hAnsiTheme="majorBidi" w:cstheme="majorBidi"/>
              </w:rPr>
              <w:t xml:space="preserve"> </w:t>
            </w:r>
          </w:p>
        </w:tc>
      </w:tr>
      <w:tr w:rsidR="00C171AF" w14:paraId="28D2331C" w14:textId="77777777" w:rsidTr="003B0468">
        <w:tc>
          <w:tcPr>
            <w:tcW w:w="1345" w:type="dxa"/>
            <w:vMerge/>
            <w:tcBorders>
              <w:left w:val="nil"/>
              <w:right w:val="nil"/>
            </w:tcBorders>
          </w:tcPr>
          <w:p w14:paraId="68EDB9D3" w14:textId="77777777" w:rsidR="00C171AF" w:rsidRPr="002F2BEA" w:rsidRDefault="00C171AF" w:rsidP="003B0468">
            <w:pPr>
              <w:suppressAutoHyphens/>
              <w:spacing w:line="276" w:lineRule="auto"/>
              <w:jc w:val="left"/>
              <w:rPr>
                <w:rFonts w:asciiTheme="majorBidi" w:hAnsiTheme="majorBidi" w:cstheme="majorBidi"/>
              </w:rPr>
            </w:pPr>
          </w:p>
        </w:tc>
        <w:tc>
          <w:tcPr>
            <w:tcW w:w="1456" w:type="dxa"/>
            <w:tcBorders>
              <w:left w:val="nil"/>
              <w:right w:val="nil"/>
            </w:tcBorders>
          </w:tcPr>
          <w:p w14:paraId="02FEC9F8"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Hormone antagonists</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rPr>
              <w:t xml:space="preserve"> </w:t>
            </w:r>
          </w:p>
        </w:tc>
        <w:tc>
          <w:tcPr>
            <w:tcW w:w="2329" w:type="dxa"/>
            <w:tcBorders>
              <w:left w:val="nil"/>
              <w:right w:val="nil"/>
            </w:tcBorders>
          </w:tcPr>
          <w:p w14:paraId="0396DB4E"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Tamoxifen</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Pharmacology","type":"book"},"uris":["http://www.mendeley.com/documents/?uuid=5beec3d8-e650-4eb4-801e-10a6a7c655f5"]},{"id":"ITEM-2","itemData":{"ISBN":"9780702053627","id":"ITEM-2","issued":{"date-parts":[["2016"]]},"publisher":"Elsevier","title":"Rang, H.P Ritter, J.M. Flower, R.J. Henderson, G.","type":"book"},"uris":["http://www.mendeley.com/documents/?uuid=03a538b9-d110-461b-b3aa-fd988daa0f3f"]}],"mendeley":{"formattedCitation":"&lt;sup&gt;21,27&lt;/sup&gt;","plainTextFormattedCitation":"21,27","previouslyFormattedCitation":"&lt;sup&gt;21,27&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21,27</w:t>
            </w:r>
            <w:r w:rsidRPr="002F2BEA">
              <w:rPr>
                <w:rFonts w:asciiTheme="majorBidi" w:hAnsiTheme="majorBidi" w:cstheme="majorBidi"/>
                <w:color w:val="000000" w:themeColor="text1"/>
              </w:rPr>
              <w:fldChar w:fldCharType="end"/>
            </w:r>
            <w:r w:rsidRPr="002F2BEA">
              <w:rPr>
                <w:rFonts w:asciiTheme="majorBidi" w:hAnsiTheme="majorBidi" w:cstheme="majorBidi"/>
              </w:rPr>
              <w:t>, flutamide, fulvestrant</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rPr>
              <w:t xml:space="preserve"> </w:t>
            </w:r>
          </w:p>
        </w:tc>
        <w:tc>
          <w:tcPr>
            <w:tcW w:w="9558" w:type="dxa"/>
            <w:tcBorders>
              <w:left w:val="nil"/>
              <w:right w:val="nil"/>
            </w:tcBorders>
          </w:tcPr>
          <w:p w14:paraId="4D67F942" w14:textId="77777777" w:rsidR="00C171AF" w:rsidRPr="002F2BEA" w:rsidRDefault="00C171AF" w:rsidP="003B0468">
            <w:pPr>
              <w:suppressAutoHyphens/>
              <w:spacing w:line="276" w:lineRule="auto"/>
              <w:ind w:right="-109"/>
              <w:jc w:val="left"/>
              <w:rPr>
                <w:rFonts w:asciiTheme="majorBidi" w:hAnsiTheme="majorBidi" w:cstheme="majorBidi"/>
              </w:rPr>
            </w:pPr>
            <w:r w:rsidRPr="002F2BEA">
              <w:rPr>
                <w:rFonts w:asciiTheme="majorBidi" w:hAnsiTheme="majorBidi" w:cstheme="majorBidi"/>
                <w:lang w:val="it-IT"/>
              </w:rPr>
              <w:t>nausia</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21</w:t>
            </w:r>
            <w:r w:rsidRPr="002F2BEA">
              <w:rPr>
                <w:rFonts w:asciiTheme="majorBidi" w:hAnsiTheme="majorBidi" w:cstheme="majorBidi"/>
              </w:rPr>
              <w:fldChar w:fldCharType="end"/>
            </w:r>
            <w:r w:rsidRPr="002F2BEA">
              <w:rPr>
                <w:rFonts w:asciiTheme="majorBidi" w:hAnsiTheme="majorBidi" w:cstheme="majorBidi"/>
                <w:lang w:val="it-IT"/>
              </w:rPr>
              <w:t xml:space="preserve">, diarrhoea </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21</w:t>
            </w:r>
            <w:r w:rsidRPr="002F2BEA">
              <w:rPr>
                <w:rFonts w:asciiTheme="majorBidi" w:hAnsiTheme="majorBidi" w:cstheme="majorBidi"/>
              </w:rPr>
              <w:fldChar w:fldCharType="end"/>
            </w:r>
            <w:r w:rsidRPr="002F2BEA">
              <w:rPr>
                <w:rFonts w:asciiTheme="majorBidi" w:hAnsiTheme="majorBidi" w:cstheme="majorBidi"/>
                <w:lang w:val="it-IT"/>
              </w:rPr>
              <w:t>, gynecomastia</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21</w:t>
            </w:r>
            <w:r w:rsidRPr="002F2BEA">
              <w:rPr>
                <w:rFonts w:asciiTheme="majorBidi" w:hAnsiTheme="majorBidi" w:cstheme="majorBidi"/>
              </w:rPr>
              <w:fldChar w:fldCharType="end"/>
            </w:r>
            <w:r w:rsidRPr="002F2BEA">
              <w:rPr>
                <w:rFonts w:asciiTheme="majorBidi" w:hAnsiTheme="majorBidi" w:cstheme="majorBidi"/>
                <w:lang w:val="it-IT"/>
              </w:rPr>
              <w:t>, hepatoxicity</w:t>
            </w:r>
            <w:r w:rsidRPr="002F2BEA">
              <w:rPr>
                <w:rFonts w:asciiTheme="majorBidi" w:hAnsiTheme="majorBidi" w:cstheme="majorBidi"/>
              </w:rPr>
              <w:fldChar w:fldCharType="begin" w:fldLock="1"/>
            </w:r>
            <w:r w:rsidRPr="002F2BEA">
              <w:rPr>
                <w:rFonts w:asciiTheme="majorBidi" w:hAnsiTheme="majorBidi" w:cstheme="majorBidi"/>
                <w:lang w:val="it-IT"/>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lang w:val="it-IT"/>
              </w:rPr>
              <w:t>21</w:t>
            </w:r>
            <w:r w:rsidRPr="002F2BEA">
              <w:rPr>
                <w:rFonts w:asciiTheme="majorBidi" w:hAnsiTheme="majorBidi" w:cstheme="majorBidi"/>
              </w:rPr>
              <w:fldChar w:fldCharType="end"/>
            </w:r>
            <w:r w:rsidRPr="002F2BEA">
              <w:rPr>
                <w:rFonts w:asciiTheme="majorBidi" w:hAnsiTheme="majorBidi" w:cstheme="majorBidi"/>
                <w:lang w:val="it-IT"/>
              </w:rPr>
              <w:t>, hot flushes</w:t>
            </w:r>
            <w:r w:rsidRPr="002F2BEA">
              <w:rPr>
                <w:rFonts w:asciiTheme="majorBidi" w:hAnsiTheme="majorBidi" w:cstheme="majorBidi"/>
              </w:rPr>
              <w:fldChar w:fldCharType="begin" w:fldLock="1"/>
            </w:r>
            <w:r w:rsidRPr="002F2BEA">
              <w:rPr>
                <w:rFonts w:asciiTheme="majorBidi" w:hAnsiTheme="majorBidi" w:cstheme="majorBidi"/>
                <w:lang w:val="it-IT"/>
              </w:rPr>
              <w:instrText>ADDIN CS</w:instrText>
            </w:r>
            <w:r w:rsidRPr="00C171AF">
              <w:rPr>
                <w:rFonts w:asciiTheme="majorBidi" w:hAnsiTheme="majorBidi" w:cstheme="majorBidi"/>
              </w:rPr>
              <w:instrText>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C171AF">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color w:val="000000" w:themeColor="text1"/>
              </w:rPr>
              <w:fldChar w:fldCharType="begin" w:fldLock="1"/>
            </w:r>
            <w:r w:rsidRPr="00C171AF">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w:instrText>
            </w:r>
            <w:r w:rsidRPr="002F2BEA">
              <w:rPr>
                <w:rFonts w:asciiTheme="majorBidi" w:hAnsiTheme="majorBidi" w:cstheme="majorBidi"/>
                <w:color w:val="000000" w:themeColor="text1"/>
              </w:rPr>
              <w:instrText>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rPr>
              <w:t>, increased bone or tumor pain</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vaginal bleeding/ discharge</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rash</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thromboembolism</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G.","type":"book"},"uris":["http://www.mendeley.com/documents/?uuid=03a538b9-d110-461b-b3aa-fd988daa0f3f"]},{"id":"ITEM-2","itemData":{"ISBN":"9780702040849","author":[{"dropping-particle":"","family":"Bennett","given":"Peter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-2","issued":{"date-parts":[["2012"]]},"publisher":"Elsevier","title":"Clinical Pharmacology","type":"book"},"uris":["http://www.mendeley.com/documents/?uuid=5beec3d8-e650-4eb4-801e-10a6a7c655f5"]}],"mendeley":{"formattedCitation":"&lt;sup&gt;21,27&lt;/sup&gt;","plainTextFormattedCitation":"21,27","previouslyFormattedCitation":"&lt;sup&gt;21,27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21,27</w:t>
            </w:r>
            <w:r w:rsidRPr="002F2BEA">
              <w:rPr>
                <w:rFonts w:asciiTheme="majorBidi" w:hAnsiTheme="majorBidi" w:cstheme="majorBidi"/>
              </w:rPr>
              <w:fldChar w:fldCharType="end"/>
            </w:r>
            <w:r w:rsidRPr="002F2BEA">
              <w:rPr>
                <w:rFonts w:asciiTheme="majorBidi" w:hAnsiTheme="majorBidi" w:cstheme="majorBidi"/>
                <w:color w:val="000000" w:themeColor="text1"/>
              </w:rPr>
              <w:t>, endometrial cancer</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Pharmacology","type":"book"},"uris":["http://www.mendeley.com/documents/?uuid=5beec3d8-e650-4eb4-801e-10a6a7c655f5"]},{"id":"ITEM-2","itemData":{"ISBN":"9780702053627","id":"ITEM-2","issued":{"date-parts":[["2016"]]},"publisher":"Elsevier","title":"Rang, H.P Ritter, J.M. Flower, R.J. Henderson, G.","type":"book"},"uris":["http://www.mendeley.com/documents/?uuid=03a538b9-d110-461b-b3aa-fd988daa0f3f"]}],"mendeley":{"formattedCitation":"&lt;sup&gt;21,27&lt;/sup&gt;","plainTextFormattedCitation":"21,27","previouslyFormattedCitation":"&lt;sup&gt;21,27&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21,27</w:t>
            </w:r>
            <w:r w:rsidRPr="002F2BEA">
              <w:rPr>
                <w:rFonts w:asciiTheme="majorBidi" w:hAnsiTheme="majorBidi" w:cstheme="majorBidi"/>
                <w:color w:val="000000" w:themeColor="text1"/>
              </w:rPr>
              <w:fldChar w:fldCharType="end"/>
            </w:r>
          </w:p>
        </w:tc>
      </w:tr>
      <w:tr w:rsidR="00C171AF" w14:paraId="76646EFD" w14:textId="77777777" w:rsidTr="003B0468">
        <w:tc>
          <w:tcPr>
            <w:tcW w:w="1345" w:type="dxa"/>
            <w:vMerge/>
            <w:tcBorders>
              <w:left w:val="nil"/>
              <w:right w:val="nil"/>
            </w:tcBorders>
          </w:tcPr>
          <w:p w14:paraId="22FF7112" w14:textId="77777777" w:rsidR="00C171AF" w:rsidRPr="002F2BEA" w:rsidRDefault="00C171AF" w:rsidP="003B0468">
            <w:pPr>
              <w:suppressAutoHyphens/>
              <w:spacing w:line="276" w:lineRule="auto"/>
              <w:jc w:val="left"/>
              <w:rPr>
                <w:rFonts w:asciiTheme="majorBidi" w:hAnsiTheme="majorBidi" w:cstheme="majorBidi"/>
              </w:rPr>
            </w:pPr>
          </w:p>
        </w:tc>
        <w:tc>
          <w:tcPr>
            <w:tcW w:w="1456" w:type="dxa"/>
            <w:tcBorders>
              <w:left w:val="nil"/>
              <w:right w:val="nil"/>
            </w:tcBorders>
          </w:tcPr>
          <w:p w14:paraId="3CA18659"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Aromatase inhibitors</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Pharmacology","type":"book"},"uris":["http://www.mendeley.com/documents/?uuid=5beec3d8-e650-4eb4-801e-10a6a7c655f5"]},{"id":"ITEM-2","itemData":{"ISBN":"9780702053627","id":"ITEM-2","issued":{"date-parts":[["2016"]]},"publisher":"Elsevier","title":"Rang, H.P Ritter, J.M. Flower, R.J. Henderson, G.","type":"book"},"uris":["http://www.mendeley.com/documents/?uuid=03a538b9-d110-461b-b3aa-fd988daa0f3f"]}],"mendeley":{"formattedCitation":"&lt;sup&gt;21,27&lt;/sup&gt;","plainTextFormattedCitation":"21,27","previouslyFormattedCitation":"&lt;sup&gt;21,27&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21,27</w:t>
            </w:r>
            <w:r w:rsidRPr="002F2BEA">
              <w:rPr>
                <w:rFonts w:asciiTheme="majorBidi" w:hAnsiTheme="majorBidi" w:cstheme="majorBidi"/>
                <w:color w:val="000000" w:themeColor="text1"/>
              </w:rPr>
              <w:fldChar w:fldCharType="end"/>
            </w:r>
          </w:p>
        </w:tc>
        <w:tc>
          <w:tcPr>
            <w:tcW w:w="2329" w:type="dxa"/>
            <w:tcBorders>
              <w:left w:val="nil"/>
              <w:right w:val="nil"/>
            </w:tcBorders>
          </w:tcPr>
          <w:p w14:paraId="1BABD0C3" w14:textId="77777777" w:rsidR="00C171AF" w:rsidRPr="002F2BEA" w:rsidRDefault="00C171AF" w:rsidP="003B0468">
            <w:pPr>
              <w:suppressAutoHyphens/>
              <w:spacing w:line="276" w:lineRule="auto"/>
              <w:jc w:val="left"/>
              <w:rPr>
                <w:rFonts w:asciiTheme="majorBidi" w:hAnsiTheme="majorBidi" w:cstheme="majorBidi"/>
              </w:rPr>
            </w:pPr>
            <w:r w:rsidRPr="002F2BEA">
              <w:rPr>
                <w:rFonts w:asciiTheme="majorBidi" w:hAnsiTheme="majorBidi" w:cstheme="majorBidi"/>
              </w:rPr>
              <w:t>Anastrozole</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r w:rsidRPr="002F2BEA">
              <w:rPr>
                <w:rFonts w:asciiTheme="majorBidi" w:hAnsiTheme="majorBidi" w:cstheme="majorBidi"/>
              </w:rPr>
              <w:t>, letrozole</w:t>
            </w:r>
            <w:r w:rsidRPr="002F2BEA">
              <w:rPr>
                <w:rFonts w:asciiTheme="majorBidi" w:hAnsiTheme="majorBidi" w:cstheme="majorBidi"/>
              </w:rPr>
              <w:fldChar w:fldCharType="begin" w:fldLock="1"/>
            </w:r>
            <w:r w:rsidRPr="002F2BEA">
              <w:rPr>
                <w:rFonts w:asciiTheme="majorBidi" w:hAnsiTheme="majorBidi" w:cstheme="majorBidi"/>
              </w:rPr>
              <w:instrText>ADDIN CSL_CITATION {"citationItems":[{"id":"ITEM-1","itemData":{"ISBN":"9780702053627","id":"ITEM-1","issued":{"date-parts":[["2016"]]},"publisher":"Elsevier","title":"Rang, H.P Ritter, J.M. Flower, R.J. Henderson, G.","type":"book"},"uris":["http://www.mendeley.com/documents/?uuid=03a538b9-d110-461b-b3aa-fd988daa0f3f"]}],"mendeley":{"formattedCitation":"&lt;sup&gt;27&lt;/sup&gt;","plainTextFormattedCitation":"27","previouslyFormattedCitation":"&lt;sup&gt;27&lt;/sup&gt;"},"properties":{"noteIndex":0},"schema":"https://github.com/citation-style-language/schema/raw/master/csl-citation.json"}</w:instrText>
            </w:r>
            <w:r w:rsidRPr="002F2BEA">
              <w:rPr>
                <w:rFonts w:asciiTheme="majorBidi" w:hAnsiTheme="majorBidi" w:cstheme="majorBidi"/>
              </w:rPr>
              <w:fldChar w:fldCharType="separate"/>
            </w:r>
            <w:r w:rsidRPr="002F2BEA">
              <w:rPr>
                <w:rFonts w:asciiTheme="majorBidi" w:hAnsiTheme="majorBidi" w:cstheme="majorBidi"/>
                <w:noProof/>
                <w:vertAlign w:val="superscript"/>
              </w:rPr>
              <w:t>27</w:t>
            </w:r>
            <w:r w:rsidRPr="002F2BEA">
              <w:rPr>
                <w:rFonts w:asciiTheme="majorBidi" w:hAnsiTheme="majorBidi" w:cstheme="majorBidi"/>
              </w:rPr>
              <w:fldChar w:fldCharType="end"/>
            </w:r>
          </w:p>
        </w:tc>
        <w:tc>
          <w:tcPr>
            <w:tcW w:w="9558" w:type="dxa"/>
            <w:tcBorders>
              <w:left w:val="nil"/>
              <w:right w:val="nil"/>
            </w:tcBorders>
          </w:tcPr>
          <w:p w14:paraId="297486CF" w14:textId="77777777" w:rsidR="00C171AF" w:rsidRPr="002F2BEA" w:rsidRDefault="00C171AF" w:rsidP="003B0468">
            <w:pPr>
              <w:suppressAutoHyphens/>
              <w:spacing w:line="276" w:lineRule="auto"/>
              <w:ind w:right="-109"/>
              <w:jc w:val="left"/>
              <w:rPr>
                <w:rFonts w:asciiTheme="majorBidi" w:hAnsiTheme="majorBidi" w:cstheme="majorBidi"/>
              </w:rPr>
            </w:pPr>
            <w:r w:rsidRPr="002F2BEA">
              <w:rPr>
                <w:rFonts w:asciiTheme="majorBidi" w:hAnsiTheme="majorBidi" w:cstheme="majorBidi"/>
              </w:rPr>
              <w:t>Nausea</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rPr>
              <w:t>, dizziness</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xml:space="preserve">, </w:t>
            </w:r>
            <w:r w:rsidRPr="002F2BEA">
              <w:rPr>
                <w:rFonts w:asciiTheme="majorBidi" w:hAnsiTheme="majorBidi" w:cstheme="majorBidi"/>
              </w:rPr>
              <w:t xml:space="preserve"> rash</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w:t>
            </w:r>
            <w:r w:rsidRPr="002F2BEA">
              <w:rPr>
                <w:rFonts w:asciiTheme="majorBidi" w:hAnsiTheme="majorBidi" w:cstheme="majorBidi"/>
              </w:rPr>
              <w:t xml:space="preserve"> bone marrow depression</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 xml:space="preserve">, </w:t>
            </w:r>
            <w:r w:rsidRPr="002F2BEA">
              <w:rPr>
                <w:rFonts w:asciiTheme="majorBidi" w:hAnsiTheme="majorBidi" w:cstheme="majorBidi"/>
              </w:rPr>
              <w:t>fever</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r w:rsidRPr="002F2BEA">
              <w:rPr>
                <w:rFonts w:asciiTheme="majorBidi" w:hAnsiTheme="majorBidi" w:cstheme="majorBidi"/>
                <w:color w:val="000000" w:themeColor="text1"/>
              </w:rPr>
              <w:t>,</w:t>
            </w:r>
            <w:r w:rsidRPr="002F2BEA">
              <w:rPr>
                <w:rFonts w:asciiTheme="majorBidi" w:hAnsiTheme="majorBidi" w:cstheme="majorBidi"/>
              </w:rPr>
              <w:t xml:space="preserve"> masculinisation</w:t>
            </w:r>
            <w:r w:rsidRPr="002F2BEA">
              <w:rPr>
                <w:rFonts w:asciiTheme="majorBidi" w:hAnsiTheme="majorBidi" w:cstheme="majorBidi"/>
                <w:color w:val="000000" w:themeColor="text1"/>
              </w:rPr>
              <w:fldChar w:fldCharType="begin" w:fldLock="1"/>
            </w:r>
            <w:r w:rsidRPr="002F2BEA">
              <w:rPr>
                <w:rFonts w:asciiTheme="majorBidi" w:hAnsiTheme="majorBidi" w:cstheme="majorBidi"/>
                <w:color w:val="000000" w:themeColor="text1"/>
              </w:rPr>
              <w:instrText>ADDIN CSL_CITATION {"citationItems":[{"id":"ITEM-1","itemData":{"ISBN":"9780702040849","author":[{"dropping-particle":"","family":"Bennett","given":"Peter N","non-dropping-particle":"","parse-names":false,"suffix":""},{"dropping-particle":"","family":"Brown","given":"Morris J","non-dropping-particle":"","parse-names":false,"suffix":""},{"dropping-particle":"","family":"Sharma","given":"Pankaj","non-dropping-particle":"","parse-names":false,"suffix":""}],"edition":"11","id":"ITEM-1","issued":{"date-parts":[["2012"]]},"publisher":"Elsevier","title":"Clinical Pharmacology","type":"book"},"uris":["http://www.mendeley.com/documents/?uuid=5beec3d8-e650-4eb4-801e-10a6a7c655f5"]}],"mendeley":{"formattedCitation":"&lt;sup&gt;21&lt;/sup&gt;","plainTextFormattedCitation":"21","previouslyFormattedCitation":"&lt;sup&gt;21&lt;/sup&gt;"},"properties":{"noteIndex":0},"schema":"https://github.com/citation-style-language/schema/raw/master/csl-citation.json"}</w:instrText>
            </w:r>
            <w:r w:rsidRPr="002F2BEA">
              <w:rPr>
                <w:rFonts w:asciiTheme="majorBidi" w:hAnsiTheme="majorBidi" w:cstheme="majorBidi"/>
                <w:color w:val="000000" w:themeColor="text1"/>
              </w:rPr>
              <w:fldChar w:fldCharType="separate"/>
            </w:r>
            <w:r w:rsidRPr="002F2BEA">
              <w:rPr>
                <w:rFonts w:asciiTheme="majorBidi" w:hAnsiTheme="majorBidi" w:cstheme="majorBidi"/>
                <w:noProof/>
                <w:color w:val="000000" w:themeColor="text1"/>
                <w:vertAlign w:val="superscript"/>
              </w:rPr>
              <w:t>21</w:t>
            </w:r>
            <w:r w:rsidRPr="002F2BEA">
              <w:rPr>
                <w:rFonts w:asciiTheme="majorBidi" w:hAnsiTheme="majorBidi" w:cstheme="majorBidi"/>
                <w:color w:val="000000" w:themeColor="text1"/>
              </w:rPr>
              <w:fldChar w:fldCharType="end"/>
            </w:r>
          </w:p>
        </w:tc>
      </w:tr>
      <w:bookmarkEnd w:id="0"/>
    </w:tbl>
    <w:p w14:paraId="0602DE2B" w14:textId="77777777" w:rsidR="00C171AF" w:rsidRDefault="00C171AF" w:rsidP="00C171AF">
      <w:pPr>
        <w:pStyle w:val="MDPI31text"/>
        <w:suppressAutoHyphens/>
        <w:spacing w:line="280" w:lineRule="exact"/>
        <w:ind w:left="0" w:firstLine="0"/>
        <w:jc w:val="left"/>
        <w:rPr>
          <w:rFonts w:asciiTheme="majorBidi" w:hAnsiTheme="majorBidi" w:cstheme="majorBidi"/>
          <w:szCs w:val="20"/>
        </w:rPr>
      </w:pPr>
    </w:p>
    <w:p w14:paraId="3711CDA5" w14:textId="77777777" w:rsidR="00C171AF" w:rsidRPr="002F2BEA" w:rsidRDefault="00C171AF" w:rsidP="00C171AF">
      <w:pPr>
        <w:pStyle w:val="MDPI31text"/>
        <w:suppressAutoHyphens/>
        <w:spacing w:line="280" w:lineRule="exact"/>
        <w:ind w:left="0" w:firstLine="0"/>
        <w:jc w:val="left"/>
        <w:rPr>
          <w:rFonts w:asciiTheme="majorBidi" w:hAnsiTheme="majorBidi" w:cstheme="majorBidi"/>
          <w:szCs w:val="20"/>
        </w:rPr>
      </w:pPr>
    </w:p>
    <w:p w14:paraId="410B0B5B" w14:textId="77777777" w:rsidR="00C171AF" w:rsidRPr="002F2BEA" w:rsidRDefault="00C171AF" w:rsidP="00C171AF">
      <w:pPr>
        <w:pStyle w:val="Caption"/>
        <w:suppressAutoHyphens/>
        <w:rPr>
          <w:rFonts w:asciiTheme="majorBidi" w:hAnsiTheme="majorBidi" w:cstheme="majorBidi"/>
          <w:b/>
          <w:bCs/>
          <w:i w:val="0"/>
          <w:iCs w:val="0"/>
          <w:sz w:val="20"/>
          <w:szCs w:val="20"/>
        </w:rPr>
      </w:pPr>
      <w:bookmarkStart w:id="12" w:name="_Hlk199776047"/>
      <w:r w:rsidRPr="002F2BEA">
        <w:rPr>
          <w:rFonts w:asciiTheme="majorBidi" w:hAnsiTheme="majorBidi" w:cstheme="majorBidi"/>
          <w:b/>
          <w:bCs/>
          <w:i w:val="0"/>
          <w:iCs w:val="0"/>
          <w:sz w:val="20"/>
          <w:szCs w:val="20"/>
        </w:rPr>
        <w:t xml:space="preserve">Table </w:t>
      </w:r>
      <w:r w:rsidRPr="002F2BEA">
        <w:rPr>
          <w:rFonts w:asciiTheme="majorBidi" w:hAnsiTheme="majorBidi" w:cstheme="majorBidi"/>
          <w:b/>
          <w:bCs/>
          <w:i w:val="0"/>
          <w:iCs w:val="0"/>
          <w:sz w:val="20"/>
          <w:szCs w:val="20"/>
        </w:rPr>
        <w:fldChar w:fldCharType="begin"/>
      </w:r>
      <w:r w:rsidRPr="002F2BEA">
        <w:rPr>
          <w:rFonts w:asciiTheme="majorBidi" w:hAnsiTheme="majorBidi" w:cstheme="majorBidi"/>
          <w:b/>
          <w:bCs/>
          <w:i w:val="0"/>
          <w:iCs w:val="0"/>
          <w:sz w:val="20"/>
          <w:szCs w:val="20"/>
        </w:rPr>
        <w:instrText xml:space="preserve"> SEQ Table \* ARABIC </w:instrText>
      </w:r>
      <w:r w:rsidRPr="002F2BEA">
        <w:rPr>
          <w:rFonts w:asciiTheme="majorBidi" w:hAnsiTheme="majorBidi" w:cstheme="majorBidi"/>
          <w:b/>
          <w:bCs/>
          <w:i w:val="0"/>
          <w:iCs w:val="0"/>
          <w:sz w:val="20"/>
          <w:szCs w:val="20"/>
        </w:rPr>
        <w:fldChar w:fldCharType="separate"/>
      </w:r>
      <w:r w:rsidRPr="002F2BEA">
        <w:rPr>
          <w:rFonts w:asciiTheme="majorBidi" w:hAnsiTheme="majorBidi" w:cstheme="majorBidi"/>
          <w:b/>
          <w:bCs/>
          <w:i w:val="0"/>
          <w:iCs w:val="0"/>
          <w:noProof/>
          <w:sz w:val="20"/>
          <w:szCs w:val="20"/>
        </w:rPr>
        <w:t>9</w:t>
      </w:r>
      <w:r w:rsidRPr="002F2BEA">
        <w:rPr>
          <w:rFonts w:asciiTheme="majorBidi" w:hAnsiTheme="majorBidi" w:cstheme="majorBidi"/>
          <w:b/>
          <w:bCs/>
          <w:i w:val="0"/>
          <w:iCs w:val="0"/>
          <w:sz w:val="20"/>
          <w:szCs w:val="20"/>
        </w:rPr>
        <w:fldChar w:fldCharType="end"/>
      </w:r>
      <w:r w:rsidRPr="002F2BEA">
        <w:rPr>
          <w:rFonts w:asciiTheme="majorBidi" w:hAnsiTheme="majorBidi" w:cstheme="majorBidi"/>
          <w:b/>
          <w:bCs/>
          <w:i w:val="0"/>
          <w:iCs w:val="0"/>
          <w:sz w:val="20"/>
          <w:szCs w:val="20"/>
        </w:rPr>
        <w:t>: The prevalence, frequency, severity, and distress of AEs among patients</w:t>
      </w:r>
    </w:p>
    <w:tbl>
      <w:tblPr>
        <w:tblW w:w="13700" w:type="dxa"/>
        <w:tblLook w:val="04A0" w:firstRow="1" w:lastRow="0" w:firstColumn="1" w:lastColumn="0" w:noHBand="0" w:noVBand="1"/>
      </w:tblPr>
      <w:tblGrid>
        <w:gridCol w:w="1890"/>
        <w:gridCol w:w="1269"/>
        <w:gridCol w:w="1469"/>
        <w:gridCol w:w="1582"/>
        <w:gridCol w:w="1288"/>
        <w:gridCol w:w="1288"/>
        <w:gridCol w:w="1228"/>
        <w:gridCol w:w="1230"/>
        <w:gridCol w:w="1228"/>
        <w:gridCol w:w="1228"/>
      </w:tblGrid>
      <w:tr w:rsidR="00C171AF" w14:paraId="61A784EA" w14:textId="77777777" w:rsidTr="003B0468">
        <w:trPr>
          <w:trHeight w:val="312"/>
        </w:trPr>
        <w:tc>
          <w:tcPr>
            <w:tcW w:w="1890" w:type="dxa"/>
            <w:vMerge w:val="restart"/>
            <w:tcBorders>
              <w:top w:val="single" w:sz="4" w:space="0" w:color="auto"/>
              <w:left w:val="nil"/>
              <w:bottom w:val="single" w:sz="4" w:space="0" w:color="000000"/>
              <w:right w:val="nil"/>
            </w:tcBorders>
            <w:noWrap/>
            <w:vAlign w:val="center"/>
            <w:hideMark/>
          </w:tcPr>
          <w:bookmarkEnd w:id="12"/>
          <w:p w14:paraId="5FBF88C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AE</w:t>
            </w:r>
          </w:p>
        </w:tc>
        <w:tc>
          <w:tcPr>
            <w:tcW w:w="1269" w:type="dxa"/>
            <w:vMerge w:val="restart"/>
            <w:tcBorders>
              <w:top w:val="single" w:sz="4" w:space="0" w:color="auto"/>
              <w:left w:val="nil"/>
              <w:bottom w:val="single" w:sz="4" w:space="0" w:color="000000"/>
              <w:right w:val="nil"/>
            </w:tcBorders>
            <w:vAlign w:val="center"/>
            <w:hideMark/>
          </w:tcPr>
          <w:p w14:paraId="51EF61FB"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Prevalence</w:t>
            </w:r>
          </w:p>
        </w:tc>
        <w:tc>
          <w:tcPr>
            <w:tcW w:w="3051" w:type="dxa"/>
            <w:gridSpan w:val="2"/>
            <w:tcBorders>
              <w:top w:val="single" w:sz="4" w:space="0" w:color="auto"/>
              <w:left w:val="nil"/>
              <w:bottom w:val="single" w:sz="4" w:space="0" w:color="auto"/>
              <w:right w:val="nil"/>
            </w:tcBorders>
            <w:noWrap/>
            <w:vAlign w:val="center"/>
            <w:hideMark/>
          </w:tcPr>
          <w:p w14:paraId="678EC7A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Frequency</w:t>
            </w:r>
          </w:p>
        </w:tc>
        <w:tc>
          <w:tcPr>
            <w:tcW w:w="3804" w:type="dxa"/>
            <w:gridSpan w:val="3"/>
            <w:tcBorders>
              <w:top w:val="single" w:sz="4" w:space="0" w:color="auto"/>
              <w:left w:val="nil"/>
              <w:bottom w:val="single" w:sz="4" w:space="0" w:color="auto"/>
              <w:right w:val="nil"/>
            </w:tcBorders>
            <w:noWrap/>
            <w:vAlign w:val="center"/>
            <w:hideMark/>
          </w:tcPr>
          <w:p w14:paraId="6B8E39F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Severity</w:t>
            </w:r>
          </w:p>
        </w:tc>
        <w:tc>
          <w:tcPr>
            <w:tcW w:w="3686" w:type="dxa"/>
            <w:gridSpan w:val="3"/>
            <w:tcBorders>
              <w:top w:val="single" w:sz="4" w:space="0" w:color="auto"/>
              <w:left w:val="nil"/>
              <w:bottom w:val="single" w:sz="4" w:space="0" w:color="auto"/>
              <w:right w:val="nil"/>
            </w:tcBorders>
            <w:noWrap/>
            <w:vAlign w:val="center"/>
            <w:hideMark/>
          </w:tcPr>
          <w:p w14:paraId="4A52B2F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 xml:space="preserve">Distress </w:t>
            </w:r>
          </w:p>
        </w:tc>
      </w:tr>
      <w:tr w:rsidR="00C171AF" w14:paraId="10D7DC1E" w14:textId="77777777" w:rsidTr="003B0468">
        <w:trPr>
          <w:trHeight w:val="503"/>
        </w:trPr>
        <w:tc>
          <w:tcPr>
            <w:tcW w:w="1890" w:type="dxa"/>
            <w:vMerge/>
            <w:tcBorders>
              <w:top w:val="single" w:sz="4" w:space="0" w:color="auto"/>
              <w:left w:val="nil"/>
              <w:bottom w:val="single" w:sz="4" w:space="0" w:color="000000"/>
              <w:right w:val="nil"/>
            </w:tcBorders>
            <w:vAlign w:val="center"/>
            <w:hideMark/>
          </w:tcPr>
          <w:p w14:paraId="72A2FC2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p>
        </w:tc>
        <w:tc>
          <w:tcPr>
            <w:tcW w:w="1269" w:type="dxa"/>
            <w:vMerge/>
            <w:tcBorders>
              <w:top w:val="single" w:sz="4" w:space="0" w:color="auto"/>
              <w:left w:val="nil"/>
              <w:bottom w:val="single" w:sz="4" w:space="0" w:color="000000"/>
              <w:right w:val="nil"/>
            </w:tcBorders>
            <w:vAlign w:val="center"/>
            <w:hideMark/>
          </w:tcPr>
          <w:p w14:paraId="71AFE9EF"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p>
        </w:tc>
        <w:tc>
          <w:tcPr>
            <w:tcW w:w="1469" w:type="dxa"/>
            <w:tcBorders>
              <w:top w:val="nil"/>
              <w:left w:val="nil"/>
              <w:bottom w:val="single" w:sz="4" w:space="0" w:color="auto"/>
              <w:right w:val="nil"/>
            </w:tcBorders>
            <w:vAlign w:val="center"/>
            <w:hideMark/>
          </w:tcPr>
          <w:p w14:paraId="04AE759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Rarely + Occasionally</w:t>
            </w:r>
          </w:p>
        </w:tc>
        <w:tc>
          <w:tcPr>
            <w:tcW w:w="1582" w:type="dxa"/>
            <w:tcBorders>
              <w:top w:val="nil"/>
              <w:left w:val="nil"/>
              <w:bottom w:val="single" w:sz="4" w:space="0" w:color="auto"/>
              <w:right w:val="nil"/>
            </w:tcBorders>
            <w:vAlign w:val="center"/>
            <w:hideMark/>
          </w:tcPr>
          <w:p w14:paraId="33E17D1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Frequently + Almost constantly</w:t>
            </w:r>
          </w:p>
        </w:tc>
        <w:tc>
          <w:tcPr>
            <w:tcW w:w="1288" w:type="dxa"/>
            <w:tcBorders>
              <w:top w:val="nil"/>
              <w:left w:val="nil"/>
              <w:bottom w:val="single" w:sz="4" w:space="0" w:color="auto"/>
              <w:right w:val="nil"/>
            </w:tcBorders>
            <w:vAlign w:val="center"/>
            <w:hideMark/>
          </w:tcPr>
          <w:p w14:paraId="6C87C7E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Slight</w:t>
            </w:r>
          </w:p>
        </w:tc>
        <w:tc>
          <w:tcPr>
            <w:tcW w:w="1288" w:type="dxa"/>
            <w:tcBorders>
              <w:top w:val="nil"/>
              <w:left w:val="nil"/>
              <w:bottom w:val="single" w:sz="4" w:space="0" w:color="auto"/>
              <w:right w:val="nil"/>
            </w:tcBorders>
            <w:vAlign w:val="center"/>
            <w:hideMark/>
          </w:tcPr>
          <w:p w14:paraId="300C8A6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Moderate</w:t>
            </w:r>
          </w:p>
        </w:tc>
        <w:tc>
          <w:tcPr>
            <w:tcW w:w="1228" w:type="dxa"/>
            <w:tcBorders>
              <w:top w:val="nil"/>
              <w:left w:val="nil"/>
              <w:bottom w:val="single" w:sz="4" w:space="0" w:color="auto"/>
              <w:right w:val="nil"/>
            </w:tcBorders>
            <w:vAlign w:val="center"/>
            <w:hideMark/>
          </w:tcPr>
          <w:p w14:paraId="6C26BF7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Severe + very severe</w:t>
            </w:r>
          </w:p>
        </w:tc>
        <w:tc>
          <w:tcPr>
            <w:tcW w:w="1230" w:type="dxa"/>
            <w:tcBorders>
              <w:top w:val="nil"/>
              <w:left w:val="nil"/>
              <w:bottom w:val="single" w:sz="4" w:space="0" w:color="auto"/>
              <w:right w:val="nil"/>
            </w:tcBorders>
            <w:vAlign w:val="center"/>
            <w:hideMark/>
          </w:tcPr>
          <w:p w14:paraId="258C834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A little bit + Somewhat</w:t>
            </w:r>
          </w:p>
        </w:tc>
        <w:tc>
          <w:tcPr>
            <w:tcW w:w="1228" w:type="dxa"/>
            <w:tcBorders>
              <w:top w:val="nil"/>
              <w:left w:val="nil"/>
              <w:bottom w:val="single" w:sz="4" w:space="0" w:color="auto"/>
              <w:right w:val="nil"/>
            </w:tcBorders>
            <w:vAlign w:val="center"/>
            <w:hideMark/>
          </w:tcPr>
          <w:p w14:paraId="1A956AF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Quite a bit</w:t>
            </w:r>
          </w:p>
        </w:tc>
        <w:tc>
          <w:tcPr>
            <w:tcW w:w="1228" w:type="dxa"/>
            <w:tcBorders>
              <w:top w:val="nil"/>
              <w:left w:val="nil"/>
              <w:bottom w:val="single" w:sz="4" w:space="0" w:color="auto"/>
              <w:right w:val="nil"/>
            </w:tcBorders>
            <w:vAlign w:val="center"/>
            <w:hideMark/>
          </w:tcPr>
          <w:p w14:paraId="7134C78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Very much</w:t>
            </w:r>
          </w:p>
        </w:tc>
      </w:tr>
      <w:tr w:rsidR="00C171AF" w14:paraId="229EA9FC" w14:textId="77777777" w:rsidTr="003B0468">
        <w:trPr>
          <w:trHeight w:val="312"/>
        </w:trPr>
        <w:tc>
          <w:tcPr>
            <w:tcW w:w="1890" w:type="dxa"/>
            <w:tcBorders>
              <w:top w:val="nil"/>
              <w:left w:val="nil"/>
              <w:bottom w:val="nil"/>
              <w:right w:val="nil"/>
            </w:tcBorders>
            <w:noWrap/>
            <w:vAlign w:val="center"/>
            <w:hideMark/>
          </w:tcPr>
          <w:p w14:paraId="44241C6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Headache</w:t>
            </w:r>
          </w:p>
        </w:tc>
        <w:tc>
          <w:tcPr>
            <w:tcW w:w="1269" w:type="dxa"/>
            <w:tcBorders>
              <w:top w:val="nil"/>
              <w:left w:val="nil"/>
              <w:bottom w:val="nil"/>
              <w:right w:val="nil"/>
            </w:tcBorders>
            <w:noWrap/>
            <w:vAlign w:val="center"/>
            <w:hideMark/>
          </w:tcPr>
          <w:p w14:paraId="38635DE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384 (96%)</w:t>
            </w:r>
          </w:p>
        </w:tc>
        <w:tc>
          <w:tcPr>
            <w:tcW w:w="1469" w:type="dxa"/>
            <w:tcBorders>
              <w:top w:val="nil"/>
              <w:left w:val="nil"/>
              <w:bottom w:val="nil"/>
              <w:right w:val="nil"/>
            </w:tcBorders>
            <w:noWrap/>
            <w:vAlign w:val="center"/>
            <w:hideMark/>
          </w:tcPr>
          <w:p w14:paraId="5716851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208 (54%)</w:t>
            </w:r>
          </w:p>
        </w:tc>
        <w:tc>
          <w:tcPr>
            <w:tcW w:w="1582" w:type="dxa"/>
            <w:tcBorders>
              <w:top w:val="nil"/>
              <w:left w:val="nil"/>
              <w:bottom w:val="nil"/>
              <w:right w:val="nil"/>
            </w:tcBorders>
            <w:noWrap/>
            <w:vAlign w:val="center"/>
            <w:hideMark/>
          </w:tcPr>
          <w:p w14:paraId="15FCAE3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176 (46%)</w:t>
            </w:r>
          </w:p>
        </w:tc>
        <w:tc>
          <w:tcPr>
            <w:tcW w:w="1288" w:type="dxa"/>
            <w:tcBorders>
              <w:top w:val="nil"/>
              <w:left w:val="nil"/>
              <w:bottom w:val="nil"/>
              <w:right w:val="nil"/>
            </w:tcBorders>
            <w:noWrap/>
            <w:vAlign w:val="center"/>
            <w:hideMark/>
          </w:tcPr>
          <w:p w14:paraId="19B3DB7B"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54 (14.1%)</w:t>
            </w:r>
          </w:p>
        </w:tc>
        <w:tc>
          <w:tcPr>
            <w:tcW w:w="1288" w:type="dxa"/>
            <w:tcBorders>
              <w:top w:val="nil"/>
              <w:left w:val="nil"/>
              <w:bottom w:val="nil"/>
              <w:right w:val="nil"/>
            </w:tcBorders>
            <w:noWrap/>
            <w:vAlign w:val="center"/>
            <w:hideMark/>
          </w:tcPr>
          <w:p w14:paraId="23F7C85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107 (27.9%)</w:t>
            </w:r>
          </w:p>
        </w:tc>
        <w:tc>
          <w:tcPr>
            <w:tcW w:w="1228" w:type="dxa"/>
            <w:tcBorders>
              <w:top w:val="nil"/>
              <w:left w:val="nil"/>
              <w:bottom w:val="nil"/>
              <w:right w:val="nil"/>
            </w:tcBorders>
            <w:noWrap/>
            <w:vAlign w:val="center"/>
            <w:hideMark/>
          </w:tcPr>
          <w:p w14:paraId="73CC7B9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223 (58%)</w:t>
            </w:r>
          </w:p>
        </w:tc>
        <w:tc>
          <w:tcPr>
            <w:tcW w:w="1230" w:type="dxa"/>
            <w:tcBorders>
              <w:top w:val="nil"/>
              <w:left w:val="nil"/>
              <w:bottom w:val="nil"/>
              <w:right w:val="nil"/>
            </w:tcBorders>
            <w:noWrap/>
            <w:vAlign w:val="center"/>
            <w:hideMark/>
          </w:tcPr>
          <w:p w14:paraId="06AEBB4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187 (49%)</w:t>
            </w:r>
          </w:p>
        </w:tc>
        <w:tc>
          <w:tcPr>
            <w:tcW w:w="1228" w:type="dxa"/>
            <w:tcBorders>
              <w:top w:val="nil"/>
              <w:left w:val="nil"/>
              <w:bottom w:val="nil"/>
              <w:right w:val="nil"/>
            </w:tcBorders>
            <w:noWrap/>
            <w:vAlign w:val="center"/>
            <w:hideMark/>
          </w:tcPr>
          <w:p w14:paraId="7853883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106 (27.6%)</w:t>
            </w:r>
          </w:p>
        </w:tc>
        <w:tc>
          <w:tcPr>
            <w:tcW w:w="1228" w:type="dxa"/>
            <w:tcBorders>
              <w:top w:val="nil"/>
              <w:left w:val="nil"/>
              <w:bottom w:val="nil"/>
              <w:right w:val="nil"/>
            </w:tcBorders>
            <w:noWrap/>
            <w:vAlign w:val="center"/>
            <w:hideMark/>
          </w:tcPr>
          <w:p w14:paraId="379D24EF"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91 (23.7%)</w:t>
            </w:r>
          </w:p>
        </w:tc>
      </w:tr>
      <w:tr w:rsidR="00C171AF" w14:paraId="0BFBB45C" w14:textId="77777777" w:rsidTr="003B0468">
        <w:trPr>
          <w:trHeight w:val="312"/>
        </w:trPr>
        <w:tc>
          <w:tcPr>
            <w:tcW w:w="1890" w:type="dxa"/>
            <w:tcBorders>
              <w:top w:val="single" w:sz="4" w:space="0" w:color="auto"/>
              <w:left w:val="nil"/>
              <w:bottom w:val="single" w:sz="4" w:space="0" w:color="auto"/>
              <w:right w:val="nil"/>
            </w:tcBorders>
            <w:noWrap/>
            <w:vAlign w:val="center"/>
            <w:hideMark/>
          </w:tcPr>
          <w:p w14:paraId="3BEBF52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Dizziness</w:t>
            </w:r>
          </w:p>
        </w:tc>
        <w:tc>
          <w:tcPr>
            <w:tcW w:w="1269" w:type="dxa"/>
            <w:tcBorders>
              <w:top w:val="single" w:sz="4" w:space="0" w:color="auto"/>
              <w:left w:val="nil"/>
              <w:bottom w:val="single" w:sz="4" w:space="0" w:color="auto"/>
              <w:right w:val="nil"/>
            </w:tcBorders>
            <w:noWrap/>
            <w:vAlign w:val="center"/>
            <w:hideMark/>
          </w:tcPr>
          <w:p w14:paraId="6627988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352 (88%)</w:t>
            </w:r>
          </w:p>
        </w:tc>
        <w:tc>
          <w:tcPr>
            <w:tcW w:w="1469" w:type="dxa"/>
            <w:tcBorders>
              <w:top w:val="single" w:sz="4" w:space="0" w:color="auto"/>
              <w:left w:val="nil"/>
              <w:bottom w:val="single" w:sz="4" w:space="0" w:color="auto"/>
              <w:right w:val="nil"/>
            </w:tcBorders>
            <w:noWrap/>
            <w:vAlign w:val="center"/>
            <w:hideMark/>
          </w:tcPr>
          <w:p w14:paraId="18134CF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210 (60%)</w:t>
            </w:r>
          </w:p>
        </w:tc>
        <w:tc>
          <w:tcPr>
            <w:tcW w:w="1582" w:type="dxa"/>
            <w:tcBorders>
              <w:top w:val="single" w:sz="4" w:space="0" w:color="auto"/>
              <w:left w:val="nil"/>
              <w:bottom w:val="single" w:sz="4" w:space="0" w:color="auto"/>
              <w:right w:val="nil"/>
            </w:tcBorders>
            <w:noWrap/>
            <w:vAlign w:val="center"/>
            <w:hideMark/>
          </w:tcPr>
          <w:p w14:paraId="377C2BA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142 (40%)</w:t>
            </w:r>
          </w:p>
        </w:tc>
        <w:tc>
          <w:tcPr>
            <w:tcW w:w="1288" w:type="dxa"/>
            <w:tcBorders>
              <w:top w:val="single" w:sz="4" w:space="0" w:color="auto"/>
              <w:left w:val="nil"/>
              <w:bottom w:val="single" w:sz="4" w:space="0" w:color="auto"/>
              <w:right w:val="nil"/>
            </w:tcBorders>
            <w:noWrap/>
            <w:vAlign w:val="center"/>
            <w:hideMark/>
          </w:tcPr>
          <w:p w14:paraId="31A32E3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106 (30.3%)</w:t>
            </w:r>
          </w:p>
        </w:tc>
        <w:tc>
          <w:tcPr>
            <w:tcW w:w="1288" w:type="dxa"/>
            <w:tcBorders>
              <w:top w:val="single" w:sz="4" w:space="0" w:color="auto"/>
              <w:left w:val="nil"/>
              <w:bottom w:val="single" w:sz="4" w:space="0" w:color="auto"/>
              <w:right w:val="nil"/>
            </w:tcBorders>
            <w:noWrap/>
            <w:vAlign w:val="center"/>
            <w:hideMark/>
          </w:tcPr>
          <w:p w14:paraId="5C309C3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131 (37.4%)</w:t>
            </w:r>
          </w:p>
        </w:tc>
        <w:tc>
          <w:tcPr>
            <w:tcW w:w="1228" w:type="dxa"/>
            <w:tcBorders>
              <w:top w:val="single" w:sz="4" w:space="0" w:color="auto"/>
              <w:left w:val="nil"/>
              <w:bottom w:val="single" w:sz="4" w:space="0" w:color="auto"/>
              <w:right w:val="nil"/>
            </w:tcBorders>
            <w:noWrap/>
            <w:vAlign w:val="center"/>
            <w:hideMark/>
          </w:tcPr>
          <w:p w14:paraId="4FE5D89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113 (32%)</w:t>
            </w:r>
          </w:p>
        </w:tc>
        <w:tc>
          <w:tcPr>
            <w:tcW w:w="1230" w:type="dxa"/>
            <w:tcBorders>
              <w:top w:val="single" w:sz="4" w:space="0" w:color="auto"/>
              <w:left w:val="nil"/>
              <w:bottom w:val="single" w:sz="4" w:space="0" w:color="auto"/>
              <w:right w:val="nil"/>
            </w:tcBorders>
            <w:noWrap/>
            <w:vAlign w:val="center"/>
            <w:hideMark/>
          </w:tcPr>
          <w:p w14:paraId="3FB25D2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207 (66%)</w:t>
            </w:r>
          </w:p>
        </w:tc>
        <w:tc>
          <w:tcPr>
            <w:tcW w:w="1228" w:type="dxa"/>
            <w:tcBorders>
              <w:top w:val="single" w:sz="4" w:space="0" w:color="auto"/>
              <w:left w:val="nil"/>
              <w:bottom w:val="single" w:sz="4" w:space="0" w:color="auto"/>
              <w:right w:val="nil"/>
            </w:tcBorders>
            <w:noWrap/>
            <w:vAlign w:val="center"/>
            <w:hideMark/>
          </w:tcPr>
          <w:p w14:paraId="38ABEA7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77 (24.4%)</w:t>
            </w:r>
          </w:p>
        </w:tc>
        <w:tc>
          <w:tcPr>
            <w:tcW w:w="1228" w:type="dxa"/>
            <w:tcBorders>
              <w:top w:val="single" w:sz="4" w:space="0" w:color="auto"/>
              <w:left w:val="nil"/>
              <w:bottom w:val="single" w:sz="4" w:space="0" w:color="auto"/>
              <w:right w:val="nil"/>
            </w:tcBorders>
            <w:noWrap/>
            <w:vAlign w:val="center"/>
            <w:hideMark/>
          </w:tcPr>
          <w:p w14:paraId="364EE6DE"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31 (9.8%)</w:t>
            </w:r>
          </w:p>
        </w:tc>
      </w:tr>
      <w:tr w:rsidR="00C171AF" w14:paraId="0EEC8179" w14:textId="77777777" w:rsidTr="003B0468">
        <w:trPr>
          <w:trHeight w:val="260"/>
        </w:trPr>
        <w:tc>
          <w:tcPr>
            <w:tcW w:w="1890" w:type="dxa"/>
            <w:tcBorders>
              <w:top w:val="nil"/>
              <w:left w:val="nil"/>
              <w:bottom w:val="nil"/>
              <w:right w:val="nil"/>
            </w:tcBorders>
            <w:vAlign w:val="center"/>
            <w:hideMark/>
          </w:tcPr>
          <w:p w14:paraId="5242DB8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Drowsy</w:t>
            </w:r>
          </w:p>
        </w:tc>
        <w:tc>
          <w:tcPr>
            <w:tcW w:w="1269" w:type="dxa"/>
            <w:tcBorders>
              <w:top w:val="nil"/>
              <w:left w:val="nil"/>
              <w:bottom w:val="nil"/>
              <w:right w:val="nil"/>
            </w:tcBorders>
            <w:noWrap/>
            <w:vAlign w:val="center"/>
            <w:hideMark/>
          </w:tcPr>
          <w:p w14:paraId="69EBB28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355 (88.8%)</w:t>
            </w:r>
          </w:p>
        </w:tc>
        <w:tc>
          <w:tcPr>
            <w:tcW w:w="1469" w:type="dxa"/>
            <w:tcBorders>
              <w:top w:val="nil"/>
              <w:left w:val="nil"/>
              <w:bottom w:val="nil"/>
              <w:right w:val="nil"/>
            </w:tcBorders>
            <w:noWrap/>
            <w:vAlign w:val="center"/>
            <w:hideMark/>
          </w:tcPr>
          <w:p w14:paraId="122D275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218 (54%)</w:t>
            </w:r>
          </w:p>
        </w:tc>
        <w:tc>
          <w:tcPr>
            <w:tcW w:w="1582" w:type="dxa"/>
            <w:tcBorders>
              <w:top w:val="nil"/>
              <w:left w:val="nil"/>
              <w:bottom w:val="nil"/>
              <w:right w:val="nil"/>
            </w:tcBorders>
            <w:noWrap/>
            <w:vAlign w:val="center"/>
            <w:hideMark/>
          </w:tcPr>
          <w:p w14:paraId="694AC17E"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137 (39%)</w:t>
            </w:r>
          </w:p>
        </w:tc>
        <w:tc>
          <w:tcPr>
            <w:tcW w:w="1288" w:type="dxa"/>
            <w:tcBorders>
              <w:top w:val="nil"/>
              <w:left w:val="nil"/>
              <w:bottom w:val="nil"/>
              <w:right w:val="nil"/>
            </w:tcBorders>
            <w:noWrap/>
            <w:vAlign w:val="center"/>
            <w:hideMark/>
          </w:tcPr>
          <w:p w14:paraId="73EDE1E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69 (19.7%)</w:t>
            </w:r>
          </w:p>
        </w:tc>
        <w:tc>
          <w:tcPr>
            <w:tcW w:w="1288" w:type="dxa"/>
            <w:tcBorders>
              <w:top w:val="nil"/>
              <w:left w:val="nil"/>
              <w:bottom w:val="nil"/>
              <w:right w:val="nil"/>
            </w:tcBorders>
            <w:noWrap/>
            <w:vAlign w:val="center"/>
            <w:hideMark/>
          </w:tcPr>
          <w:p w14:paraId="080040A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90 (25.6%)</w:t>
            </w:r>
          </w:p>
        </w:tc>
        <w:tc>
          <w:tcPr>
            <w:tcW w:w="1228" w:type="dxa"/>
            <w:tcBorders>
              <w:top w:val="nil"/>
              <w:left w:val="nil"/>
              <w:bottom w:val="nil"/>
              <w:right w:val="nil"/>
            </w:tcBorders>
            <w:noWrap/>
            <w:vAlign w:val="center"/>
            <w:hideMark/>
          </w:tcPr>
          <w:p w14:paraId="0CBDD3B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192 (55%)</w:t>
            </w:r>
          </w:p>
        </w:tc>
        <w:tc>
          <w:tcPr>
            <w:tcW w:w="1230" w:type="dxa"/>
            <w:tcBorders>
              <w:top w:val="nil"/>
              <w:left w:val="nil"/>
              <w:bottom w:val="nil"/>
              <w:right w:val="nil"/>
            </w:tcBorders>
            <w:noWrap/>
            <w:vAlign w:val="center"/>
            <w:hideMark/>
          </w:tcPr>
          <w:p w14:paraId="6970B78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188 (53%)</w:t>
            </w:r>
          </w:p>
        </w:tc>
        <w:tc>
          <w:tcPr>
            <w:tcW w:w="1228" w:type="dxa"/>
            <w:tcBorders>
              <w:top w:val="nil"/>
              <w:left w:val="nil"/>
              <w:bottom w:val="nil"/>
              <w:right w:val="nil"/>
            </w:tcBorders>
            <w:noWrap/>
            <w:vAlign w:val="center"/>
            <w:hideMark/>
          </w:tcPr>
          <w:p w14:paraId="243E776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106 (29.9%)</w:t>
            </w:r>
          </w:p>
        </w:tc>
        <w:tc>
          <w:tcPr>
            <w:tcW w:w="1228" w:type="dxa"/>
            <w:tcBorders>
              <w:top w:val="nil"/>
              <w:left w:val="nil"/>
              <w:bottom w:val="nil"/>
              <w:right w:val="nil"/>
            </w:tcBorders>
            <w:noWrap/>
            <w:vAlign w:val="center"/>
            <w:hideMark/>
          </w:tcPr>
          <w:p w14:paraId="0B77D32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61 (17.2%)</w:t>
            </w:r>
          </w:p>
        </w:tc>
      </w:tr>
      <w:tr w:rsidR="00C171AF" w14:paraId="06121556" w14:textId="77777777" w:rsidTr="003B0468">
        <w:trPr>
          <w:trHeight w:val="278"/>
        </w:trPr>
        <w:tc>
          <w:tcPr>
            <w:tcW w:w="1890" w:type="dxa"/>
            <w:tcBorders>
              <w:top w:val="single" w:sz="4" w:space="0" w:color="auto"/>
              <w:left w:val="nil"/>
              <w:bottom w:val="single" w:sz="4" w:space="0" w:color="auto"/>
              <w:right w:val="nil"/>
            </w:tcBorders>
            <w:vAlign w:val="center"/>
            <w:hideMark/>
          </w:tcPr>
          <w:p w14:paraId="222FAD9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Nausea</w:t>
            </w:r>
          </w:p>
        </w:tc>
        <w:tc>
          <w:tcPr>
            <w:tcW w:w="1269" w:type="dxa"/>
            <w:tcBorders>
              <w:top w:val="single" w:sz="4" w:space="0" w:color="auto"/>
              <w:left w:val="nil"/>
              <w:bottom w:val="single" w:sz="4" w:space="0" w:color="auto"/>
              <w:right w:val="nil"/>
            </w:tcBorders>
            <w:vAlign w:val="center"/>
            <w:hideMark/>
          </w:tcPr>
          <w:p w14:paraId="1A22466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400 (100%)</w:t>
            </w:r>
          </w:p>
        </w:tc>
        <w:tc>
          <w:tcPr>
            <w:tcW w:w="1469" w:type="dxa"/>
            <w:tcBorders>
              <w:top w:val="single" w:sz="4" w:space="0" w:color="auto"/>
              <w:left w:val="nil"/>
              <w:bottom w:val="single" w:sz="4" w:space="0" w:color="auto"/>
              <w:right w:val="nil"/>
            </w:tcBorders>
            <w:noWrap/>
            <w:vAlign w:val="center"/>
            <w:hideMark/>
          </w:tcPr>
          <w:p w14:paraId="2FF3B622"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202 (51%)</w:t>
            </w:r>
          </w:p>
        </w:tc>
        <w:tc>
          <w:tcPr>
            <w:tcW w:w="1582" w:type="dxa"/>
            <w:tcBorders>
              <w:top w:val="single" w:sz="4" w:space="0" w:color="auto"/>
              <w:left w:val="nil"/>
              <w:bottom w:val="single" w:sz="4" w:space="0" w:color="auto"/>
              <w:right w:val="nil"/>
            </w:tcBorders>
            <w:noWrap/>
            <w:vAlign w:val="center"/>
            <w:hideMark/>
          </w:tcPr>
          <w:p w14:paraId="339F129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198 (49.5%)</w:t>
            </w:r>
          </w:p>
        </w:tc>
        <w:tc>
          <w:tcPr>
            <w:tcW w:w="1288" w:type="dxa"/>
            <w:tcBorders>
              <w:top w:val="single" w:sz="4" w:space="0" w:color="auto"/>
              <w:left w:val="nil"/>
              <w:bottom w:val="single" w:sz="4" w:space="0" w:color="auto"/>
              <w:right w:val="nil"/>
            </w:tcBorders>
            <w:noWrap/>
            <w:vAlign w:val="center"/>
            <w:hideMark/>
          </w:tcPr>
          <w:p w14:paraId="7898F55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82 (20.5%)</w:t>
            </w:r>
          </w:p>
        </w:tc>
        <w:tc>
          <w:tcPr>
            <w:tcW w:w="1288" w:type="dxa"/>
            <w:tcBorders>
              <w:top w:val="single" w:sz="4" w:space="0" w:color="auto"/>
              <w:left w:val="nil"/>
              <w:bottom w:val="single" w:sz="4" w:space="0" w:color="auto"/>
              <w:right w:val="nil"/>
            </w:tcBorders>
            <w:noWrap/>
            <w:vAlign w:val="center"/>
            <w:hideMark/>
          </w:tcPr>
          <w:p w14:paraId="1F08ACD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148 (37%)</w:t>
            </w:r>
          </w:p>
        </w:tc>
        <w:tc>
          <w:tcPr>
            <w:tcW w:w="1228" w:type="dxa"/>
            <w:tcBorders>
              <w:top w:val="single" w:sz="4" w:space="0" w:color="auto"/>
              <w:left w:val="nil"/>
              <w:bottom w:val="single" w:sz="4" w:space="0" w:color="auto"/>
              <w:right w:val="nil"/>
            </w:tcBorders>
            <w:noWrap/>
            <w:vAlign w:val="center"/>
            <w:hideMark/>
          </w:tcPr>
          <w:p w14:paraId="2ADBDB1F"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170 (43%)</w:t>
            </w:r>
          </w:p>
        </w:tc>
        <w:tc>
          <w:tcPr>
            <w:tcW w:w="1230" w:type="dxa"/>
            <w:tcBorders>
              <w:top w:val="single" w:sz="4" w:space="0" w:color="auto"/>
              <w:left w:val="nil"/>
              <w:bottom w:val="single" w:sz="4" w:space="0" w:color="auto"/>
              <w:right w:val="nil"/>
            </w:tcBorders>
            <w:noWrap/>
            <w:vAlign w:val="center"/>
            <w:hideMark/>
          </w:tcPr>
          <w:p w14:paraId="4F72096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159 (40%)</w:t>
            </w:r>
          </w:p>
        </w:tc>
        <w:tc>
          <w:tcPr>
            <w:tcW w:w="1228" w:type="dxa"/>
            <w:tcBorders>
              <w:top w:val="single" w:sz="4" w:space="0" w:color="auto"/>
              <w:left w:val="nil"/>
              <w:bottom w:val="single" w:sz="4" w:space="0" w:color="auto"/>
              <w:right w:val="nil"/>
            </w:tcBorders>
            <w:noWrap/>
            <w:vAlign w:val="center"/>
            <w:hideMark/>
          </w:tcPr>
          <w:p w14:paraId="64DEB54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135 (33.8%)</w:t>
            </w:r>
          </w:p>
        </w:tc>
        <w:tc>
          <w:tcPr>
            <w:tcW w:w="1228" w:type="dxa"/>
            <w:tcBorders>
              <w:top w:val="single" w:sz="4" w:space="0" w:color="auto"/>
              <w:left w:val="nil"/>
              <w:bottom w:val="single" w:sz="4" w:space="0" w:color="auto"/>
              <w:right w:val="nil"/>
            </w:tcBorders>
            <w:noWrap/>
            <w:vAlign w:val="center"/>
            <w:hideMark/>
          </w:tcPr>
          <w:p w14:paraId="4EDCC22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106 (26.5%)</w:t>
            </w:r>
          </w:p>
        </w:tc>
      </w:tr>
      <w:tr w:rsidR="00C171AF" w14:paraId="3064C16A" w14:textId="77777777" w:rsidTr="003B0468">
        <w:trPr>
          <w:trHeight w:val="305"/>
        </w:trPr>
        <w:tc>
          <w:tcPr>
            <w:tcW w:w="1890" w:type="dxa"/>
            <w:tcBorders>
              <w:top w:val="nil"/>
              <w:left w:val="nil"/>
              <w:bottom w:val="nil"/>
              <w:right w:val="nil"/>
            </w:tcBorders>
            <w:vAlign w:val="center"/>
            <w:hideMark/>
          </w:tcPr>
          <w:p w14:paraId="7EC947A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Vomiting</w:t>
            </w:r>
          </w:p>
        </w:tc>
        <w:tc>
          <w:tcPr>
            <w:tcW w:w="1269" w:type="dxa"/>
            <w:tcBorders>
              <w:top w:val="nil"/>
              <w:left w:val="nil"/>
              <w:bottom w:val="nil"/>
              <w:right w:val="nil"/>
            </w:tcBorders>
            <w:noWrap/>
            <w:vAlign w:val="center"/>
            <w:hideMark/>
          </w:tcPr>
          <w:p w14:paraId="0ACFA3F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329 (82.3%)</w:t>
            </w:r>
          </w:p>
        </w:tc>
        <w:tc>
          <w:tcPr>
            <w:tcW w:w="1469" w:type="dxa"/>
            <w:tcBorders>
              <w:top w:val="nil"/>
              <w:left w:val="nil"/>
              <w:bottom w:val="nil"/>
              <w:right w:val="nil"/>
            </w:tcBorders>
            <w:noWrap/>
            <w:vAlign w:val="center"/>
            <w:hideMark/>
          </w:tcPr>
          <w:p w14:paraId="5AD23F2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227 (69%)</w:t>
            </w:r>
          </w:p>
        </w:tc>
        <w:tc>
          <w:tcPr>
            <w:tcW w:w="1582" w:type="dxa"/>
            <w:tcBorders>
              <w:top w:val="nil"/>
              <w:left w:val="nil"/>
              <w:bottom w:val="nil"/>
              <w:right w:val="nil"/>
            </w:tcBorders>
            <w:noWrap/>
            <w:vAlign w:val="center"/>
            <w:hideMark/>
          </w:tcPr>
          <w:p w14:paraId="4ECCAD4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104 (31%)</w:t>
            </w:r>
          </w:p>
        </w:tc>
        <w:tc>
          <w:tcPr>
            <w:tcW w:w="1288" w:type="dxa"/>
            <w:tcBorders>
              <w:top w:val="nil"/>
              <w:left w:val="nil"/>
              <w:bottom w:val="nil"/>
              <w:right w:val="nil"/>
            </w:tcBorders>
            <w:noWrap/>
            <w:vAlign w:val="center"/>
            <w:hideMark/>
          </w:tcPr>
          <w:p w14:paraId="1D1F6F6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61 (18.4%)</w:t>
            </w:r>
          </w:p>
        </w:tc>
        <w:tc>
          <w:tcPr>
            <w:tcW w:w="1288" w:type="dxa"/>
            <w:tcBorders>
              <w:top w:val="nil"/>
              <w:left w:val="nil"/>
              <w:bottom w:val="nil"/>
              <w:right w:val="nil"/>
            </w:tcBorders>
            <w:noWrap/>
            <w:vAlign w:val="center"/>
            <w:hideMark/>
          </w:tcPr>
          <w:p w14:paraId="5A01A59F"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134 (40.5%)</w:t>
            </w:r>
          </w:p>
        </w:tc>
        <w:tc>
          <w:tcPr>
            <w:tcW w:w="1228" w:type="dxa"/>
            <w:tcBorders>
              <w:top w:val="nil"/>
              <w:left w:val="nil"/>
              <w:bottom w:val="nil"/>
              <w:right w:val="nil"/>
            </w:tcBorders>
            <w:noWrap/>
            <w:vAlign w:val="center"/>
            <w:hideMark/>
          </w:tcPr>
          <w:p w14:paraId="0C3BB17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136 (41%)</w:t>
            </w:r>
          </w:p>
        </w:tc>
        <w:tc>
          <w:tcPr>
            <w:tcW w:w="1230" w:type="dxa"/>
            <w:tcBorders>
              <w:top w:val="nil"/>
              <w:left w:val="nil"/>
              <w:bottom w:val="nil"/>
              <w:right w:val="nil"/>
            </w:tcBorders>
            <w:noWrap/>
            <w:vAlign w:val="center"/>
            <w:hideMark/>
          </w:tcPr>
          <w:p w14:paraId="6914AB0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230 (69%)</w:t>
            </w:r>
          </w:p>
        </w:tc>
        <w:tc>
          <w:tcPr>
            <w:tcW w:w="1228" w:type="dxa"/>
            <w:tcBorders>
              <w:top w:val="nil"/>
              <w:left w:val="nil"/>
              <w:bottom w:val="nil"/>
              <w:right w:val="nil"/>
            </w:tcBorders>
            <w:noWrap/>
            <w:vAlign w:val="center"/>
            <w:hideMark/>
          </w:tcPr>
          <w:p w14:paraId="58F2023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58 (17.5%)</w:t>
            </w:r>
          </w:p>
        </w:tc>
        <w:tc>
          <w:tcPr>
            <w:tcW w:w="1228" w:type="dxa"/>
            <w:tcBorders>
              <w:top w:val="nil"/>
              <w:left w:val="nil"/>
              <w:bottom w:val="nil"/>
              <w:right w:val="nil"/>
            </w:tcBorders>
            <w:noWrap/>
            <w:vAlign w:val="center"/>
            <w:hideMark/>
          </w:tcPr>
          <w:p w14:paraId="574C97B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43 (13%)</w:t>
            </w:r>
          </w:p>
        </w:tc>
      </w:tr>
      <w:tr w:rsidR="00C171AF" w14:paraId="30AA041A" w14:textId="77777777" w:rsidTr="003B0468">
        <w:trPr>
          <w:trHeight w:val="312"/>
        </w:trPr>
        <w:tc>
          <w:tcPr>
            <w:tcW w:w="1890" w:type="dxa"/>
            <w:tcBorders>
              <w:top w:val="single" w:sz="4" w:space="0" w:color="auto"/>
              <w:left w:val="nil"/>
              <w:bottom w:val="single" w:sz="4" w:space="0" w:color="auto"/>
              <w:right w:val="nil"/>
            </w:tcBorders>
            <w:noWrap/>
            <w:vAlign w:val="center"/>
            <w:hideMark/>
          </w:tcPr>
          <w:p w14:paraId="245CBE0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 xml:space="preserve">Skin irritation </w:t>
            </w:r>
          </w:p>
        </w:tc>
        <w:tc>
          <w:tcPr>
            <w:tcW w:w="1269" w:type="dxa"/>
            <w:tcBorders>
              <w:top w:val="single" w:sz="4" w:space="0" w:color="auto"/>
              <w:left w:val="nil"/>
              <w:bottom w:val="single" w:sz="4" w:space="0" w:color="auto"/>
              <w:right w:val="nil"/>
            </w:tcBorders>
            <w:noWrap/>
            <w:vAlign w:val="center"/>
            <w:hideMark/>
          </w:tcPr>
          <w:p w14:paraId="14F1CC3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277 (69.3%)</w:t>
            </w:r>
          </w:p>
        </w:tc>
        <w:tc>
          <w:tcPr>
            <w:tcW w:w="1469" w:type="dxa"/>
            <w:tcBorders>
              <w:top w:val="single" w:sz="4" w:space="0" w:color="auto"/>
              <w:left w:val="nil"/>
              <w:bottom w:val="single" w:sz="4" w:space="0" w:color="auto"/>
              <w:right w:val="nil"/>
            </w:tcBorders>
            <w:noWrap/>
            <w:vAlign w:val="center"/>
            <w:hideMark/>
          </w:tcPr>
          <w:p w14:paraId="1B33EEA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210 (76%)</w:t>
            </w:r>
          </w:p>
        </w:tc>
        <w:tc>
          <w:tcPr>
            <w:tcW w:w="1582" w:type="dxa"/>
            <w:tcBorders>
              <w:top w:val="single" w:sz="4" w:space="0" w:color="auto"/>
              <w:left w:val="nil"/>
              <w:bottom w:val="single" w:sz="4" w:space="0" w:color="auto"/>
              <w:right w:val="nil"/>
            </w:tcBorders>
            <w:noWrap/>
            <w:vAlign w:val="center"/>
            <w:hideMark/>
          </w:tcPr>
          <w:p w14:paraId="3257A85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67 (24%)</w:t>
            </w:r>
          </w:p>
        </w:tc>
        <w:tc>
          <w:tcPr>
            <w:tcW w:w="1288" w:type="dxa"/>
            <w:tcBorders>
              <w:top w:val="single" w:sz="4" w:space="0" w:color="auto"/>
              <w:left w:val="nil"/>
              <w:bottom w:val="single" w:sz="4" w:space="0" w:color="auto"/>
              <w:right w:val="nil"/>
            </w:tcBorders>
            <w:noWrap/>
            <w:vAlign w:val="center"/>
            <w:hideMark/>
          </w:tcPr>
          <w:p w14:paraId="67E17DA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151 (54.5%)</w:t>
            </w:r>
          </w:p>
        </w:tc>
        <w:tc>
          <w:tcPr>
            <w:tcW w:w="1288" w:type="dxa"/>
            <w:tcBorders>
              <w:top w:val="single" w:sz="4" w:space="0" w:color="auto"/>
              <w:left w:val="nil"/>
              <w:bottom w:val="single" w:sz="4" w:space="0" w:color="auto"/>
              <w:right w:val="nil"/>
            </w:tcBorders>
            <w:noWrap/>
            <w:vAlign w:val="center"/>
            <w:hideMark/>
          </w:tcPr>
          <w:p w14:paraId="509F238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48 (17.3%)</w:t>
            </w:r>
          </w:p>
        </w:tc>
        <w:tc>
          <w:tcPr>
            <w:tcW w:w="1228" w:type="dxa"/>
            <w:tcBorders>
              <w:top w:val="single" w:sz="4" w:space="0" w:color="auto"/>
              <w:left w:val="nil"/>
              <w:bottom w:val="single" w:sz="4" w:space="0" w:color="auto"/>
              <w:right w:val="nil"/>
            </w:tcBorders>
            <w:noWrap/>
            <w:vAlign w:val="center"/>
            <w:hideMark/>
          </w:tcPr>
          <w:p w14:paraId="0423999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78 (28%)</w:t>
            </w:r>
          </w:p>
        </w:tc>
        <w:tc>
          <w:tcPr>
            <w:tcW w:w="1230" w:type="dxa"/>
            <w:tcBorders>
              <w:top w:val="single" w:sz="4" w:space="0" w:color="auto"/>
              <w:left w:val="nil"/>
              <w:bottom w:val="single" w:sz="4" w:space="0" w:color="auto"/>
              <w:right w:val="nil"/>
            </w:tcBorders>
            <w:noWrap/>
            <w:vAlign w:val="center"/>
            <w:hideMark/>
          </w:tcPr>
          <w:p w14:paraId="64C6EBC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185 (67%)</w:t>
            </w:r>
          </w:p>
        </w:tc>
        <w:tc>
          <w:tcPr>
            <w:tcW w:w="1228" w:type="dxa"/>
            <w:tcBorders>
              <w:top w:val="single" w:sz="4" w:space="0" w:color="auto"/>
              <w:left w:val="nil"/>
              <w:bottom w:val="single" w:sz="4" w:space="0" w:color="auto"/>
              <w:right w:val="nil"/>
            </w:tcBorders>
            <w:noWrap/>
            <w:vAlign w:val="center"/>
            <w:hideMark/>
          </w:tcPr>
          <w:p w14:paraId="3E4FE93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33 (11.9%)</w:t>
            </w:r>
          </w:p>
        </w:tc>
        <w:tc>
          <w:tcPr>
            <w:tcW w:w="1228" w:type="dxa"/>
            <w:tcBorders>
              <w:top w:val="single" w:sz="4" w:space="0" w:color="auto"/>
              <w:left w:val="nil"/>
              <w:bottom w:val="single" w:sz="4" w:space="0" w:color="auto"/>
              <w:right w:val="nil"/>
            </w:tcBorders>
            <w:noWrap/>
            <w:vAlign w:val="center"/>
            <w:hideMark/>
          </w:tcPr>
          <w:p w14:paraId="1AB1C39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59 (21.3%)</w:t>
            </w:r>
          </w:p>
        </w:tc>
      </w:tr>
      <w:tr w:rsidR="00C171AF" w14:paraId="7670285C" w14:textId="77777777" w:rsidTr="003B0468">
        <w:trPr>
          <w:trHeight w:val="312"/>
        </w:trPr>
        <w:tc>
          <w:tcPr>
            <w:tcW w:w="1890" w:type="dxa"/>
            <w:tcBorders>
              <w:top w:val="single" w:sz="4" w:space="0" w:color="auto"/>
              <w:left w:val="nil"/>
              <w:bottom w:val="single" w:sz="4" w:space="0" w:color="auto"/>
              <w:right w:val="nil"/>
            </w:tcBorders>
            <w:noWrap/>
            <w:vAlign w:val="center"/>
            <w:hideMark/>
          </w:tcPr>
          <w:p w14:paraId="056C176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Skin changes</w:t>
            </w:r>
          </w:p>
        </w:tc>
        <w:tc>
          <w:tcPr>
            <w:tcW w:w="1269" w:type="dxa"/>
            <w:tcBorders>
              <w:top w:val="single" w:sz="4" w:space="0" w:color="auto"/>
              <w:left w:val="nil"/>
              <w:bottom w:val="single" w:sz="4" w:space="0" w:color="auto"/>
              <w:right w:val="nil"/>
            </w:tcBorders>
            <w:noWrap/>
            <w:vAlign w:val="center"/>
            <w:hideMark/>
          </w:tcPr>
          <w:p w14:paraId="1ECAF94E"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246 (61.7%)</w:t>
            </w:r>
          </w:p>
        </w:tc>
        <w:tc>
          <w:tcPr>
            <w:tcW w:w="1469" w:type="dxa"/>
            <w:tcBorders>
              <w:top w:val="single" w:sz="4" w:space="0" w:color="auto"/>
              <w:left w:val="nil"/>
              <w:bottom w:val="single" w:sz="4" w:space="0" w:color="auto"/>
              <w:right w:val="nil"/>
            </w:tcBorders>
            <w:noWrap/>
            <w:vAlign w:val="center"/>
            <w:hideMark/>
          </w:tcPr>
          <w:p w14:paraId="6BCAD6D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134 (50%)</w:t>
            </w:r>
          </w:p>
        </w:tc>
        <w:tc>
          <w:tcPr>
            <w:tcW w:w="1582" w:type="dxa"/>
            <w:tcBorders>
              <w:top w:val="single" w:sz="4" w:space="0" w:color="auto"/>
              <w:left w:val="nil"/>
              <w:bottom w:val="single" w:sz="4" w:space="0" w:color="auto"/>
              <w:right w:val="nil"/>
            </w:tcBorders>
            <w:noWrap/>
            <w:vAlign w:val="center"/>
            <w:hideMark/>
          </w:tcPr>
          <w:p w14:paraId="5FA1B89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133 (50%)</w:t>
            </w:r>
          </w:p>
        </w:tc>
        <w:tc>
          <w:tcPr>
            <w:tcW w:w="1288" w:type="dxa"/>
            <w:tcBorders>
              <w:top w:val="single" w:sz="4" w:space="0" w:color="auto"/>
              <w:left w:val="nil"/>
              <w:bottom w:val="single" w:sz="4" w:space="0" w:color="auto"/>
              <w:right w:val="nil"/>
            </w:tcBorders>
            <w:noWrap/>
            <w:vAlign w:val="center"/>
            <w:hideMark/>
          </w:tcPr>
          <w:p w14:paraId="5A33970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15 (5.6%)</w:t>
            </w:r>
          </w:p>
        </w:tc>
        <w:tc>
          <w:tcPr>
            <w:tcW w:w="1288" w:type="dxa"/>
            <w:tcBorders>
              <w:top w:val="single" w:sz="4" w:space="0" w:color="auto"/>
              <w:left w:val="nil"/>
              <w:bottom w:val="single" w:sz="4" w:space="0" w:color="auto"/>
              <w:right w:val="nil"/>
            </w:tcBorders>
            <w:noWrap/>
            <w:vAlign w:val="center"/>
            <w:hideMark/>
          </w:tcPr>
          <w:p w14:paraId="0835D26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83 (31.1%)</w:t>
            </w:r>
          </w:p>
        </w:tc>
        <w:tc>
          <w:tcPr>
            <w:tcW w:w="1228" w:type="dxa"/>
            <w:tcBorders>
              <w:top w:val="single" w:sz="4" w:space="0" w:color="auto"/>
              <w:left w:val="nil"/>
              <w:bottom w:val="single" w:sz="4" w:space="0" w:color="auto"/>
              <w:right w:val="nil"/>
            </w:tcBorders>
            <w:noWrap/>
            <w:vAlign w:val="center"/>
            <w:hideMark/>
          </w:tcPr>
          <w:p w14:paraId="13D520EB"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169 (63%)</w:t>
            </w:r>
          </w:p>
        </w:tc>
        <w:tc>
          <w:tcPr>
            <w:tcW w:w="1230" w:type="dxa"/>
            <w:tcBorders>
              <w:top w:val="single" w:sz="4" w:space="0" w:color="auto"/>
              <w:left w:val="nil"/>
              <w:bottom w:val="single" w:sz="4" w:space="0" w:color="auto"/>
              <w:right w:val="nil"/>
            </w:tcBorders>
            <w:noWrap/>
            <w:vAlign w:val="center"/>
            <w:hideMark/>
          </w:tcPr>
          <w:p w14:paraId="725CA1FF"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111 (42%)</w:t>
            </w:r>
          </w:p>
        </w:tc>
        <w:tc>
          <w:tcPr>
            <w:tcW w:w="1228" w:type="dxa"/>
            <w:tcBorders>
              <w:top w:val="single" w:sz="4" w:space="0" w:color="auto"/>
              <w:left w:val="nil"/>
              <w:bottom w:val="single" w:sz="4" w:space="0" w:color="auto"/>
              <w:right w:val="nil"/>
            </w:tcBorders>
            <w:noWrap/>
            <w:vAlign w:val="center"/>
            <w:hideMark/>
          </w:tcPr>
          <w:p w14:paraId="66BFB08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65 (24.3%)</w:t>
            </w:r>
          </w:p>
        </w:tc>
        <w:tc>
          <w:tcPr>
            <w:tcW w:w="1228" w:type="dxa"/>
            <w:tcBorders>
              <w:top w:val="single" w:sz="4" w:space="0" w:color="auto"/>
              <w:left w:val="nil"/>
              <w:bottom w:val="single" w:sz="4" w:space="0" w:color="auto"/>
              <w:right w:val="nil"/>
            </w:tcBorders>
            <w:noWrap/>
            <w:vAlign w:val="center"/>
            <w:hideMark/>
          </w:tcPr>
          <w:p w14:paraId="62E4968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91 (34.1%)</w:t>
            </w:r>
          </w:p>
        </w:tc>
      </w:tr>
      <w:tr w:rsidR="00C171AF" w14:paraId="6FFEF470" w14:textId="77777777" w:rsidTr="003B0468">
        <w:trPr>
          <w:trHeight w:val="233"/>
        </w:trPr>
        <w:tc>
          <w:tcPr>
            <w:tcW w:w="1890" w:type="dxa"/>
            <w:tcBorders>
              <w:top w:val="single" w:sz="4" w:space="0" w:color="auto"/>
              <w:left w:val="nil"/>
              <w:bottom w:val="nil"/>
              <w:right w:val="nil"/>
            </w:tcBorders>
            <w:vAlign w:val="center"/>
            <w:hideMark/>
          </w:tcPr>
          <w:p w14:paraId="47C957C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Mouth sores</w:t>
            </w:r>
          </w:p>
        </w:tc>
        <w:tc>
          <w:tcPr>
            <w:tcW w:w="1269" w:type="dxa"/>
            <w:tcBorders>
              <w:top w:val="single" w:sz="4" w:space="0" w:color="auto"/>
              <w:left w:val="nil"/>
              <w:bottom w:val="nil"/>
              <w:right w:val="nil"/>
            </w:tcBorders>
            <w:noWrap/>
            <w:vAlign w:val="center"/>
            <w:hideMark/>
          </w:tcPr>
          <w:p w14:paraId="1238EE4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394 (98.5%)</w:t>
            </w:r>
          </w:p>
        </w:tc>
        <w:tc>
          <w:tcPr>
            <w:tcW w:w="1469" w:type="dxa"/>
            <w:tcBorders>
              <w:top w:val="single" w:sz="4" w:space="0" w:color="auto"/>
              <w:left w:val="nil"/>
              <w:bottom w:val="nil"/>
              <w:right w:val="nil"/>
            </w:tcBorders>
            <w:noWrap/>
            <w:vAlign w:val="center"/>
            <w:hideMark/>
          </w:tcPr>
          <w:p w14:paraId="2D198E6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88 (22%)</w:t>
            </w:r>
          </w:p>
        </w:tc>
        <w:tc>
          <w:tcPr>
            <w:tcW w:w="1582" w:type="dxa"/>
            <w:tcBorders>
              <w:top w:val="single" w:sz="4" w:space="0" w:color="auto"/>
              <w:left w:val="nil"/>
              <w:bottom w:val="nil"/>
              <w:right w:val="nil"/>
            </w:tcBorders>
            <w:noWrap/>
            <w:vAlign w:val="center"/>
            <w:hideMark/>
          </w:tcPr>
          <w:p w14:paraId="4878EE3E"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308 (78%)</w:t>
            </w:r>
          </w:p>
        </w:tc>
        <w:tc>
          <w:tcPr>
            <w:tcW w:w="1288" w:type="dxa"/>
            <w:tcBorders>
              <w:top w:val="single" w:sz="4" w:space="0" w:color="auto"/>
              <w:left w:val="nil"/>
              <w:bottom w:val="nil"/>
              <w:right w:val="nil"/>
            </w:tcBorders>
            <w:noWrap/>
            <w:vAlign w:val="center"/>
            <w:hideMark/>
          </w:tcPr>
          <w:p w14:paraId="62589EC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60 (15.2%)</w:t>
            </w:r>
          </w:p>
        </w:tc>
        <w:tc>
          <w:tcPr>
            <w:tcW w:w="1288" w:type="dxa"/>
            <w:tcBorders>
              <w:top w:val="single" w:sz="4" w:space="0" w:color="auto"/>
              <w:left w:val="nil"/>
              <w:bottom w:val="nil"/>
              <w:right w:val="nil"/>
            </w:tcBorders>
            <w:noWrap/>
            <w:vAlign w:val="center"/>
            <w:hideMark/>
          </w:tcPr>
          <w:p w14:paraId="7CD04BD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89 (22.5%)</w:t>
            </w:r>
          </w:p>
        </w:tc>
        <w:tc>
          <w:tcPr>
            <w:tcW w:w="1228" w:type="dxa"/>
            <w:tcBorders>
              <w:top w:val="single" w:sz="4" w:space="0" w:color="auto"/>
              <w:left w:val="nil"/>
              <w:bottom w:val="nil"/>
              <w:right w:val="nil"/>
            </w:tcBorders>
            <w:noWrap/>
            <w:vAlign w:val="center"/>
            <w:hideMark/>
          </w:tcPr>
          <w:p w14:paraId="5DF9D07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247 (62%)</w:t>
            </w:r>
          </w:p>
        </w:tc>
        <w:tc>
          <w:tcPr>
            <w:tcW w:w="1230" w:type="dxa"/>
            <w:tcBorders>
              <w:top w:val="single" w:sz="4" w:space="0" w:color="auto"/>
              <w:left w:val="nil"/>
              <w:bottom w:val="nil"/>
              <w:right w:val="nil"/>
            </w:tcBorders>
            <w:noWrap/>
            <w:vAlign w:val="center"/>
            <w:hideMark/>
          </w:tcPr>
          <w:p w14:paraId="53BE636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80 (20%)</w:t>
            </w:r>
          </w:p>
        </w:tc>
        <w:tc>
          <w:tcPr>
            <w:tcW w:w="1228" w:type="dxa"/>
            <w:tcBorders>
              <w:top w:val="single" w:sz="4" w:space="0" w:color="auto"/>
              <w:left w:val="nil"/>
              <w:bottom w:val="nil"/>
              <w:right w:val="nil"/>
            </w:tcBorders>
            <w:noWrap/>
            <w:vAlign w:val="center"/>
            <w:hideMark/>
          </w:tcPr>
          <w:p w14:paraId="49F7626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117 (29.5%)</w:t>
            </w:r>
          </w:p>
        </w:tc>
        <w:tc>
          <w:tcPr>
            <w:tcW w:w="1228" w:type="dxa"/>
            <w:tcBorders>
              <w:top w:val="single" w:sz="4" w:space="0" w:color="auto"/>
              <w:left w:val="nil"/>
              <w:bottom w:val="nil"/>
              <w:right w:val="nil"/>
            </w:tcBorders>
            <w:noWrap/>
            <w:vAlign w:val="center"/>
            <w:hideMark/>
          </w:tcPr>
          <w:p w14:paraId="3286949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199 (50.3%)</w:t>
            </w:r>
          </w:p>
        </w:tc>
      </w:tr>
      <w:tr w:rsidR="00C171AF" w14:paraId="5D9DDC8B" w14:textId="77777777" w:rsidTr="003B0468">
        <w:trPr>
          <w:trHeight w:val="233"/>
        </w:trPr>
        <w:tc>
          <w:tcPr>
            <w:tcW w:w="1890" w:type="dxa"/>
            <w:tcBorders>
              <w:top w:val="single" w:sz="4" w:space="0" w:color="auto"/>
              <w:left w:val="nil"/>
              <w:bottom w:val="single" w:sz="4" w:space="0" w:color="auto"/>
              <w:right w:val="nil"/>
            </w:tcBorders>
            <w:vAlign w:val="center"/>
            <w:hideMark/>
          </w:tcPr>
          <w:p w14:paraId="22F4648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Hair loss</w:t>
            </w:r>
          </w:p>
        </w:tc>
        <w:tc>
          <w:tcPr>
            <w:tcW w:w="1269" w:type="dxa"/>
            <w:tcBorders>
              <w:top w:val="single" w:sz="4" w:space="0" w:color="auto"/>
              <w:left w:val="nil"/>
              <w:bottom w:val="single" w:sz="4" w:space="0" w:color="auto"/>
              <w:right w:val="nil"/>
            </w:tcBorders>
            <w:noWrap/>
            <w:vAlign w:val="center"/>
            <w:hideMark/>
          </w:tcPr>
          <w:p w14:paraId="14C0471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382 (95.5%)</w:t>
            </w:r>
          </w:p>
        </w:tc>
        <w:tc>
          <w:tcPr>
            <w:tcW w:w="1469" w:type="dxa"/>
            <w:tcBorders>
              <w:top w:val="single" w:sz="4" w:space="0" w:color="auto"/>
              <w:left w:val="nil"/>
              <w:bottom w:val="single" w:sz="4" w:space="0" w:color="auto"/>
              <w:right w:val="nil"/>
            </w:tcBorders>
            <w:noWrap/>
            <w:vAlign w:val="center"/>
            <w:hideMark/>
          </w:tcPr>
          <w:p w14:paraId="2F72EC02"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102 (27%)</w:t>
            </w:r>
          </w:p>
        </w:tc>
        <w:tc>
          <w:tcPr>
            <w:tcW w:w="1582" w:type="dxa"/>
            <w:tcBorders>
              <w:top w:val="single" w:sz="4" w:space="0" w:color="auto"/>
              <w:left w:val="nil"/>
              <w:bottom w:val="single" w:sz="4" w:space="0" w:color="auto"/>
              <w:right w:val="nil"/>
            </w:tcBorders>
            <w:noWrap/>
            <w:vAlign w:val="center"/>
            <w:hideMark/>
          </w:tcPr>
          <w:p w14:paraId="66D4CF3B"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280 (73%)</w:t>
            </w:r>
          </w:p>
        </w:tc>
        <w:tc>
          <w:tcPr>
            <w:tcW w:w="1288" w:type="dxa"/>
            <w:tcBorders>
              <w:top w:val="single" w:sz="4" w:space="0" w:color="auto"/>
              <w:left w:val="nil"/>
              <w:bottom w:val="single" w:sz="4" w:space="0" w:color="auto"/>
              <w:right w:val="nil"/>
            </w:tcBorders>
            <w:noWrap/>
            <w:vAlign w:val="center"/>
            <w:hideMark/>
          </w:tcPr>
          <w:p w14:paraId="0D1F07B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19.5 (20.3%)</w:t>
            </w:r>
          </w:p>
        </w:tc>
        <w:tc>
          <w:tcPr>
            <w:tcW w:w="1288" w:type="dxa"/>
            <w:tcBorders>
              <w:top w:val="single" w:sz="4" w:space="0" w:color="auto"/>
              <w:left w:val="nil"/>
              <w:bottom w:val="single" w:sz="4" w:space="0" w:color="auto"/>
              <w:right w:val="nil"/>
            </w:tcBorders>
            <w:noWrap/>
            <w:vAlign w:val="center"/>
            <w:hideMark/>
          </w:tcPr>
          <w:p w14:paraId="7A77C5E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28.5 (29.7%)</w:t>
            </w:r>
          </w:p>
        </w:tc>
        <w:tc>
          <w:tcPr>
            <w:tcW w:w="1228" w:type="dxa"/>
            <w:tcBorders>
              <w:top w:val="single" w:sz="4" w:space="0" w:color="auto"/>
              <w:left w:val="nil"/>
              <w:bottom w:val="single" w:sz="4" w:space="0" w:color="auto"/>
              <w:right w:val="nil"/>
            </w:tcBorders>
            <w:noWrap/>
            <w:vAlign w:val="center"/>
            <w:hideMark/>
          </w:tcPr>
          <w:p w14:paraId="5FF11C1E"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47.5 (49%)</w:t>
            </w:r>
          </w:p>
        </w:tc>
        <w:tc>
          <w:tcPr>
            <w:tcW w:w="1230" w:type="dxa"/>
            <w:tcBorders>
              <w:top w:val="single" w:sz="4" w:space="0" w:color="auto"/>
              <w:left w:val="nil"/>
              <w:bottom w:val="single" w:sz="4" w:space="0" w:color="auto"/>
              <w:right w:val="nil"/>
            </w:tcBorders>
            <w:noWrap/>
            <w:vAlign w:val="center"/>
            <w:hideMark/>
          </w:tcPr>
          <w:p w14:paraId="3FD0910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77 (20%)</w:t>
            </w:r>
          </w:p>
        </w:tc>
        <w:tc>
          <w:tcPr>
            <w:tcW w:w="1228" w:type="dxa"/>
            <w:tcBorders>
              <w:top w:val="single" w:sz="4" w:space="0" w:color="auto"/>
              <w:left w:val="nil"/>
              <w:bottom w:val="single" w:sz="4" w:space="0" w:color="auto"/>
              <w:right w:val="nil"/>
            </w:tcBorders>
            <w:noWrap/>
            <w:vAlign w:val="center"/>
            <w:hideMark/>
          </w:tcPr>
          <w:p w14:paraId="3F58831F"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172 (45%)</w:t>
            </w:r>
          </w:p>
        </w:tc>
        <w:tc>
          <w:tcPr>
            <w:tcW w:w="1228" w:type="dxa"/>
            <w:tcBorders>
              <w:top w:val="single" w:sz="4" w:space="0" w:color="auto"/>
              <w:left w:val="nil"/>
              <w:bottom w:val="single" w:sz="4" w:space="0" w:color="auto"/>
              <w:right w:val="nil"/>
            </w:tcBorders>
            <w:noWrap/>
            <w:vAlign w:val="center"/>
            <w:hideMark/>
          </w:tcPr>
          <w:p w14:paraId="41AB245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133 (34.8%)</w:t>
            </w:r>
          </w:p>
        </w:tc>
      </w:tr>
      <w:tr w:rsidR="00C171AF" w14:paraId="1155DE06" w14:textId="77777777" w:rsidTr="003B0468">
        <w:trPr>
          <w:trHeight w:val="161"/>
        </w:trPr>
        <w:tc>
          <w:tcPr>
            <w:tcW w:w="1890" w:type="dxa"/>
            <w:tcBorders>
              <w:top w:val="nil"/>
              <w:left w:val="nil"/>
              <w:bottom w:val="nil"/>
              <w:right w:val="nil"/>
            </w:tcBorders>
            <w:vAlign w:val="center"/>
            <w:hideMark/>
          </w:tcPr>
          <w:p w14:paraId="0C22B08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Sore throat</w:t>
            </w:r>
          </w:p>
        </w:tc>
        <w:tc>
          <w:tcPr>
            <w:tcW w:w="1269" w:type="dxa"/>
            <w:tcBorders>
              <w:top w:val="nil"/>
              <w:left w:val="nil"/>
              <w:bottom w:val="nil"/>
              <w:right w:val="nil"/>
            </w:tcBorders>
            <w:noWrap/>
            <w:vAlign w:val="center"/>
            <w:hideMark/>
          </w:tcPr>
          <w:p w14:paraId="29DA80A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361 (90.3%)</w:t>
            </w:r>
          </w:p>
        </w:tc>
        <w:tc>
          <w:tcPr>
            <w:tcW w:w="1469" w:type="dxa"/>
            <w:tcBorders>
              <w:top w:val="nil"/>
              <w:left w:val="nil"/>
              <w:bottom w:val="nil"/>
              <w:right w:val="nil"/>
            </w:tcBorders>
            <w:noWrap/>
            <w:vAlign w:val="center"/>
            <w:hideMark/>
          </w:tcPr>
          <w:p w14:paraId="3E85A80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235 (65%)</w:t>
            </w:r>
          </w:p>
        </w:tc>
        <w:tc>
          <w:tcPr>
            <w:tcW w:w="1582" w:type="dxa"/>
            <w:tcBorders>
              <w:top w:val="nil"/>
              <w:left w:val="nil"/>
              <w:bottom w:val="nil"/>
              <w:right w:val="nil"/>
            </w:tcBorders>
            <w:noWrap/>
            <w:vAlign w:val="center"/>
            <w:hideMark/>
          </w:tcPr>
          <w:p w14:paraId="288C2B4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126(34.9%)</w:t>
            </w:r>
          </w:p>
        </w:tc>
        <w:tc>
          <w:tcPr>
            <w:tcW w:w="1288" w:type="dxa"/>
            <w:tcBorders>
              <w:top w:val="nil"/>
              <w:left w:val="nil"/>
              <w:bottom w:val="nil"/>
              <w:right w:val="nil"/>
            </w:tcBorders>
            <w:noWrap/>
            <w:vAlign w:val="center"/>
            <w:hideMark/>
          </w:tcPr>
          <w:p w14:paraId="2465EE22"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54 (16.7%)</w:t>
            </w:r>
          </w:p>
        </w:tc>
        <w:tc>
          <w:tcPr>
            <w:tcW w:w="1288" w:type="dxa"/>
            <w:tcBorders>
              <w:top w:val="nil"/>
              <w:left w:val="nil"/>
              <w:bottom w:val="nil"/>
              <w:right w:val="nil"/>
            </w:tcBorders>
            <w:noWrap/>
            <w:vAlign w:val="center"/>
            <w:hideMark/>
          </w:tcPr>
          <w:p w14:paraId="756D5AE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154 (47.5%)</w:t>
            </w:r>
          </w:p>
        </w:tc>
        <w:tc>
          <w:tcPr>
            <w:tcW w:w="1228" w:type="dxa"/>
            <w:tcBorders>
              <w:top w:val="nil"/>
              <w:left w:val="nil"/>
              <w:bottom w:val="nil"/>
              <w:right w:val="nil"/>
            </w:tcBorders>
            <w:noWrap/>
            <w:vAlign w:val="center"/>
            <w:hideMark/>
          </w:tcPr>
          <w:p w14:paraId="7F46285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116 (36%)</w:t>
            </w:r>
          </w:p>
        </w:tc>
        <w:tc>
          <w:tcPr>
            <w:tcW w:w="1230" w:type="dxa"/>
            <w:tcBorders>
              <w:top w:val="nil"/>
              <w:left w:val="nil"/>
              <w:bottom w:val="nil"/>
              <w:right w:val="nil"/>
            </w:tcBorders>
            <w:noWrap/>
            <w:vAlign w:val="center"/>
            <w:hideMark/>
          </w:tcPr>
          <w:p w14:paraId="418751C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159 (44%)</w:t>
            </w:r>
          </w:p>
        </w:tc>
        <w:tc>
          <w:tcPr>
            <w:tcW w:w="1228" w:type="dxa"/>
            <w:tcBorders>
              <w:top w:val="nil"/>
              <w:left w:val="nil"/>
              <w:bottom w:val="nil"/>
              <w:right w:val="nil"/>
            </w:tcBorders>
            <w:noWrap/>
            <w:vAlign w:val="center"/>
            <w:hideMark/>
          </w:tcPr>
          <w:p w14:paraId="7F58F89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174 (48.2%)</w:t>
            </w:r>
          </w:p>
        </w:tc>
        <w:tc>
          <w:tcPr>
            <w:tcW w:w="1228" w:type="dxa"/>
            <w:tcBorders>
              <w:top w:val="nil"/>
              <w:left w:val="nil"/>
              <w:bottom w:val="nil"/>
              <w:right w:val="nil"/>
            </w:tcBorders>
            <w:noWrap/>
            <w:vAlign w:val="center"/>
            <w:hideMark/>
          </w:tcPr>
          <w:p w14:paraId="1346772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28 (7.8%)</w:t>
            </w:r>
          </w:p>
        </w:tc>
      </w:tr>
      <w:tr w:rsidR="00C171AF" w14:paraId="0C0A82E5" w14:textId="77777777" w:rsidTr="003B0468">
        <w:trPr>
          <w:trHeight w:val="312"/>
        </w:trPr>
        <w:tc>
          <w:tcPr>
            <w:tcW w:w="1890" w:type="dxa"/>
            <w:tcBorders>
              <w:top w:val="single" w:sz="4" w:space="0" w:color="auto"/>
              <w:left w:val="nil"/>
              <w:bottom w:val="single" w:sz="4" w:space="0" w:color="auto"/>
              <w:right w:val="nil"/>
            </w:tcBorders>
            <w:noWrap/>
            <w:vAlign w:val="center"/>
            <w:hideMark/>
          </w:tcPr>
          <w:p w14:paraId="2633514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Gastritis</w:t>
            </w:r>
          </w:p>
        </w:tc>
        <w:tc>
          <w:tcPr>
            <w:tcW w:w="1269" w:type="dxa"/>
            <w:tcBorders>
              <w:top w:val="single" w:sz="4" w:space="0" w:color="auto"/>
              <w:left w:val="nil"/>
              <w:bottom w:val="single" w:sz="4" w:space="0" w:color="auto"/>
              <w:right w:val="nil"/>
            </w:tcBorders>
            <w:noWrap/>
            <w:vAlign w:val="center"/>
            <w:hideMark/>
          </w:tcPr>
          <w:p w14:paraId="19C1635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385 (96.3%)</w:t>
            </w:r>
          </w:p>
        </w:tc>
        <w:tc>
          <w:tcPr>
            <w:tcW w:w="1469" w:type="dxa"/>
            <w:tcBorders>
              <w:top w:val="single" w:sz="4" w:space="0" w:color="auto"/>
              <w:left w:val="nil"/>
              <w:bottom w:val="single" w:sz="4" w:space="0" w:color="auto"/>
              <w:right w:val="nil"/>
            </w:tcBorders>
            <w:noWrap/>
            <w:vAlign w:val="center"/>
            <w:hideMark/>
          </w:tcPr>
          <w:p w14:paraId="2B0BC41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108 (28%)</w:t>
            </w:r>
          </w:p>
        </w:tc>
        <w:tc>
          <w:tcPr>
            <w:tcW w:w="1582" w:type="dxa"/>
            <w:tcBorders>
              <w:top w:val="single" w:sz="4" w:space="0" w:color="auto"/>
              <w:left w:val="nil"/>
              <w:bottom w:val="single" w:sz="4" w:space="0" w:color="auto"/>
              <w:right w:val="nil"/>
            </w:tcBorders>
            <w:noWrap/>
            <w:vAlign w:val="center"/>
            <w:hideMark/>
          </w:tcPr>
          <w:p w14:paraId="7D6E598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277 (72%)</w:t>
            </w:r>
          </w:p>
        </w:tc>
        <w:tc>
          <w:tcPr>
            <w:tcW w:w="1288" w:type="dxa"/>
            <w:tcBorders>
              <w:top w:val="single" w:sz="4" w:space="0" w:color="auto"/>
              <w:left w:val="nil"/>
              <w:bottom w:val="single" w:sz="4" w:space="0" w:color="auto"/>
              <w:right w:val="nil"/>
            </w:tcBorders>
            <w:noWrap/>
            <w:vAlign w:val="center"/>
            <w:hideMark/>
          </w:tcPr>
          <w:p w14:paraId="0D6D9292"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24 (6.2%)</w:t>
            </w:r>
          </w:p>
        </w:tc>
        <w:tc>
          <w:tcPr>
            <w:tcW w:w="1288" w:type="dxa"/>
            <w:tcBorders>
              <w:top w:val="single" w:sz="4" w:space="0" w:color="auto"/>
              <w:left w:val="nil"/>
              <w:bottom w:val="single" w:sz="4" w:space="0" w:color="auto"/>
              <w:right w:val="nil"/>
            </w:tcBorders>
            <w:noWrap/>
            <w:vAlign w:val="center"/>
            <w:hideMark/>
          </w:tcPr>
          <w:p w14:paraId="3F9CAEB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104 (27%)</w:t>
            </w:r>
          </w:p>
        </w:tc>
        <w:tc>
          <w:tcPr>
            <w:tcW w:w="1228" w:type="dxa"/>
            <w:tcBorders>
              <w:top w:val="single" w:sz="4" w:space="0" w:color="auto"/>
              <w:left w:val="nil"/>
              <w:bottom w:val="single" w:sz="4" w:space="0" w:color="auto"/>
              <w:right w:val="nil"/>
            </w:tcBorders>
            <w:noWrap/>
            <w:vAlign w:val="center"/>
            <w:hideMark/>
          </w:tcPr>
          <w:p w14:paraId="78E6E3B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257 (67%)</w:t>
            </w:r>
          </w:p>
        </w:tc>
        <w:tc>
          <w:tcPr>
            <w:tcW w:w="1230" w:type="dxa"/>
            <w:tcBorders>
              <w:top w:val="single" w:sz="4" w:space="0" w:color="auto"/>
              <w:left w:val="nil"/>
              <w:bottom w:val="single" w:sz="4" w:space="0" w:color="auto"/>
              <w:right w:val="nil"/>
            </w:tcBorders>
            <w:noWrap/>
            <w:vAlign w:val="center"/>
            <w:hideMark/>
          </w:tcPr>
          <w:p w14:paraId="4CB9CEE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81 (21%)</w:t>
            </w:r>
          </w:p>
        </w:tc>
        <w:tc>
          <w:tcPr>
            <w:tcW w:w="1228" w:type="dxa"/>
            <w:tcBorders>
              <w:top w:val="single" w:sz="4" w:space="0" w:color="auto"/>
              <w:left w:val="nil"/>
              <w:bottom w:val="single" w:sz="4" w:space="0" w:color="auto"/>
              <w:right w:val="nil"/>
            </w:tcBorders>
            <w:noWrap/>
            <w:vAlign w:val="center"/>
            <w:hideMark/>
          </w:tcPr>
          <w:p w14:paraId="0F43200E"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150 (39%)</w:t>
            </w:r>
          </w:p>
        </w:tc>
        <w:tc>
          <w:tcPr>
            <w:tcW w:w="1228" w:type="dxa"/>
            <w:tcBorders>
              <w:top w:val="single" w:sz="4" w:space="0" w:color="auto"/>
              <w:left w:val="nil"/>
              <w:bottom w:val="single" w:sz="4" w:space="0" w:color="auto"/>
              <w:right w:val="nil"/>
            </w:tcBorders>
            <w:noWrap/>
            <w:vAlign w:val="center"/>
            <w:hideMark/>
          </w:tcPr>
          <w:p w14:paraId="1D316C0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154 (40%)</w:t>
            </w:r>
          </w:p>
        </w:tc>
      </w:tr>
      <w:tr w:rsidR="00C171AF" w14:paraId="129E757C" w14:textId="77777777" w:rsidTr="003B0468">
        <w:trPr>
          <w:trHeight w:val="305"/>
        </w:trPr>
        <w:tc>
          <w:tcPr>
            <w:tcW w:w="1890" w:type="dxa"/>
            <w:tcBorders>
              <w:top w:val="nil"/>
              <w:left w:val="nil"/>
              <w:bottom w:val="nil"/>
              <w:right w:val="nil"/>
            </w:tcBorders>
            <w:vAlign w:val="center"/>
            <w:hideMark/>
          </w:tcPr>
          <w:p w14:paraId="0A4C34B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Fatigue</w:t>
            </w:r>
          </w:p>
        </w:tc>
        <w:tc>
          <w:tcPr>
            <w:tcW w:w="1269" w:type="dxa"/>
            <w:tcBorders>
              <w:top w:val="nil"/>
              <w:left w:val="nil"/>
              <w:bottom w:val="nil"/>
              <w:right w:val="nil"/>
            </w:tcBorders>
            <w:vAlign w:val="center"/>
            <w:hideMark/>
          </w:tcPr>
          <w:p w14:paraId="288EA8FF"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400 (100%)</w:t>
            </w:r>
          </w:p>
        </w:tc>
        <w:tc>
          <w:tcPr>
            <w:tcW w:w="1469" w:type="dxa"/>
            <w:tcBorders>
              <w:top w:val="nil"/>
              <w:left w:val="nil"/>
              <w:bottom w:val="nil"/>
              <w:right w:val="nil"/>
            </w:tcBorders>
            <w:noWrap/>
            <w:vAlign w:val="center"/>
            <w:hideMark/>
          </w:tcPr>
          <w:p w14:paraId="03F5FCAE"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294 (74%)</w:t>
            </w:r>
          </w:p>
        </w:tc>
        <w:tc>
          <w:tcPr>
            <w:tcW w:w="1582" w:type="dxa"/>
            <w:tcBorders>
              <w:top w:val="nil"/>
              <w:left w:val="nil"/>
              <w:bottom w:val="nil"/>
              <w:right w:val="nil"/>
            </w:tcBorders>
            <w:noWrap/>
            <w:vAlign w:val="center"/>
            <w:hideMark/>
          </w:tcPr>
          <w:p w14:paraId="0EEB61F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106 (27%)</w:t>
            </w:r>
          </w:p>
        </w:tc>
        <w:tc>
          <w:tcPr>
            <w:tcW w:w="1288" w:type="dxa"/>
            <w:tcBorders>
              <w:top w:val="nil"/>
              <w:left w:val="nil"/>
              <w:bottom w:val="nil"/>
              <w:right w:val="nil"/>
            </w:tcBorders>
            <w:noWrap/>
            <w:vAlign w:val="center"/>
            <w:hideMark/>
          </w:tcPr>
          <w:p w14:paraId="771A613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37 (9.3%)</w:t>
            </w:r>
          </w:p>
        </w:tc>
        <w:tc>
          <w:tcPr>
            <w:tcW w:w="1288" w:type="dxa"/>
            <w:tcBorders>
              <w:top w:val="nil"/>
              <w:left w:val="nil"/>
              <w:bottom w:val="nil"/>
              <w:right w:val="nil"/>
            </w:tcBorders>
            <w:noWrap/>
            <w:vAlign w:val="center"/>
            <w:hideMark/>
          </w:tcPr>
          <w:p w14:paraId="4A10CAC2"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84 (21%)</w:t>
            </w:r>
          </w:p>
        </w:tc>
        <w:tc>
          <w:tcPr>
            <w:tcW w:w="1228" w:type="dxa"/>
            <w:tcBorders>
              <w:top w:val="nil"/>
              <w:left w:val="nil"/>
              <w:bottom w:val="nil"/>
              <w:right w:val="nil"/>
            </w:tcBorders>
            <w:noWrap/>
            <w:vAlign w:val="center"/>
            <w:hideMark/>
          </w:tcPr>
          <w:p w14:paraId="013F427B"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279 (70%)</w:t>
            </w:r>
          </w:p>
        </w:tc>
        <w:tc>
          <w:tcPr>
            <w:tcW w:w="1230" w:type="dxa"/>
            <w:tcBorders>
              <w:top w:val="nil"/>
              <w:left w:val="nil"/>
              <w:bottom w:val="nil"/>
              <w:right w:val="nil"/>
            </w:tcBorders>
            <w:noWrap/>
            <w:vAlign w:val="center"/>
            <w:hideMark/>
          </w:tcPr>
          <w:p w14:paraId="72E61F8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30 (8%)</w:t>
            </w:r>
          </w:p>
        </w:tc>
        <w:tc>
          <w:tcPr>
            <w:tcW w:w="1228" w:type="dxa"/>
            <w:tcBorders>
              <w:top w:val="nil"/>
              <w:left w:val="nil"/>
              <w:bottom w:val="nil"/>
              <w:right w:val="nil"/>
            </w:tcBorders>
            <w:noWrap/>
            <w:vAlign w:val="center"/>
            <w:hideMark/>
          </w:tcPr>
          <w:p w14:paraId="01547CC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180 (45%)</w:t>
            </w:r>
          </w:p>
        </w:tc>
        <w:tc>
          <w:tcPr>
            <w:tcW w:w="1228" w:type="dxa"/>
            <w:tcBorders>
              <w:top w:val="nil"/>
              <w:left w:val="nil"/>
              <w:bottom w:val="nil"/>
              <w:right w:val="nil"/>
            </w:tcBorders>
            <w:noWrap/>
            <w:vAlign w:val="center"/>
            <w:hideMark/>
          </w:tcPr>
          <w:p w14:paraId="214296C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190 (47.5%)</w:t>
            </w:r>
          </w:p>
        </w:tc>
      </w:tr>
      <w:tr w:rsidR="00C171AF" w14:paraId="45927BF7" w14:textId="77777777" w:rsidTr="003B0468">
        <w:trPr>
          <w:trHeight w:val="152"/>
        </w:trPr>
        <w:tc>
          <w:tcPr>
            <w:tcW w:w="1890" w:type="dxa"/>
            <w:tcBorders>
              <w:top w:val="single" w:sz="4" w:space="0" w:color="auto"/>
              <w:left w:val="nil"/>
              <w:bottom w:val="single" w:sz="4" w:space="0" w:color="auto"/>
              <w:right w:val="nil"/>
            </w:tcBorders>
            <w:noWrap/>
            <w:vAlign w:val="center"/>
            <w:hideMark/>
          </w:tcPr>
          <w:p w14:paraId="640DCF5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lack of energy</w:t>
            </w:r>
          </w:p>
        </w:tc>
        <w:tc>
          <w:tcPr>
            <w:tcW w:w="1269" w:type="dxa"/>
            <w:tcBorders>
              <w:top w:val="single" w:sz="4" w:space="0" w:color="auto"/>
              <w:left w:val="nil"/>
              <w:bottom w:val="single" w:sz="4" w:space="0" w:color="auto"/>
              <w:right w:val="nil"/>
            </w:tcBorders>
            <w:vAlign w:val="center"/>
            <w:hideMark/>
          </w:tcPr>
          <w:p w14:paraId="00D7B15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400 (100%)</w:t>
            </w:r>
          </w:p>
        </w:tc>
        <w:tc>
          <w:tcPr>
            <w:tcW w:w="1469" w:type="dxa"/>
            <w:tcBorders>
              <w:top w:val="single" w:sz="4" w:space="0" w:color="auto"/>
              <w:left w:val="nil"/>
              <w:bottom w:val="single" w:sz="4" w:space="0" w:color="auto"/>
              <w:right w:val="nil"/>
            </w:tcBorders>
            <w:noWrap/>
            <w:vAlign w:val="center"/>
            <w:hideMark/>
          </w:tcPr>
          <w:p w14:paraId="6DBAC392"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74 (19%)</w:t>
            </w:r>
          </w:p>
        </w:tc>
        <w:tc>
          <w:tcPr>
            <w:tcW w:w="1582" w:type="dxa"/>
            <w:tcBorders>
              <w:top w:val="single" w:sz="4" w:space="0" w:color="auto"/>
              <w:left w:val="nil"/>
              <w:bottom w:val="single" w:sz="4" w:space="0" w:color="auto"/>
              <w:right w:val="nil"/>
            </w:tcBorders>
            <w:noWrap/>
            <w:vAlign w:val="center"/>
            <w:hideMark/>
          </w:tcPr>
          <w:p w14:paraId="30EDB30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326 (82%)</w:t>
            </w:r>
          </w:p>
        </w:tc>
        <w:tc>
          <w:tcPr>
            <w:tcW w:w="1288" w:type="dxa"/>
            <w:tcBorders>
              <w:top w:val="single" w:sz="4" w:space="0" w:color="auto"/>
              <w:left w:val="nil"/>
              <w:bottom w:val="single" w:sz="4" w:space="0" w:color="auto"/>
              <w:right w:val="nil"/>
            </w:tcBorders>
            <w:noWrap/>
            <w:vAlign w:val="center"/>
            <w:hideMark/>
          </w:tcPr>
          <w:p w14:paraId="29F8C8D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8 (2%)</w:t>
            </w:r>
          </w:p>
        </w:tc>
        <w:tc>
          <w:tcPr>
            <w:tcW w:w="1288" w:type="dxa"/>
            <w:tcBorders>
              <w:top w:val="single" w:sz="4" w:space="0" w:color="auto"/>
              <w:left w:val="nil"/>
              <w:bottom w:val="single" w:sz="4" w:space="0" w:color="auto"/>
              <w:right w:val="nil"/>
            </w:tcBorders>
            <w:noWrap/>
            <w:vAlign w:val="center"/>
            <w:hideMark/>
          </w:tcPr>
          <w:p w14:paraId="483E932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132 (33%)</w:t>
            </w:r>
          </w:p>
        </w:tc>
        <w:tc>
          <w:tcPr>
            <w:tcW w:w="1228" w:type="dxa"/>
            <w:tcBorders>
              <w:top w:val="single" w:sz="4" w:space="0" w:color="auto"/>
              <w:left w:val="nil"/>
              <w:bottom w:val="single" w:sz="4" w:space="0" w:color="auto"/>
              <w:right w:val="nil"/>
            </w:tcBorders>
            <w:noWrap/>
            <w:vAlign w:val="center"/>
            <w:hideMark/>
          </w:tcPr>
          <w:p w14:paraId="23A073A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260 (65%)</w:t>
            </w:r>
          </w:p>
        </w:tc>
        <w:tc>
          <w:tcPr>
            <w:tcW w:w="1230" w:type="dxa"/>
            <w:tcBorders>
              <w:top w:val="single" w:sz="4" w:space="0" w:color="auto"/>
              <w:left w:val="nil"/>
              <w:bottom w:val="single" w:sz="4" w:space="0" w:color="auto"/>
              <w:right w:val="nil"/>
            </w:tcBorders>
            <w:noWrap/>
            <w:vAlign w:val="center"/>
            <w:hideMark/>
          </w:tcPr>
          <w:p w14:paraId="5D8256E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87 (22%)</w:t>
            </w:r>
          </w:p>
        </w:tc>
        <w:tc>
          <w:tcPr>
            <w:tcW w:w="1228" w:type="dxa"/>
            <w:tcBorders>
              <w:top w:val="single" w:sz="4" w:space="0" w:color="auto"/>
              <w:left w:val="nil"/>
              <w:bottom w:val="single" w:sz="4" w:space="0" w:color="auto"/>
              <w:right w:val="nil"/>
            </w:tcBorders>
            <w:noWrap/>
            <w:vAlign w:val="center"/>
            <w:hideMark/>
          </w:tcPr>
          <w:p w14:paraId="6C4D292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71 (17.8%)</w:t>
            </w:r>
          </w:p>
        </w:tc>
        <w:tc>
          <w:tcPr>
            <w:tcW w:w="1228" w:type="dxa"/>
            <w:tcBorders>
              <w:top w:val="single" w:sz="4" w:space="0" w:color="auto"/>
              <w:left w:val="nil"/>
              <w:bottom w:val="single" w:sz="4" w:space="0" w:color="auto"/>
              <w:right w:val="nil"/>
            </w:tcBorders>
            <w:noWrap/>
            <w:vAlign w:val="center"/>
            <w:hideMark/>
          </w:tcPr>
          <w:p w14:paraId="67305DF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242 (60.5%)</w:t>
            </w:r>
          </w:p>
        </w:tc>
      </w:tr>
      <w:tr w:rsidR="00C171AF" w14:paraId="6ADD6B9A" w14:textId="77777777" w:rsidTr="003B0468">
        <w:trPr>
          <w:trHeight w:val="312"/>
        </w:trPr>
        <w:tc>
          <w:tcPr>
            <w:tcW w:w="1890" w:type="dxa"/>
            <w:tcBorders>
              <w:top w:val="nil"/>
              <w:left w:val="nil"/>
              <w:bottom w:val="nil"/>
              <w:right w:val="nil"/>
            </w:tcBorders>
            <w:noWrap/>
            <w:vAlign w:val="center"/>
            <w:hideMark/>
          </w:tcPr>
          <w:p w14:paraId="1FAA906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Dry mouth</w:t>
            </w:r>
          </w:p>
        </w:tc>
        <w:tc>
          <w:tcPr>
            <w:tcW w:w="1269" w:type="dxa"/>
            <w:tcBorders>
              <w:top w:val="nil"/>
              <w:left w:val="nil"/>
              <w:bottom w:val="nil"/>
              <w:right w:val="nil"/>
            </w:tcBorders>
            <w:noWrap/>
            <w:vAlign w:val="center"/>
            <w:hideMark/>
          </w:tcPr>
          <w:p w14:paraId="6D72281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349 (87.3%)</w:t>
            </w:r>
          </w:p>
        </w:tc>
        <w:tc>
          <w:tcPr>
            <w:tcW w:w="1469" w:type="dxa"/>
            <w:tcBorders>
              <w:top w:val="nil"/>
              <w:left w:val="nil"/>
              <w:bottom w:val="nil"/>
              <w:right w:val="nil"/>
            </w:tcBorders>
            <w:noWrap/>
            <w:vAlign w:val="center"/>
            <w:hideMark/>
          </w:tcPr>
          <w:p w14:paraId="4F79CDEE"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201 (58%)</w:t>
            </w:r>
          </w:p>
        </w:tc>
        <w:tc>
          <w:tcPr>
            <w:tcW w:w="1582" w:type="dxa"/>
            <w:tcBorders>
              <w:top w:val="nil"/>
              <w:left w:val="nil"/>
              <w:bottom w:val="nil"/>
              <w:right w:val="nil"/>
            </w:tcBorders>
            <w:noWrap/>
            <w:vAlign w:val="center"/>
            <w:hideMark/>
          </w:tcPr>
          <w:p w14:paraId="0EDE04C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148 (42%)</w:t>
            </w:r>
          </w:p>
        </w:tc>
        <w:tc>
          <w:tcPr>
            <w:tcW w:w="1288" w:type="dxa"/>
            <w:tcBorders>
              <w:top w:val="nil"/>
              <w:left w:val="nil"/>
              <w:bottom w:val="nil"/>
              <w:right w:val="nil"/>
            </w:tcBorders>
            <w:noWrap/>
            <w:vAlign w:val="center"/>
            <w:hideMark/>
          </w:tcPr>
          <w:p w14:paraId="766AB7B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0, (0%) </w:t>
            </w:r>
          </w:p>
        </w:tc>
        <w:tc>
          <w:tcPr>
            <w:tcW w:w="1288" w:type="dxa"/>
            <w:tcBorders>
              <w:top w:val="nil"/>
              <w:left w:val="nil"/>
              <w:bottom w:val="nil"/>
              <w:right w:val="nil"/>
            </w:tcBorders>
            <w:noWrap/>
            <w:vAlign w:val="center"/>
            <w:hideMark/>
          </w:tcPr>
          <w:p w14:paraId="7716A46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93 (26.6%)</w:t>
            </w:r>
          </w:p>
        </w:tc>
        <w:tc>
          <w:tcPr>
            <w:tcW w:w="1228" w:type="dxa"/>
            <w:tcBorders>
              <w:top w:val="nil"/>
              <w:left w:val="nil"/>
              <w:bottom w:val="nil"/>
              <w:right w:val="nil"/>
            </w:tcBorders>
            <w:noWrap/>
            <w:vAlign w:val="center"/>
            <w:hideMark/>
          </w:tcPr>
          <w:p w14:paraId="3AADAA7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256 (73.4%)</w:t>
            </w:r>
          </w:p>
        </w:tc>
        <w:tc>
          <w:tcPr>
            <w:tcW w:w="1230" w:type="dxa"/>
            <w:tcBorders>
              <w:top w:val="nil"/>
              <w:left w:val="nil"/>
              <w:bottom w:val="nil"/>
              <w:right w:val="nil"/>
            </w:tcBorders>
            <w:noWrap/>
            <w:vAlign w:val="center"/>
            <w:hideMark/>
          </w:tcPr>
          <w:p w14:paraId="3371166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199 (58%)</w:t>
            </w:r>
          </w:p>
        </w:tc>
        <w:tc>
          <w:tcPr>
            <w:tcW w:w="1228" w:type="dxa"/>
            <w:tcBorders>
              <w:top w:val="nil"/>
              <w:left w:val="nil"/>
              <w:bottom w:val="nil"/>
              <w:right w:val="nil"/>
            </w:tcBorders>
            <w:noWrap/>
            <w:vAlign w:val="center"/>
            <w:hideMark/>
          </w:tcPr>
          <w:p w14:paraId="14756DB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98 (28.7%)</w:t>
            </w:r>
          </w:p>
        </w:tc>
        <w:tc>
          <w:tcPr>
            <w:tcW w:w="1228" w:type="dxa"/>
            <w:tcBorders>
              <w:top w:val="nil"/>
              <w:left w:val="nil"/>
              <w:bottom w:val="nil"/>
              <w:right w:val="nil"/>
            </w:tcBorders>
            <w:noWrap/>
            <w:vAlign w:val="center"/>
            <w:hideMark/>
          </w:tcPr>
          <w:p w14:paraId="77FE1E4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44 (12.9%)</w:t>
            </w:r>
          </w:p>
        </w:tc>
      </w:tr>
      <w:tr w:rsidR="00C171AF" w14:paraId="4F260F65" w14:textId="77777777" w:rsidTr="003B0468">
        <w:trPr>
          <w:trHeight w:val="312"/>
        </w:trPr>
        <w:tc>
          <w:tcPr>
            <w:tcW w:w="1890" w:type="dxa"/>
            <w:tcBorders>
              <w:top w:val="single" w:sz="4" w:space="0" w:color="auto"/>
              <w:left w:val="nil"/>
              <w:bottom w:val="single" w:sz="4" w:space="0" w:color="auto"/>
              <w:right w:val="nil"/>
            </w:tcBorders>
            <w:noWrap/>
            <w:vAlign w:val="center"/>
            <w:hideMark/>
          </w:tcPr>
          <w:p w14:paraId="4B75E80F"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Lack of appetite</w:t>
            </w:r>
          </w:p>
        </w:tc>
        <w:tc>
          <w:tcPr>
            <w:tcW w:w="1269" w:type="dxa"/>
            <w:tcBorders>
              <w:top w:val="single" w:sz="4" w:space="0" w:color="auto"/>
              <w:left w:val="nil"/>
              <w:bottom w:val="single" w:sz="4" w:space="0" w:color="auto"/>
              <w:right w:val="nil"/>
            </w:tcBorders>
            <w:noWrap/>
            <w:vAlign w:val="center"/>
            <w:hideMark/>
          </w:tcPr>
          <w:p w14:paraId="05545DB2"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396 (99%)</w:t>
            </w:r>
          </w:p>
        </w:tc>
        <w:tc>
          <w:tcPr>
            <w:tcW w:w="1469" w:type="dxa"/>
            <w:tcBorders>
              <w:top w:val="single" w:sz="4" w:space="0" w:color="auto"/>
              <w:left w:val="nil"/>
              <w:bottom w:val="single" w:sz="4" w:space="0" w:color="auto"/>
              <w:right w:val="nil"/>
            </w:tcBorders>
            <w:noWrap/>
            <w:vAlign w:val="center"/>
            <w:hideMark/>
          </w:tcPr>
          <w:p w14:paraId="109B2BC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87 (22%)</w:t>
            </w:r>
          </w:p>
        </w:tc>
        <w:tc>
          <w:tcPr>
            <w:tcW w:w="1582" w:type="dxa"/>
            <w:tcBorders>
              <w:top w:val="single" w:sz="4" w:space="0" w:color="auto"/>
              <w:left w:val="nil"/>
              <w:bottom w:val="single" w:sz="4" w:space="0" w:color="auto"/>
              <w:right w:val="nil"/>
            </w:tcBorders>
            <w:noWrap/>
            <w:vAlign w:val="center"/>
            <w:hideMark/>
          </w:tcPr>
          <w:p w14:paraId="2BEAB73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309 (78%)</w:t>
            </w:r>
          </w:p>
        </w:tc>
        <w:tc>
          <w:tcPr>
            <w:tcW w:w="1288" w:type="dxa"/>
            <w:tcBorders>
              <w:top w:val="single" w:sz="4" w:space="0" w:color="auto"/>
              <w:left w:val="nil"/>
              <w:bottom w:val="single" w:sz="4" w:space="0" w:color="auto"/>
              <w:right w:val="nil"/>
            </w:tcBorders>
            <w:noWrap/>
            <w:vAlign w:val="center"/>
            <w:hideMark/>
          </w:tcPr>
          <w:p w14:paraId="6683E850"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19 (4.8%)</w:t>
            </w:r>
          </w:p>
        </w:tc>
        <w:tc>
          <w:tcPr>
            <w:tcW w:w="1288" w:type="dxa"/>
            <w:tcBorders>
              <w:top w:val="single" w:sz="4" w:space="0" w:color="auto"/>
              <w:left w:val="nil"/>
              <w:bottom w:val="single" w:sz="4" w:space="0" w:color="auto"/>
              <w:right w:val="nil"/>
            </w:tcBorders>
            <w:noWrap/>
            <w:vAlign w:val="center"/>
            <w:hideMark/>
          </w:tcPr>
          <w:p w14:paraId="6D74206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119 (30.1%)</w:t>
            </w:r>
          </w:p>
        </w:tc>
        <w:tc>
          <w:tcPr>
            <w:tcW w:w="1228" w:type="dxa"/>
            <w:tcBorders>
              <w:top w:val="single" w:sz="4" w:space="0" w:color="auto"/>
              <w:left w:val="nil"/>
              <w:bottom w:val="single" w:sz="4" w:space="0" w:color="auto"/>
              <w:right w:val="nil"/>
            </w:tcBorders>
            <w:noWrap/>
            <w:vAlign w:val="center"/>
            <w:hideMark/>
          </w:tcPr>
          <w:p w14:paraId="1B0BD302"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258 (65%)</w:t>
            </w:r>
          </w:p>
        </w:tc>
        <w:tc>
          <w:tcPr>
            <w:tcW w:w="1230" w:type="dxa"/>
            <w:tcBorders>
              <w:top w:val="single" w:sz="4" w:space="0" w:color="auto"/>
              <w:left w:val="nil"/>
              <w:bottom w:val="single" w:sz="4" w:space="0" w:color="auto"/>
              <w:right w:val="nil"/>
            </w:tcBorders>
            <w:noWrap/>
            <w:vAlign w:val="center"/>
            <w:hideMark/>
          </w:tcPr>
          <w:p w14:paraId="2FAAA13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67 (17%)</w:t>
            </w:r>
          </w:p>
        </w:tc>
        <w:tc>
          <w:tcPr>
            <w:tcW w:w="1228" w:type="dxa"/>
            <w:tcBorders>
              <w:top w:val="single" w:sz="4" w:space="0" w:color="auto"/>
              <w:left w:val="nil"/>
              <w:bottom w:val="single" w:sz="4" w:space="0" w:color="auto"/>
              <w:right w:val="nil"/>
            </w:tcBorders>
            <w:noWrap/>
            <w:vAlign w:val="center"/>
            <w:hideMark/>
          </w:tcPr>
          <w:p w14:paraId="3FF751E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133 (33.6%)</w:t>
            </w:r>
          </w:p>
        </w:tc>
        <w:tc>
          <w:tcPr>
            <w:tcW w:w="1228" w:type="dxa"/>
            <w:tcBorders>
              <w:top w:val="single" w:sz="4" w:space="0" w:color="auto"/>
              <w:left w:val="nil"/>
              <w:bottom w:val="single" w:sz="4" w:space="0" w:color="auto"/>
              <w:right w:val="nil"/>
            </w:tcBorders>
            <w:noWrap/>
            <w:vAlign w:val="center"/>
            <w:hideMark/>
          </w:tcPr>
          <w:p w14:paraId="0E0E217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196 (49.5%)</w:t>
            </w:r>
          </w:p>
        </w:tc>
      </w:tr>
      <w:tr w:rsidR="00C171AF" w14:paraId="4B205701" w14:textId="77777777" w:rsidTr="003B0468">
        <w:trPr>
          <w:trHeight w:val="312"/>
        </w:trPr>
        <w:tc>
          <w:tcPr>
            <w:tcW w:w="1890" w:type="dxa"/>
            <w:tcBorders>
              <w:top w:val="nil"/>
              <w:left w:val="nil"/>
              <w:bottom w:val="nil"/>
              <w:right w:val="nil"/>
            </w:tcBorders>
            <w:noWrap/>
            <w:vAlign w:val="center"/>
            <w:hideMark/>
          </w:tcPr>
          <w:p w14:paraId="02296EA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Diarrhea</w:t>
            </w:r>
          </w:p>
        </w:tc>
        <w:tc>
          <w:tcPr>
            <w:tcW w:w="1269" w:type="dxa"/>
            <w:tcBorders>
              <w:top w:val="nil"/>
              <w:left w:val="nil"/>
              <w:bottom w:val="nil"/>
              <w:right w:val="nil"/>
            </w:tcBorders>
            <w:noWrap/>
            <w:vAlign w:val="center"/>
            <w:hideMark/>
          </w:tcPr>
          <w:p w14:paraId="0A8607A2"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284 (71%)</w:t>
            </w:r>
          </w:p>
        </w:tc>
        <w:tc>
          <w:tcPr>
            <w:tcW w:w="1469" w:type="dxa"/>
            <w:tcBorders>
              <w:top w:val="nil"/>
              <w:left w:val="nil"/>
              <w:bottom w:val="nil"/>
              <w:right w:val="nil"/>
            </w:tcBorders>
            <w:noWrap/>
            <w:vAlign w:val="center"/>
            <w:hideMark/>
          </w:tcPr>
          <w:p w14:paraId="52DF8FF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160 (56%)</w:t>
            </w:r>
          </w:p>
        </w:tc>
        <w:tc>
          <w:tcPr>
            <w:tcW w:w="1582" w:type="dxa"/>
            <w:tcBorders>
              <w:top w:val="nil"/>
              <w:left w:val="nil"/>
              <w:bottom w:val="nil"/>
              <w:right w:val="nil"/>
            </w:tcBorders>
            <w:noWrap/>
            <w:vAlign w:val="center"/>
            <w:hideMark/>
          </w:tcPr>
          <w:p w14:paraId="65A2FDD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124 (44%)</w:t>
            </w:r>
          </w:p>
        </w:tc>
        <w:tc>
          <w:tcPr>
            <w:tcW w:w="1288" w:type="dxa"/>
            <w:tcBorders>
              <w:top w:val="nil"/>
              <w:left w:val="nil"/>
              <w:bottom w:val="nil"/>
              <w:right w:val="nil"/>
            </w:tcBorders>
            <w:noWrap/>
            <w:vAlign w:val="center"/>
            <w:hideMark/>
          </w:tcPr>
          <w:p w14:paraId="38F0189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104 (36.6%)</w:t>
            </w:r>
          </w:p>
        </w:tc>
        <w:tc>
          <w:tcPr>
            <w:tcW w:w="1288" w:type="dxa"/>
            <w:tcBorders>
              <w:top w:val="nil"/>
              <w:left w:val="nil"/>
              <w:bottom w:val="nil"/>
              <w:right w:val="nil"/>
            </w:tcBorders>
            <w:noWrap/>
            <w:vAlign w:val="center"/>
            <w:hideMark/>
          </w:tcPr>
          <w:p w14:paraId="6DEC0E4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56 (19.7%)</w:t>
            </w:r>
          </w:p>
        </w:tc>
        <w:tc>
          <w:tcPr>
            <w:tcW w:w="1228" w:type="dxa"/>
            <w:tcBorders>
              <w:top w:val="nil"/>
              <w:left w:val="nil"/>
              <w:bottom w:val="nil"/>
              <w:right w:val="nil"/>
            </w:tcBorders>
            <w:noWrap/>
            <w:vAlign w:val="center"/>
            <w:hideMark/>
          </w:tcPr>
          <w:p w14:paraId="13ECA731"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124 (44%)</w:t>
            </w:r>
          </w:p>
        </w:tc>
        <w:tc>
          <w:tcPr>
            <w:tcW w:w="1230" w:type="dxa"/>
            <w:tcBorders>
              <w:top w:val="nil"/>
              <w:left w:val="nil"/>
              <w:bottom w:val="nil"/>
              <w:right w:val="nil"/>
            </w:tcBorders>
            <w:noWrap/>
            <w:vAlign w:val="center"/>
            <w:hideMark/>
          </w:tcPr>
          <w:p w14:paraId="78D6BDC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112 (44%)</w:t>
            </w:r>
          </w:p>
        </w:tc>
        <w:tc>
          <w:tcPr>
            <w:tcW w:w="1228" w:type="dxa"/>
            <w:tcBorders>
              <w:top w:val="nil"/>
              <w:left w:val="nil"/>
              <w:bottom w:val="nil"/>
              <w:right w:val="nil"/>
            </w:tcBorders>
            <w:noWrap/>
            <w:vAlign w:val="center"/>
            <w:hideMark/>
          </w:tcPr>
          <w:p w14:paraId="613B068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79 (31.3%)</w:t>
            </w:r>
          </w:p>
        </w:tc>
        <w:tc>
          <w:tcPr>
            <w:tcW w:w="1228" w:type="dxa"/>
            <w:tcBorders>
              <w:top w:val="nil"/>
              <w:left w:val="nil"/>
              <w:bottom w:val="nil"/>
              <w:right w:val="nil"/>
            </w:tcBorders>
            <w:noWrap/>
            <w:vAlign w:val="center"/>
            <w:hideMark/>
          </w:tcPr>
          <w:p w14:paraId="307672D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61 (24.2%)</w:t>
            </w:r>
          </w:p>
        </w:tc>
      </w:tr>
      <w:tr w:rsidR="00C171AF" w14:paraId="489FBC90" w14:textId="77777777" w:rsidTr="003B0468">
        <w:trPr>
          <w:trHeight w:val="242"/>
        </w:trPr>
        <w:tc>
          <w:tcPr>
            <w:tcW w:w="1890" w:type="dxa"/>
            <w:tcBorders>
              <w:top w:val="single" w:sz="4" w:space="0" w:color="auto"/>
              <w:left w:val="nil"/>
              <w:bottom w:val="single" w:sz="4" w:space="0" w:color="auto"/>
              <w:right w:val="nil"/>
            </w:tcBorders>
            <w:vAlign w:val="center"/>
            <w:hideMark/>
          </w:tcPr>
          <w:p w14:paraId="32B6A45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Fleeing bloated</w:t>
            </w:r>
          </w:p>
        </w:tc>
        <w:tc>
          <w:tcPr>
            <w:tcW w:w="1269" w:type="dxa"/>
            <w:tcBorders>
              <w:top w:val="single" w:sz="4" w:space="0" w:color="auto"/>
              <w:left w:val="nil"/>
              <w:bottom w:val="single" w:sz="4" w:space="0" w:color="auto"/>
              <w:right w:val="nil"/>
            </w:tcBorders>
            <w:noWrap/>
            <w:vAlign w:val="center"/>
            <w:hideMark/>
          </w:tcPr>
          <w:p w14:paraId="23CB9BC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343 (85.8%)</w:t>
            </w:r>
          </w:p>
        </w:tc>
        <w:tc>
          <w:tcPr>
            <w:tcW w:w="1469" w:type="dxa"/>
            <w:tcBorders>
              <w:top w:val="single" w:sz="4" w:space="0" w:color="auto"/>
              <w:left w:val="nil"/>
              <w:bottom w:val="single" w:sz="4" w:space="0" w:color="auto"/>
              <w:right w:val="nil"/>
            </w:tcBorders>
            <w:noWrap/>
            <w:vAlign w:val="center"/>
            <w:hideMark/>
          </w:tcPr>
          <w:p w14:paraId="5524435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220 (64%)</w:t>
            </w:r>
          </w:p>
        </w:tc>
        <w:tc>
          <w:tcPr>
            <w:tcW w:w="1582" w:type="dxa"/>
            <w:tcBorders>
              <w:top w:val="single" w:sz="4" w:space="0" w:color="auto"/>
              <w:left w:val="nil"/>
              <w:bottom w:val="single" w:sz="4" w:space="0" w:color="auto"/>
              <w:right w:val="nil"/>
            </w:tcBorders>
            <w:noWrap/>
            <w:vAlign w:val="center"/>
            <w:hideMark/>
          </w:tcPr>
          <w:p w14:paraId="6B391C5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123 (96%)</w:t>
            </w:r>
          </w:p>
        </w:tc>
        <w:tc>
          <w:tcPr>
            <w:tcW w:w="1288" w:type="dxa"/>
            <w:tcBorders>
              <w:top w:val="single" w:sz="4" w:space="0" w:color="auto"/>
              <w:left w:val="nil"/>
              <w:bottom w:val="single" w:sz="4" w:space="0" w:color="auto"/>
              <w:right w:val="nil"/>
            </w:tcBorders>
            <w:noWrap/>
            <w:vAlign w:val="center"/>
            <w:hideMark/>
          </w:tcPr>
          <w:p w14:paraId="0901932C"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60 (17.5%)</w:t>
            </w:r>
          </w:p>
        </w:tc>
        <w:tc>
          <w:tcPr>
            <w:tcW w:w="1288" w:type="dxa"/>
            <w:tcBorders>
              <w:top w:val="single" w:sz="4" w:space="0" w:color="auto"/>
              <w:left w:val="nil"/>
              <w:bottom w:val="single" w:sz="4" w:space="0" w:color="auto"/>
              <w:right w:val="nil"/>
            </w:tcBorders>
            <w:noWrap/>
            <w:vAlign w:val="center"/>
            <w:hideMark/>
          </w:tcPr>
          <w:p w14:paraId="1C77B6CF"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113 (32.9%)</w:t>
            </w:r>
          </w:p>
        </w:tc>
        <w:tc>
          <w:tcPr>
            <w:tcW w:w="1228" w:type="dxa"/>
            <w:tcBorders>
              <w:top w:val="single" w:sz="4" w:space="0" w:color="auto"/>
              <w:left w:val="nil"/>
              <w:bottom w:val="single" w:sz="4" w:space="0" w:color="auto"/>
              <w:right w:val="nil"/>
            </w:tcBorders>
            <w:noWrap/>
            <w:vAlign w:val="center"/>
            <w:hideMark/>
          </w:tcPr>
          <w:p w14:paraId="37ACE30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170 (50%)</w:t>
            </w:r>
          </w:p>
        </w:tc>
        <w:tc>
          <w:tcPr>
            <w:tcW w:w="1230" w:type="dxa"/>
            <w:tcBorders>
              <w:top w:val="single" w:sz="4" w:space="0" w:color="auto"/>
              <w:left w:val="nil"/>
              <w:bottom w:val="single" w:sz="4" w:space="0" w:color="auto"/>
              <w:right w:val="nil"/>
            </w:tcBorders>
            <w:noWrap/>
            <w:vAlign w:val="center"/>
            <w:hideMark/>
          </w:tcPr>
          <w:p w14:paraId="7E8EC72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161 (48%)</w:t>
            </w:r>
          </w:p>
        </w:tc>
        <w:tc>
          <w:tcPr>
            <w:tcW w:w="1228" w:type="dxa"/>
            <w:tcBorders>
              <w:top w:val="single" w:sz="4" w:space="0" w:color="auto"/>
              <w:left w:val="nil"/>
              <w:bottom w:val="single" w:sz="4" w:space="0" w:color="auto"/>
              <w:right w:val="nil"/>
            </w:tcBorders>
            <w:noWrap/>
            <w:vAlign w:val="center"/>
            <w:hideMark/>
          </w:tcPr>
          <w:p w14:paraId="467C13A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113 (33.5%)</w:t>
            </w:r>
          </w:p>
        </w:tc>
        <w:tc>
          <w:tcPr>
            <w:tcW w:w="1228" w:type="dxa"/>
            <w:tcBorders>
              <w:top w:val="single" w:sz="4" w:space="0" w:color="auto"/>
              <w:left w:val="nil"/>
              <w:bottom w:val="single" w:sz="4" w:space="0" w:color="auto"/>
              <w:right w:val="nil"/>
            </w:tcBorders>
            <w:noWrap/>
            <w:vAlign w:val="center"/>
            <w:hideMark/>
          </w:tcPr>
          <w:p w14:paraId="210B469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63 (18.7%)</w:t>
            </w:r>
          </w:p>
        </w:tc>
      </w:tr>
      <w:tr w:rsidR="00C171AF" w14:paraId="6C511313" w14:textId="77777777" w:rsidTr="003B0468">
        <w:trPr>
          <w:trHeight w:val="359"/>
        </w:trPr>
        <w:tc>
          <w:tcPr>
            <w:tcW w:w="1890" w:type="dxa"/>
            <w:tcBorders>
              <w:top w:val="nil"/>
              <w:left w:val="nil"/>
              <w:bottom w:val="nil"/>
              <w:right w:val="nil"/>
            </w:tcBorders>
            <w:vAlign w:val="center"/>
            <w:hideMark/>
          </w:tcPr>
          <w:p w14:paraId="3311B28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lastRenderedPageBreak/>
              <w:t>Anemia</w:t>
            </w:r>
          </w:p>
        </w:tc>
        <w:tc>
          <w:tcPr>
            <w:tcW w:w="1269" w:type="dxa"/>
            <w:tcBorders>
              <w:top w:val="nil"/>
              <w:left w:val="nil"/>
              <w:bottom w:val="nil"/>
              <w:right w:val="nil"/>
            </w:tcBorders>
            <w:noWrap/>
            <w:vAlign w:val="center"/>
            <w:hideMark/>
          </w:tcPr>
          <w:p w14:paraId="48FA090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360 (91.4%)</w:t>
            </w:r>
          </w:p>
        </w:tc>
        <w:tc>
          <w:tcPr>
            <w:tcW w:w="1469" w:type="dxa"/>
            <w:tcBorders>
              <w:top w:val="nil"/>
              <w:left w:val="nil"/>
              <w:bottom w:val="nil"/>
              <w:right w:val="nil"/>
            </w:tcBorders>
            <w:noWrap/>
            <w:vAlign w:val="center"/>
            <w:hideMark/>
          </w:tcPr>
          <w:p w14:paraId="3B394FA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215 (60%)</w:t>
            </w:r>
          </w:p>
        </w:tc>
        <w:tc>
          <w:tcPr>
            <w:tcW w:w="1582" w:type="dxa"/>
            <w:tcBorders>
              <w:top w:val="nil"/>
              <w:left w:val="nil"/>
              <w:bottom w:val="nil"/>
              <w:right w:val="nil"/>
            </w:tcBorders>
            <w:noWrap/>
            <w:vAlign w:val="center"/>
            <w:hideMark/>
          </w:tcPr>
          <w:p w14:paraId="20B161AF"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145 (40.27%)</w:t>
            </w:r>
          </w:p>
        </w:tc>
        <w:tc>
          <w:tcPr>
            <w:tcW w:w="1288" w:type="dxa"/>
            <w:tcBorders>
              <w:top w:val="nil"/>
              <w:left w:val="nil"/>
              <w:bottom w:val="nil"/>
              <w:right w:val="nil"/>
            </w:tcBorders>
            <w:noWrap/>
            <w:vAlign w:val="center"/>
            <w:hideMark/>
          </w:tcPr>
          <w:p w14:paraId="4FFD29E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111 (30.8%)</w:t>
            </w:r>
          </w:p>
        </w:tc>
        <w:tc>
          <w:tcPr>
            <w:tcW w:w="1288" w:type="dxa"/>
            <w:tcBorders>
              <w:top w:val="nil"/>
              <w:left w:val="nil"/>
              <w:bottom w:val="nil"/>
              <w:right w:val="nil"/>
            </w:tcBorders>
            <w:noWrap/>
            <w:vAlign w:val="center"/>
            <w:hideMark/>
          </w:tcPr>
          <w:p w14:paraId="3E3D46A7"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104 (28.9%)</w:t>
            </w:r>
          </w:p>
        </w:tc>
        <w:tc>
          <w:tcPr>
            <w:tcW w:w="1228" w:type="dxa"/>
            <w:tcBorders>
              <w:top w:val="nil"/>
              <w:left w:val="nil"/>
              <w:bottom w:val="nil"/>
              <w:right w:val="nil"/>
            </w:tcBorders>
            <w:noWrap/>
            <w:vAlign w:val="center"/>
            <w:hideMark/>
          </w:tcPr>
          <w:p w14:paraId="4FCC564D"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145 (40%)</w:t>
            </w:r>
          </w:p>
        </w:tc>
        <w:tc>
          <w:tcPr>
            <w:tcW w:w="1230" w:type="dxa"/>
            <w:tcBorders>
              <w:top w:val="nil"/>
              <w:left w:val="nil"/>
              <w:bottom w:val="nil"/>
              <w:right w:val="nil"/>
            </w:tcBorders>
            <w:noWrap/>
            <w:vAlign w:val="center"/>
            <w:hideMark/>
          </w:tcPr>
          <w:p w14:paraId="6D179572"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179 (50%)</w:t>
            </w:r>
          </w:p>
        </w:tc>
        <w:tc>
          <w:tcPr>
            <w:tcW w:w="1228" w:type="dxa"/>
            <w:tcBorders>
              <w:top w:val="nil"/>
              <w:left w:val="nil"/>
              <w:bottom w:val="nil"/>
              <w:right w:val="nil"/>
            </w:tcBorders>
            <w:noWrap/>
            <w:vAlign w:val="center"/>
            <w:hideMark/>
          </w:tcPr>
          <w:p w14:paraId="3CCD2F9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69 (19.2%)</w:t>
            </w:r>
          </w:p>
        </w:tc>
        <w:tc>
          <w:tcPr>
            <w:tcW w:w="1228" w:type="dxa"/>
            <w:tcBorders>
              <w:top w:val="nil"/>
              <w:left w:val="nil"/>
              <w:bottom w:val="nil"/>
              <w:right w:val="nil"/>
            </w:tcBorders>
            <w:noWrap/>
            <w:vAlign w:val="center"/>
            <w:hideMark/>
          </w:tcPr>
          <w:p w14:paraId="26A6E94E"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112 (31.1%)</w:t>
            </w:r>
          </w:p>
        </w:tc>
      </w:tr>
      <w:tr w:rsidR="00C171AF" w14:paraId="6646B3E1" w14:textId="77777777" w:rsidTr="003B0468">
        <w:trPr>
          <w:trHeight w:val="312"/>
        </w:trPr>
        <w:tc>
          <w:tcPr>
            <w:tcW w:w="1890" w:type="dxa"/>
            <w:tcBorders>
              <w:top w:val="single" w:sz="4" w:space="0" w:color="auto"/>
              <w:left w:val="nil"/>
              <w:bottom w:val="single" w:sz="4" w:space="0" w:color="auto"/>
              <w:right w:val="nil"/>
            </w:tcBorders>
            <w:noWrap/>
            <w:vAlign w:val="center"/>
            <w:hideMark/>
          </w:tcPr>
          <w:p w14:paraId="7D55B38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Dysuria</w:t>
            </w:r>
          </w:p>
        </w:tc>
        <w:tc>
          <w:tcPr>
            <w:tcW w:w="1269" w:type="dxa"/>
            <w:tcBorders>
              <w:top w:val="single" w:sz="4" w:space="0" w:color="auto"/>
              <w:left w:val="nil"/>
              <w:bottom w:val="single" w:sz="4" w:space="0" w:color="auto"/>
              <w:right w:val="nil"/>
            </w:tcBorders>
            <w:noWrap/>
            <w:vAlign w:val="center"/>
            <w:hideMark/>
          </w:tcPr>
          <w:p w14:paraId="5BD4B34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271 (76.8%)</w:t>
            </w:r>
          </w:p>
        </w:tc>
        <w:tc>
          <w:tcPr>
            <w:tcW w:w="1469" w:type="dxa"/>
            <w:tcBorders>
              <w:top w:val="single" w:sz="4" w:space="0" w:color="auto"/>
              <w:left w:val="nil"/>
              <w:bottom w:val="single" w:sz="4" w:space="0" w:color="auto"/>
              <w:right w:val="nil"/>
            </w:tcBorders>
            <w:noWrap/>
            <w:vAlign w:val="center"/>
            <w:hideMark/>
          </w:tcPr>
          <w:p w14:paraId="09EEB364"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90 (36%)</w:t>
            </w:r>
          </w:p>
        </w:tc>
        <w:tc>
          <w:tcPr>
            <w:tcW w:w="1582" w:type="dxa"/>
            <w:tcBorders>
              <w:top w:val="single" w:sz="4" w:space="0" w:color="auto"/>
              <w:left w:val="nil"/>
              <w:bottom w:val="single" w:sz="4" w:space="0" w:color="auto"/>
              <w:right w:val="nil"/>
            </w:tcBorders>
            <w:noWrap/>
            <w:vAlign w:val="center"/>
            <w:hideMark/>
          </w:tcPr>
          <w:p w14:paraId="2564BBD3"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157(63.6%)</w:t>
            </w:r>
          </w:p>
        </w:tc>
        <w:tc>
          <w:tcPr>
            <w:tcW w:w="1288" w:type="dxa"/>
            <w:tcBorders>
              <w:top w:val="single" w:sz="4" w:space="0" w:color="auto"/>
              <w:left w:val="nil"/>
              <w:bottom w:val="single" w:sz="4" w:space="0" w:color="auto"/>
              <w:right w:val="nil"/>
            </w:tcBorders>
            <w:noWrap/>
            <w:vAlign w:val="center"/>
            <w:hideMark/>
          </w:tcPr>
          <w:p w14:paraId="248665D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41 (15.1%)</w:t>
            </w:r>
          </w:p>
        </w:tc>
        <w:tc>
          <w:tcPr>
            <w:tcW w:w="1288" w:type="dxa"/>
            <w:tcBorders>
              <w:top w:val="single" w:sz="4" w:space="0" w:color="auto"/>
              <w:left w:val="nil"/>
              <w:bottom w:val="single" w:sz="4" w:space="0" w:color="auto"/>
              <w:right w:val="nil"/>
            </w:tcBorders>
            <w:noWrap/>
            <w:vAlign w:val="center"/>
            <w:hideMark/>
          </w:tcPr>
          <w:p w14:paraId="52FDE14A"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136 (50.2%)</w:t>
            </w:r>
          </w:p>
        </w:tc>
        <w:tc>
          <w:tcPr>
            <w:tcW w:w="1228" w:type="dxa"/>
            <w:tcBorders>
              <w:top w:val="single" w:sz="4" w:space="0" w:color="auto"/>
              <w:left w:val="nil"/>
              <w:bottom w:val="single" w:sz="4" w:space="0" w:color="auto"/>
              <w:right w:val="nil"/>
            </w:tcBorders>
            <w:noWrap/>
            <w:vAlign w:val="center"/>
            <w:hideMark/>
          </w:tcPr>
          <w:p w14:paraId="70B8BB35"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94 (35%)</w:t>
            </w:r>
          </w:p>
        </w:tc>
        <w:tc>
          <w:tcPr>
            <w:tcW w:w="1230" w:type="dxa"/>
            <w:tcBorders>
              <w:top w:val="single" w:sz="4" w:space="0" w:color="auto"/>
              <w:left w:val="nil"/>
              <w:bottom w:val="single" w:sz="4" w:space="0" w:color="auto"/>
              <w:right w:val="nil"/>
            </w:tcBorders>
            <w:noWrap/>
            <w:vAlign w:val="center"/>
            <w:hideMark/>
          </w:tcPr>
          <w:p w14:paraId="79F2CC99"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149 (60%)</w:t>
            </w:r>
          </w:p>
        </w:tc>
        <w:tc>
          <w:tcPr>
            <w:tcW w:w="1228" w:type="dxa"/>
            <w:tcBorders>
              <w:top w:val="single" w:sz="4" w:space="0" w:color="auto"/>
              <w:left w:val="nil"/>
              <w:bottom w:val="single" w:sz="4" w:space="0" w:color="auto"/>
              <w:right w:val="nil"/>
            </w:tcBorders>
            <w:noWrap/>
            <w:vAlign w:val="center"/>
            <w:hideMark/>
          </w:tcPr>
          <w:p w14:paraId="729FFC98"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39 (15.8%)</w:t>
            </w:r>
          </w:p>
        </w:tc>
        <w:tc>
          <w:tcPr>
            <w:tcW w:w="1228" w:type="dxa"/>
            <w:tcBorders>
              <w:top w:val="single" w:sz="4" w:space="0" w:color="auto"/>
              <w:left w:val="nil"/>
              <w:bottom w:val="single" w:sz="4" w:space="0" w:color="auto"/>
              <w:right w:val="nil"/>
            </w:tcBorders>
            <w:noWrap/>
            <w:vAlign w:val="center"/>
            <w:hideMark/>
          </w:tcPr>
          <w:p w14:paraId="7EAA4C86" w14:textId="77777777" w:rsidR="00C171AF" w:rsidRPr="002F2BEA" w:rsidRDefault="00C171AF" w:rsidP="003B0468">
            <w:pPr>
              <w:suppressAutoHyphens/>
              <w:spacing w:line="276" w:lineRule="auto"/>
              <w:jc w:val="left"/>
              <w:rPr>
                <w:rFonts w:asciiTheme="majorBidi" w:eastAsia="Times New Roman" w:hAnsiTheme="majorBidi" w:cstheme="majorBidi"/>
                <w:lang w:eastAsia="en-US"/>
              </w:rPr>
            </w:pPr>
            <w:r w:rsidRPr="002F2BEA">
              <w:rPr>
                <w:rFonts w:asciiTheme="majorBidi" w:eastAsia="Times New Roman" w:hAnsiTheme="majorBidi" w:cstheme="majorBidi"/>
                <w:lang w:eastAsia="en-US"/>
              </w:rPr>
              <w:t>59 (23.9%)</w:t>
            </w:r>
          </w:p>
        </w:tc>
      </w:tr>
    </w:tbl>
    <w:p w14:paraId="416F9AAD" w14:textId="77777777" w:rsidR="00C171AF" w:rsidRPr="002F2BEA" w:rsidRDefault="00C171AF" w:rsidP="00C171AF">
      <w:pPr>
        <w:pStyle w:val="MDPI31text"/>
        <w:suppressAutoHyphens/>
        <w:spacing w:line="280" w:lineRule="exact"/>
        <w:ind w:left="0" w:firstLine="0"/>
        <w:jc w:val="left"/>
        <w:rPr>
          <w:rFonts w:asciiTheme="majorBidi" w:hAnsiTheme="majorBidi" w:cstheme="majorBidi"/>
          <w:szCs w:val="20"/>
        </w:rPr>
      </w:pPr>
    </w:p>
    <w:p w14:paraId="718DB3D0" w14:textId="77777777" w:rsidR="00C171AF" w:rsidRDefault="00C171AF" w:rsidP="00C171AF">
      <w:pPr>
        <w:pStyle w:val="Caption"/>
        <w:suppressAutoHyphens/>
        <w:rPr>
          <w:rFonts w:asciiTheme="majorBidi" w:hAnsiTheme="majorBidi" w:cstheme="majorBidi"/>
          <w:b/>
          <w:bCs/>
          <w:i w:val="0"/>
          <w:iCs w:val="0"/>
          <w:color w:val="auto"/>
          <w:sz w:val="20"/>
          <w:szCs w:val="20"/>
        </w:rPr>
      </w:pPr>
      <w:bookmarkStart w:id="13" w:name="_Hlk199776063"/>
    </w:p>
    <w:p w14:paraId="64383203" w14:textId="77777777" w:rsidR="00C171AF" w:rsidRPr="002F2BEA" w:rsidRDefault="00C171AF" w:rsidP="00C171AF">
      <w:pPr>
        <w:pStyle w:val="Caption"/>
        <w:suppressAutoHyphens/>
        <w:rPr>
          <w:rFonts w:asciiTheme="majorBidi" w:hAnsiTheme="majorBidi" w:cstheme="majorBidi"/>
          <w:b/>
          <w:bCs/>
          <w:i w:val="0"/>
          <w:iCs w:val="0"/>
          <w:color w:val="auto"/>
          <w:sz w:val="20"/>
          <w:szCs w:val="20"/>
        </w:rPr>
      </w:pPr>
      <w:r w:rsidRPr="002F2BEA">
        <w:rPr>
          <w:rFonts w:asciiTheme="majorBidi" w:hAnsiTheme="majorBidi" w:cstheme="majorBidi"/>
          <w:b/>
          <w:bCs/>
          <w:i w:val="0"/>
          <w:iCs w:val="0"/>
          <w:color w:val="auto"/>
          <w:sz w:val="20"/>
          <w:szCs w:val="20"/>
        </w:rPr>
        <w:t xml:space="preserve">Table </w:t>
      </w:r>
      <w:r w:rsidRPr="002F2BEA">
        <w:rPr>
          <w:rFonts w:asciiTheme="majorBidi" w:hAnsiTheme="majorBidi" w:cstheme="majorBidi"/>
          <w:b/>
          <w:bCs/>
          <w:i w:val="0"/>
          <w:iCs w:val="0"/>
          <w:color w:val="auto"/>
          <w:sz w:val="20"/>
          <w:szCs w:val="20"/>
        </w:rPr>
        <w:fldChar w:fldCharType="begin"/>
      </w:r>
      <w:r w:rsidRPr="002F2BEA">
        <w:rPr>
          <w:rFonts w:asciiTheme="majorBidi" w:hAnsiTheme="majorBidi" w:cstheme="majorBidi"/>
          <w:b/>
          <w:bCs/>
          <w:i w:val="0"/>
          <w:iCs w:val="0"/>
          <w:color w:val="auto"/>
          <w:sz w:val="20"/>
          <w:szCs w:val="20"/>
        </w:rPr>
        <w:instrText xml:space="preserve"> SEQ Table \* ARABIC </w:instrText>
      </w:r>
      <w:r w:rsidRPr="002F2BEA">
        <w:rPr>
          <w:rFonts w:asciiTheme="majorBidi" w:hAnsiTheme="majorBidi" w:cstheme="majorBidi"/>
          <w:b/>
          <w:bCs/>
          <w:i w:val="0"/>
          <w:iCs w:val="0"/>
          <w:color w:val="auto"/>
          <w:sz w:val="20"/>
          <w:szCs w:val="20"/>
        </w:rPr>
        <w:fldChar w:fldCharType="separate"/>
      </w:r>
      <w:r w:rsidRPr="002F2BEA">
        <w:rPr>
          <w:rFonts w:asciiTheme="majorBidi" w:hAnsiTheme="majorBidi" w:cstheme="majorBidi"/>
          <w:b/>
          <w:bCs/>
          <w:i w:val="0"/>
          <w:iCs w:val="0"/>
          <w:noProof/>
          <w:color w:val="auto"/>
          <w:sz w:val="20"/>
          <w:szCs w:val="20"/>
        </w:rPr>
        <w:t>10</w:t>
      </w:r>
      <w:r w:rsidRPr="002F2BEA">
        <w:rPr>
          <w:rFonts w:asciiTheme="majorBidi" w:hAnsiTheme="majorBidi" w:cstheme="majorBidi"/>
          <w:b/>
          <w:bCs/>
          <w:i w:val="0"/>
          <w:iCs w:val="0"/>
          <w:color w:val="auto"/>
          <w:sz w:val="20"/>
          <w:szCs w:val="20"/>
        </w:rPr>
        <w:fldChar w:fldCharType="end"/>
      </w:r>
      <w:r w:rsidRPr="002F2BEA">
        <w:rPr>
          <w:rFonts w:asciiTheme="majorBidi" w:hAnsiTheme="majorBidi" w:cstheme="majorBidi"/>
          <w:b/>
          <w:bCs/>
          <w:i w:val="0"/>
          <w:iCs w:val="0"/>
          <w:color w:val="auto"/>
          <w:sz w:val="20"/>
          <w:szCs w:val="20"/>
        </w:rPr>
        <w:t>: Baseline characteristics of HCWs</w:t>
      </w:r>
    </w:p>
    <w:tbl>
      <w:tblPr>
        <w:tblW w:w="14864" w:type="dxa"/>
        <w:tblLayout w:type="fixed"/>
        <w:tblLook w:val="04A0" w:firstRow="1" w:lastRow="0" w:firstColumn="1" w:lastColumn="0" w:noHBand="0" w:noVBand="1"/>
      </w:tblPr>
      <w:tblGrid>
        <w:gridCol w:w="990"/>
        <w:gridCol w:w="1042"/>
        <w:gridCol w:w="1118"/>
        <w:gridCol w:w="1127"/>
        <w:gridCol w:w="1170"/>
        <w:gridCol w:w="1393"/>
        <w:gridCol w:w="1213"/>
        <w:gridCol w:w="990"/>
        <w:gridCol w:w="8"/>
        <w:gridCol w:w="1072"/>
        <w:gridCol w:w="1368"/>
        <w:gridCol w:w="1175"/>
        <w:gridCol w:w="1165"/>
        <w:gridCol w:w="1026"/>
        <w:gridCol w:w="7"/>
      </w:tblGrid>
      <w:tr w:rsidR="00C171AF" w14:paraId="6A268339" w14:textId="77777777" w:rsidTr="003B0468">
        <w:trPr>
          <w:trHeight w:val="288"/>
        </w:trPr>
        <w:tc>
          <w:tcPr>
            <w:tcW w:w="2032" w:type="dxa"/>
            <w:gridSpan w:val="2"/>
            <w:vMerge w:val="restart"/>
            <w:tcBorders>
              <w:top w:val="single" w:sz="4" w:space="0" w:color="auto"/>
              <w:left w:val="nil"/>
              <w:bottom w:val="single" w:sz="4" w:space="0" w:color="000000"/>
              <w:right w:val="nil"/>
            </w:tcBorders>
            <w:shd w:val="clear" w:color="000000" w:fill="FFFFFF"/>
            <w:noWrap/>
            <w:vAlign w:val="center"/>
            <w:hideMark/>
          </w:tcPr>
          <w:bookmarkEnd w:id="13"/>
          <w:p w14:paraId="5AE39C3E"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Variable / Category</w:t>
            </w:r>
          </w:p>
        </w:tc>
        <w:tc>
          <w:tcPr>
            <w:tcW w:w="7019" w:type="dxa"/>
            <w:gridSpan w:val="7"/>
            <w:tcBorders>
              <w:top w:val="single" w:sz="4" w:space="0" w:color="auto"/>
              <w:left w:val="nil"/>
              <w:bottom w:val="single" w:sz="4" w:space="0" w:color="auto"/>
              <w:right w:val="nil"/>
            </w:tcBorders>
            <w:noWrap/>
            <w:vAlign w:val="center"/>
            <w:hideMark/>
          </w:tcPr>
          <w:p w14:paraId="68EDD9BA"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SACT exposure group HCWs</w:t>
            </w:r>
          </w:p>
        </w:tc>
        <w:tc>
          <w:tcPr>
            <w:tcW w:w="5813" w:type="dxa"/>
            <w:gridSpan w:val="6"/>
            <w:tcBorders>
              <w:top w:val="single" w:sz="4" w:space="0" w:color="auto"/>
              <w:left w:val="nil"/>
              <w:bottom w:val="single" w:sz="4" w:space="0" w:color="auto"/>
              <w:right w:val="nil"/>
            </w:tcBorders>
            <w:noWrap/>
            <w:vAlign w:val="center"/>
            <w:hideMark/>
          </w:tcPr>
          <w:p w14:paraId="07C6A14C"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SACT non-exposure group HCWs</w:t>
            </w:r>
          </w:p>
        </w:tc>
      </w:tr>
      <w:tr w:rsidR="00C171AF" w14:paraId="47804D53" w14:textId="77777777" w:rsidTr="003B0468">
        <w:trPr>
          <w:gridAfter w:val="1"/>
          <w:wAfter w:w="7" w:type="dxa"/>
          <w:trHeight w:val="539"/>
        </w:trPr>
        <w:tc>
          <w:tcPr>
            <w:tcW w:w="2032" w:type="dxa"/>
            <w:gridSpan w:val="2"/>
            <w:vMerge/>
            <w:tcBorders>
              <w:top w:val="single" w:sz="4" w:space="0" w:color="auto"/>
              <w:left w:val="nil"/>
              <w:bottom w:val="single" w:sz="4" w:space="0" w:color="000000"/>
              <w:right w:val="nil"/>
            </w:tcBorders>
            <w:vAlign w:val="center"/>
            <w:hideMark/>
          </w:tcPr>
          <w:p w14:paraId="62851EC3"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p>
        </w:tc>
        <w:tc>
          <w:tcPr>
            <w:tcW w:w="1118" w:type="dxa"/>
            <w:tcBorders>
              <w:top w:val="nil"/>
              <w:left w:val="nil"/>
              <w:bottom w:val="single" w:sz="4" w:space="0" w:color="auto"/>
              <w:right w:val="nil"/>
            </w:tcBorders>
            <w:shd w:val="clear" w:color="000000" w:fill="FFFFFF"/>
            <w:vAlign w:val="center"/>
            <w:hideMark/>
          </w:tcPr>
          <w:p w14:paraId="27F9FEC0"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 xml:space="preserve">Doctors </w:t>
            </w:r>
          </w:p>
        </w:tc>
        <w:tc>
          <w:tcPr>
            <w:tcW w:w="1127" w:type="dxa"/>
            <w:tcBorders>
              <w:top w:val="nil"/>
              <w:left w:val="nil"/>
              <w:bottom w:val="single" w:sz="4" w:space="0" w:color="auto"/>
              <w:right w:val="nil"/>
            </w:tcBorders>
            <w:shd w:val="clear" w:color="000000" w:fill="FFFFFF"/>
            <w:vAlign w:val="center"/>
            <w:hideMark/>
          </w:tcPr>
          <w:p w14:paraId="3CAED268"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 xml:space="preserve">Nurses </w:t>
            </w:r>
          </w:p>
        </w:tc>
        <w:tc>
          <w:tcPr>
            <w:tcW w:w="1170" w:type="dxa"/>
            <w:tcBorders>
              <w:top w:val="nil"/>
              <w:left w:val="nil"/>
              <w:bottom w:val="single" w:sz="4" w:space="0" w:color="auto"/>
              <w:right w:val="nil"/>
            </w:tcBorders>
            <w:shd w:val="clear" w:color="000000" w:fill="FFFFFF"/>
            <w:vAlign w:val="center"/>
            <w:hideMark/>
          </w:tcPr>
          <w:p w14:paraId="19CAC4A3"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 xml:space="preserve">Pharmacists - CRU </w:t>
            </w:r>
          </w:p>
        </w:tc>
        <w:tc>
          <w:tcPr>
            <w:tcW w:w="1393" w:type="dxa"/>
            <w:tcBorders>
              <w:top w:val="nil"/>
              <w:left w:val="nil"/>
              <w:bottom w:val="single" w:sz="4" w:space="0" w:color="auto"/>
              <w:right w:val="nil"/>
            </w:tcBorders>
            <w:shd w:val="clear" w:color="000000" w:fill="FFFFFF"/>
            <w:vAlign w:val="center"/>
            <w:hideMark/>
          </w:tcPr>
          <w:p w14:paraId="12E6676D"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 xml:space="preserve">Pharmacists - non-CRU </w:t>
            </w:r>
          </w:p>
        </w:tc>
        <w:tc>
          <w:tcPr>
            <w:tcW w:w="1213" w:type="dxa"/>
            <w:tcBorders>
              <w:top w:val="nil"/>
              <w:left w:val="nil"/>
              <w:bottom w:val="single" w:sz="4" w:space="0" w:color="auto"/>
              <w:right w:val="nil"/>
            </w:tcBorders>
            <w:shd w:val="clear" w:color="000000" w:fill="FFFFFF"/>
            <w:vAlign w:val="center"/>
            <w:hideMark/>
          </w:tcPr>
          <w:p w14:paraId="2C1A7BA5"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Attendants (f=%)</w:t>
            </w:r>
          </w:p>
        </w:tc>
        <w:tc>
          <w:tcPr>
            <w:tcW w:w="990" w:type="dxa"/>
            <w:tcBorders>
              <w:top w:val="nil"/>
              <w:left w:val="nil"/>
              <w:bottom w:val="single" w:sz="4" w:space="0" w:color="auto"/>
              <w:right w:val="nil"/>
            </w:tcBorders>
            <w:shd w:val="clear" w:color="000000" w:fill="FFFFFF"/>
            <w:vAlign w:val="center"/>
            <w:hideMark/>
          </w:tcPr>
          <w:p w14:paraId="0F062184"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 xml:space="preserve">Cleaning staff </w:t>
            </w:r>
          </w:p>
        </w:tc>
        <w:tc>
          <w:tcPr>
            <w:tcW w:w="1080" w:type="dxa"/>
            <w:gridSpan w:val="2"/>
            <w:tcBorders>
              <w:top w:val="nil"/>
              <w:left w:val="nil"/>
              <w:bottom w:val="single" w:sz="4" w:space="0" w:color="auto"/>
              <w:right w:val="nil"/>
            </w:tcBorders>
            <w:shd w:val="clear" w:color="000000" w:fill="FFFFFF"/>
            <w:vAlign w:val="center"/>
            <w:hideMark/>
          </w:tcPr>
          <w:p w14:paraId="79407DBF"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 xml:space="preserve">Doctors </w:t>
            </w:r>
          </w:p>
        </w:tc>
        <w:tc>
          <w:tcPr>
            <w:tcW w:w="1368" w:type="dxa"/>
            <w:tcBorders>
              <w:top w:val="nil"/>
              <w:left w:val="nil"/>
              <w:bottom w:val="single" w:sz="4" w:space="0" w:color="auto"/>
              <w:right w:val="nil"/>
            </w:tcBorders>
            <w:shd w:val="clear" w:color="000000" w:fill="FFFFFF"/>
            <w:vAlign w:val="center"/>
            <w:hideMark/>
          </w:tcPr>
          <w:p w14:paraId="3A24FC74"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 xml:space="preserve">Nurses </w:t>
            </w:r>
          </w:p>
        </w:tc>
        <w:tc>
          <w:tcPr>
            <w:tcW w:w="1175" w:type="dxa"/>
            <w:tcBorders>
              <w:top w:val="nil"/>
              <w:left w:val="nil"/>
              <w:bottom w:val="single" w:sz="4" w:space="0" w:color="auto"/>
              <w:right w:val="nil"/>
            </w:tcBorders>
            <w:vAlign w:val="center"/>
            <w:hideMark/>
          </w:tcPr>
          <w:p w14:paraId="37F5AF8E"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 xml:space="preserve">Pharmacists </w:t>
            </w:r>
          </w:p>
        </w:tc>
        <w:tc>
          <w:tcPr>
            <w:tcW w:w="1165" w:type="dxa"/>
            <w:tcBorders>
              <w:top w:val="nil"/>
              <w:left w:val="nil"/>
              <w:bottom w:val="single" w:sz="4" w:space="0" w:color="auto"/>
              <w:right w:val="nil"/>
            </w:tcBorders>
            <w:shd w:val="clear" w:color="000000" w:fill="FFFFFF"/>
            <w:vAlign w:val="center"/>
            <w:hideMark/>
          </w:tcPr>
          <w:p w14:paraId="675CA403"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Attendants (n=100)</w:t>
            </w:r>
          </w:p>
          <w:p w14:paraId="680D0797"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p>
        </w:tc>
        <w:tc>
          <w:tcPr>
            <w:tcW w:w="1026" w:type="dxa"/>
            <w:tcBorders>
              <w:top w:val="nil"/>
              <w:left w:val="nil"/>
              <w:bottom w:val="single" w:sz="4" w:space="0" w:color="auto"/>
              <w:right w:val="nil"/>
            </w:tcBorders>
            <w:shd w:val="clear" w:color="000000" w:fill="FFFFFF"/>
            <w:vAlign w:val="center"/>
            <w:hideMark/>
          </w:tcPr>
          <w:p w14:paraId="56E91966"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 xml:space="preserve">Cleaning staff </w:t>
            </w:r>
          </w:p>
        </w:tc>
      </w:tr>
      <w:tr w:rsidR="00C171AF" w14:paraId="6C54A3C1" w14:textId="77777777" w:rsidTr="003B0468">
        <w:trPr>
          <w:gridAfter w:val="1"/>
          <w:wAfter w:w="7" w:type="dxa"/>
          <w:trHeight w:val="288"/>
        </w:trPr>
        <w:tc>
          <w:tcPr>
            <w:tcW w:w="990" w:type="dxa"/>
            <w:vMerge w:val="restart"/>
            <w:tcBorders>
              <w:top w:val="nil"/>
              <w:left w:val="nil"/>
              <w:bottom w:val="nil"/>
              <w:right w:val="nil"/>
            </w:tcBorders>
            <w:shd w:val="clear" w:color="000000" w:fill="FFFFFF"/>
            <w:vAlign w:val="center"/>
            <w:hideMark/>
          </w:tcPr>
          <w:p w14:paraId="202338E1"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Gender</w:t>
            </w:r>
          </w:p>
        </w:tc>
        <w:tc>
          <w:tcPr>
            <w:tcW w:w="1042" w:type="dxa"/>
            <w:tcBorders>
              <w:top w:val="nil"/>
              <w:left w:val="nil"/>
              <w:bottom w:val="single" w:sz="4" w:space="0" w:color="auto"/>
              <w:right w:val="nil"/>
            </w:tcBorders>
            <w:shd w:val="clear" w:color="000000" w:fill="FFFFFF"/>
            <w:vAlign w:val="center"/>
            <w:hideMark/>
          </w:tcPr>
          <w:p w14:paraId="0249CD6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Male</w:t>
            </w:r>
          </w:p>
        </w:tc>
        <w:tc>
          <w:tcPr>
            <w:tcW w:w="1118" w:type="dxa"/>
            <w:tcBorders>
              <w:top w:val="nil"/>
              <w:left w:val="nil"/>
              <w:bottom w:val="single" w:sz="4" w:space="0" w:color="auto"/>
              <w:right w:val="nil"/>
            </w:tcBorders>
            <w:shd w:val="clear" w:color="000000" w:fill="FFFFFF"/>
            <w:noWrap/>
            <w:vAlign w:val="center"/>
            <w:hideMark/>
          </w:tcPr>
          <w:p w14:paraId="6459D510"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26 (40%)</w:t>
            </w:r>
          </w:p>
        </w:tc>
        <w:tc>
          <w:tcPr>
            <w:tcW w:w="1127" w:type="dxa"/>
            <w:tcBorders>
              <w:top w:val="nil"/>
              <w:left w:val="nil"/>
              <w:bottom w:val="single" w:sz="4" w:space="0" w:color="auto"/>
              <w:right w:val="nil"/>
            </w:tcBorders>
            <w:shd w:val="clear" w:color="000000" w:fill="FFFFFF"/>
            <w:noWrap/>
            <w:vAlign w:val="center"/>
            <w:hideMark/>
          </w:tcPr>
          <w:p w14:paraId="654FAF30"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16 (12%)</w:t>
            </w:r>
          </w:p>
        </w:tc>
        <w:tc>
          <w:tcPr>
            <w:tcW w:w="1170" w:type="dxa"/>
            <w:tcBorders>
              <w:top w:val="nil"/>
              <w:left w:val="nil"/>
              <w:bottom w:val="single" w:sz="4" w:space="0" w:color="auto"/>
              <w:right w:val="nil"/>
            </w:tcBorders>
            <w:shd w:val="clear" w:color="000000" w:fill="FFFFFF"/>
            <w:noWrap/>
            <w:vAlign w:val="center"/>
            <w:hideMark/>
          </w:tcPr>
          <w:p w14:paraId="3D00B641"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11 (85%)</w:t>
            </w:r>
          </w:p>
        </w:tc>
        <w:tc>
          <w:tcPr>
            <w:tcW w:w="1393" w:type="dxa"/>
            <w:tcBorders>
              <w:top w:val="nil"/>
              <w:left w:val="nil"/>
              <w:bottom w:val="single" w:sz="4" w:space="0" w:color="auto"/>
              <w:right w:val="nil"/>
            </w:tcBorders>
            <w:shd w:val="clear" w:color="000000" w:fill="FFFFFF"/>
            <w:noWrap/>
            <w:vAlign w:val="center"/>
            <w:hideMark/>
          </w:tcPr>
          <w:p w14:paraId="5F5CB214"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6 (30%)</w:t>
            </w:r>
          </w:p>
        </w:tc>
        <w:tc>
          <w:tcPr>
            <w:tcW w:w="1213" w:type="dxa"/>
            <w:tcBorders>
              <w:top w:val="nil"/>
              <w:left w:val="nil"/>
              <w:bottom w:val="single" w:sz="4" w:space="0" w:color="auto"/>
              <w:right w:val="nil"/>
            </w:tcBorders>
            <w:shd w:val="clear" w:color="000000" w:fill="FFFFFF"/>
            <w:noWrap/>
            <w:vAlign w:val="center"/>
            <w:hideMark/>
          </w:tcPr>
          <w:p w14:paraId="02289AA3"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62</w:t>
            </w:r>
          </w:p>
        </w:tc>
        <w:tc>
          <w:tcPr>
            <w:tcW w:w="990" w:type="dxa"/>
            <w:tcBorders>
              <w:top w:val="nil"/>
              <w:left w:val="nil"/>
              <w:bottom w:val="single" w:sz="4" w:space="0" w:color="auto"/>
              <w:right w:val="nil"/>
            </w:tcBorders>
            <w:shd w:val="clear" w:color="000000" w:fill="FFFFFF"/>
            <w:noWrap/>
            <w:vAlign w:val="center"/>
            <w:hideMark/>
          </w:tcPr>
          <w:p w14:paraId="6AC10BDF"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15 (30%)</w:t>
            </w:r>
          </w:p>
        </w:tc>
        <w:tc>
          <w:tcPr>
            <w:tcW w:w="1080" w:type="dxa"/>
            <w:gridSpan w:val="2"/>
            <w:tcBorders>
              <w:top w:val="nil"/>
              <w:left w:val="nil"/>
              <w:bottom w:val="single" w:sz="4" w:space="0" w:color="auto"/>
              <w:right w:val="nil"/>
            </w:tcBorders>
            <w:shd w:val="clear" w:color="000000" w:fill="FFFFFF"/>
            <w:noWrap/>
            <w:vAlign w:val="center"/>
            <w:hideMark/>
          </w:tcPr>
          <w:p w14:paraId="0AF14DBF"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25 (38.5%)</w:t>
            </w:r>
          </w:p>
        </w:tc>
        <w:tc>
          <w:tcPr>
            <w:tcW w:w="1368" w:type="dxa"/>
            <w:tcBorders>
              <w:top w:val="nil"/>
              <w:left w:val="nil"/>
              <w:bottom w:val="single" w:sz="4" w:space="0" w:color="auto"/>
              <w:right w:val="nil"/>
            </w:tcBorders>
            <w:shd w:val="clear" w:color="000000" w:fill="FFFFFF"/>
            <w:noWrap/>
            <w:vAlign w:val="center"/>
            <w:hideMark/>
          </w:tcPr>
          <w:p w14:paraId="664059CC"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16 (11.8%)</w:t>
            </w:r>
          </w:p>
        </w:tc>
        <w:tc>
          <w:tcPr>
            <w:tcW w:w="1175" w:type="dxa"/>
            <w:tcBorders>
              <w:top w:val="nil"/>
              <w:left w:val="nil"/>
              <w:bottom w:val="single" w:sz="4" w:space="0" w:color="auto"/>
              <w:right w:val="nil"/>
            </w:tcBorders>
            <w:noWrap/>
            <w:vAlign w:val="center"/>
            <w:hideMark/>
          </w:tcPr>
          <w:p w14:paraId="4DC1D6E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17 (39.5%)</w:t>
            </w:r>
          </w:p>
        </w:tc>
        <w:tc>
          <w:tcPr>
            <w:tcW w:w="1165" w:type="dxa"/>
            <w:tcBorders>
              <w:top w:val="nil"/>
              <w:left w:val="nil"/>
              <w:bottom w:val="single" w:sz="4" w:space="0" w:color="auto"/>
              <w:right w:val="nil"/>
            </w:tcBorders>
            <w:shd w:val="clear" w:color="000000" w:fill="FFFFFF"/>
            <w:noWrap/>
            <w:vAlign w:val="center"/>
            <w:hideMark/>
          </w:tcPr>
          <w:p w14:paraId="205E360F"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28</w:t>
            </w:r>
          </w:p>
        </w:tc>
        <w:tc>
          <w:tcPr>
            <w:tcW w:w="1026" w:type="dxa"/>
            <w:tcBorders>
              <w:top w:val="nil"/>
              <w:left w:val="nil"/>
              <w:bottom w:val="single" w:sz="4" w:space="0" w:color="auto"/>
              <w:right w:val="nil"/>
            </w:tcBorders>
            <w:shd w:val="clear" w:color="000000" w:fill="FFFFFF"/>
            <w:noWrap/>
            <w:vAlign w:val="center"/>
            <w:hideMark/>
          </w:tcPr>
          <w:p w14:paraId="594CA4A1"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23 (41.1%)</w:t>
            </w:r>
          </w:p>
        </w:tc>
      </w:tr>
      <w:tr w:rsidR="00C171AF" w14:paraId="0FD28338" w14:textId="77777777" w:rsidTr="003B0468">
        <w:trPr>
          <w:gridAfter w:val="1"/>
          <w:wAfter w:w="7" w:type="dxa"/>
          <w:trHeight w:val="288"/>
        </w:trPr>
        <w:tc>
          <w:tcPr>
            <w:tcW w:w="990" w:type="dxa"/>
            <w:vMerge/>
            <w:tcBorders>
              <w:top w:val="nil"/>
              <w:left w:val="nil"/>
              <w:bottom w:val="nil"/>
              <w:right w:val="nil"/>
            </w:tcBorders>
            <w:vAlign w:val="center"/>
            <w:hideMark/>
          </w:tcPr>
          <w:p w14:paraId="061B1934"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p>
        </w:tc>
        <w:tc>
          <w:tcPr>
            <w:tcW w:w="1042" w:type="dxa"/>
            <w:tcBorders>
              <w:top w:val="nil"/>
              <w:left w:val="nil"/>
              <w:bottom w:val="nil"/>
              <w:right w:val="nil"/>
            </w:tcBorders>
            <w:shd w:val="clear" w:color="000000" w:fill="FFFFFF"/>
            <w:vAlign w:val="center"/>
            <w:hideMark/>
          </w:tcPr>
          <w:p w14:paraId="58A29D8E"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Female</w:t>
            </w:r>
          </w:p>
        </w:tc>
        <w:tc>
          <w:tcPr>
            <w:tcW w:w="1118" w:type="dxa"/>
            <w:tcBorders>
              <w:top w:val="nil"/>
              <w:left w:val="nil"/>
              <w:bottom w:val="nil"/>
              <w:right w:val="nil"/>
            </w:tcBorders>
            <w:shd w:val="clear" w:color="000000" w:fill="FFFFFF"/>
            <w:noWrap/>
            <w:vAlign w:val="center"/>
            <w:hideMark/>
          </w:tcPr>
          <w:p w14:paraId="71833D3B"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39 (60%)</w:t>
            </w:r>
          </w:p>
        </w:tc>
        <w:tc>
          <w:tcPr>
            <w:tcW w:w="1127" w:type="dxa"/>
            <w:tcBorders>
              <w:top w:val="nil"/>
              <w:left w:val="nil"/>
              <w:bottom w:val="nil"/>
              <w:right w:val="nil"/>
            </w:tcBorders>
            <w:shd w:val="clear" w:color="000000" w:fill="FFFFFF"/>
            <w:noWrap/>
            <w:vAlign w:val="center"/>
            <w:hideMark/>
          </w:tcPr>
          <w:p w14:paraId="52D0E8CF"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116 (88%)</w:t>
            </w:r>
          </w:p>
        </w:tc>
        <w:tc>
          <w:tcPr>
            <w:tcW w:w="1170" w:type="dxa"/>
            <w:tcBorders>
              <w:top w:val="nil"/>
              <w:left w:val="nil"/>
              <w:bottom w:val="nil"/>
              <w:right w:val="nil"/>
            </w:tcBorders>
            <w:shd w:val="clear" w:color="000000" w:fill="FFFFFF"/>
            <w:noWrap/>
            <w:vAlign w:val="center"/>
            <w:hideMark/>
          </w:tcPr>
          <w:p w14:paraId="3380281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 (15%)</w:t>
            </w:r>
          </w:p>
        </w:tc>
        <w:tc>
          <w:tcPr>
            <w:tcW w:w="1393" w:type="dxa"/>
            <w:tcBorders>
              <w:top w:val="nil"/>
              <w:left w:val="nil"/>
              <w:bottom w:val="nil"/>
              <w:right w:val="nil"/>
            </w:tcBorders>
            <w:shd w:val="clear" w:color="000000" w:fill="FFFFFF"/>
            <w:noWrap/>
            <w:vAlign w:val="center"/>
            <w:hideMark/>
          </w:tcPr>
          <w:p w14:paraId="568EBA7E"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14 (70%)</w:t>
            </w:r>
          </w:p>
        </w:tc>
        <w:tc>
          <w:tcPr>
            <w:tcW w:w="1213" w:type="dxa"/>
            <w:tcBorders>
              <w:top w:val="nil"/>
              <w:left w:val="nil"/>
              <w:bottom w:val="nil"/>
              <w:right w:val="nil"/>
            </w:tcBorders>
            <w:shd w:val="clear" w:color="000000" w:fill="FFFFFF"/>
            <w:noWrap/>
            <w:vAlign w:val="center"/>
            <w:hideMark/>
          </w:tcPr>
          <w:p w14:paraId="3C956032"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38</w:t>
            </w:r>
          </w:p>
        </w:tc>
        <w:tc>
          <w:tcPr>
            <w:tcW w:w="990" w:type="dxa"/>
            <w:tcBorders>
              <w:top w:val="nil"/>
              <w:left w:val="nil"/>
              <w:bottom w:val="nil"/>
              <w:right w:val="nil"/>
            </w:tcBorders>
            <w:shd w:val="clear" w:color="000000" w:fill="FFFFFF"/>
            <w:noWrap/>
            <w:vAlign w:val="center"/>
            <w:hideMark/>
          </w:tcPr>
          <w:p w14:paraId="499831A2"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35 (70%)</w:t>
            </w:r>
          </w:p>
        </w:tc>
        <w:tc>
          <w:tcPr>
            <w:tcW w:w="1080" w:type="dxa"/>
            <w:gridSpan w:val="2"/>
            <w:tcBorders>
              <w:top w:val="nil"/>
              <w:left w:val="nil"/>
              <w:bottom w:val="nil"/>
              <w:right w:val="nil"/>
            </w:tcBorders>
            <w:shd w:val="clear" w:color="000000" w:fill="FFFFFF"/>
            <w:noWrap/>
            <w:vAlign w:val="center"/>
            <w:hideMark/>
          </w:tcPr>
          <w:p w14:paraId="6EB4FB0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40 (61.5%)</w:t>
            </w:r>
          </w:p>
        </w:tc>
        <w:tc>
          <w:tcPr>
            <w:tcW w:w="1368" w:type="dxa"/>
            <w:tcBorders>
              <w:top w:val="nil"/>
              <w:left w:val="nil"/>
              <w:bottom w:val="nil"/>
              <w:right w:val="nil"/>
            </w:tcBorders>
            <w:shd w:val="clear" w:color="000000" w:fill="FFFFFF"/>
            <w:noWrap/>
            <w:vAlign w:val="center"/>
            <w:hideMark/>
          </w:tcPr>
          <w:p w14:paraId="300F19F4"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120 (88.2%)</w:t>
            </w:r>
          </w:p>
        </w:tc>
        <w:tc>
          <w:tcPr>
            <w:tcW w:w="1175" w:type="dxa"/>
            <w:tcBorders>
              <w:top w:val="nil"/>
              <w:left w:val="nil"/>
              <w:bottom w:val="nil"/>
              <w:right w:val="nil"/>
            </w:tcBorders>
            <w:noWrap/>
            <w:vAlign w:val="center"/>
            <w:hideMark/>
          </w:tcPr>
          <w:p w14:paraId="4E637A62"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26 (60.5%)</w:t>
            </w:r>
          </w:p>
        </w:tc>
        <w:tc>
          <w:tcPr>
            <w:tcW w:w="1165" w:type="dxa"/>
            <w:tcBorders>
              <w:top w:val="nil"/>
              <w:left w:val="nil"/>
              <w:bottom w:val="nil"/>
              <w:right w:val="nil"/>
            </w:tcBorders>
            <w:shd w:val="clear" w:color="000000" w:fill="FFFFFF"/>
            <w:noWrap/>
            <w:vAlign w:val="center"/>
            <w:hideMark/>
          </w:tcPr>
          <w:p w14:paraId="595AEC2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72</w:t>
            </w:r>
          </w:p>
        </w:tc>
        <w:tc>
          <w:tcPr>
            <w:tcW w:w="1026" w:type="dxa"/>
            <w:tcBorders>
              <w:top w:val="nil"/>
              <w:left w:val="nil"/>
              <w:bottom w:val="nil"/>
              <w:right w:val="nil"/>
            </w:tcBorders>
            <w:shd w:val="clear" w:color="000000" w:fill="FFFFFF"/>
            <w:noWrap/>
            <w:vAlign w:val="center"/>
            <w:hideMark/>
          </w:tcPr>
          <w:p w14:paraId="102252E3"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33 (58.9%)</w:t>
            </w:r>
          </w:p>
        </w:tc>
      </w:tr>
      <w:tr w:rsidR="00C171AF" w14:paraId="1ABD7839" w14:textId="77777777" w:rsidTr="003B0468">
        <w:trPr>
          <w:gridAfter w:val="1"/>
          <w:wAfter w:w="7" w:type="dxa"/>
          <w:trHeight w:val="288"/>
        </w:trPr>
        <w:tc>
          <w:tcPr>
            <w:tcW w:w="990" w:type="dxa"/>
            <w:vMerge w:val="restart"/>
            <w:tcBorders>
              <w:top w:val="single" w:sz="4" w:space="0" w:color="auto"/>
              <w:left w:val="nil"/>
              <w:bottom w:val="single" w:sz="4" w:space="0" w:color="000000"/>
              <w:right w:val="nil"/>
            </w:tcBorders>
            <w:shd w:val="clear" w:color="000000" w:fill="FFFFFF"/>
            <w:vAlign w:val="center"/>
            <w:hideMark/>
          </w:tcPr>
          <w:p w14:paraId="1A00AA07"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Age (years)</w:t>
            </w:r>
          </w:p>
        </w:tc>
        <w:tc>
          <w:tcPr>
            <w:tcW w:w="1042" w:type="dxa"/>
            <w:tcBorders>
              <w:top w:val="single" w:sz="4" w:space="0" w:color="auto"/>
              <w:left w:val="nil"/>
              <w:bottom w:val="nil"/>
              <w:right w:val="nil"/>
            </w:tcBorders>
            <w:shd w:val="clear" w:color="000000" w:fill="FFFFFF"/>
            <w:vAlign w:val="center"/>
            <w:hideMark/>
          </w:tcPr>
          <w:p w14:paraId="2687883D"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&lt;30</w:t>
            </w:r>
          </w:p>
        </w:tc>
        <w:tc>
          <w:tcPr>
            <w:tcW w:w="1118" w:type="dxa"/>
            <w:tcBorders>
              <w:top w:val="single" w:sz="4" w:space="0" w:color="auto"/>
              <w:left w:val="nil"/>
              <w:bottom w:val="nil"/>
              <w:right w:val="nil"/>
            </w:tcBorders>
            <w:shd w:val="clear" w:color="000000" w:fill="FFFFFF"/>
            <w:noWrap/>
            <w:vAlign w:val="center"/>
            <w:hideMark/>
          </w:tcPr>
          <w:p w14:paraId="388260C1"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 (3.08%)</w:t>
            </w:r>
          </w:p>
        </w:tc>
        <w:tc>
          <w:tcPr>
            <w:tcW w:w="1127" w:type="dxa"/>
            <w:tcBorders>
              <w:top w:val="single" w:sz="4" w:space="0" w:color="auto"/>
              <w:left w:val="nil"/>
              <w:bottom w:val="nil"/>
              <w:right w:val="nil"/>
            </w:tcBorders>
            <w:noWrap/>
            <w:vAlign w:val="center"/>
            <w:hideMark/>
          </w:tcPr>
          <w:p w14:paraId="7CC6A8B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78 (59.09%)</w:t>
            </w:r>
          </w:p>
        </w:tc>
        <w:tc>
          <w:tcPr>
            <w:tcW w:w="1170" w:type="dxa"/>
            <w:tcBorders>
              <w:top w:val="single" w:sz="4" w:space="0" w:color="auto"/>
              <w:left w:val="nil"/>
              <w:bottom w:val="nil"/>
              <w:right w:val="nil"/>
            </w:tcBorders>
            <w:shd w:val="clear" w:color="000000" w:fill="FFFFFF"/>
            <w:noWrap/>
            <w:vAlign w:val="center"/>
            <w:hideMark/>
          </w:tcPr>
          <w:p w14:paraId="6C43AE8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393" w:type="dxa"/>
            <w:tcBorders>
              <w:top w:val="single" w:sz="4" w:space="0" w:color="auto"/>
              <w:left w:val="nil"/>
              <w:bottom w:val="nil"/>
              <w:right w:val="nil"/>
            </w:tcBorders>
            <w:shd w:val="clear" w:color="000000" w:fill="FFFFFF"/>
            <w:noWrap/>
            <w:vAlign w:val="center"/>
            <w:hideMark/>
          </w:tcPr>
          <w:p w14:paraId="7B8B4B7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213" w:type="dxa"/>
            <w:tcBorders>
              <w:top w:val="single" w:sz="4" w:space="0" w:color="auto"/>
              <w:left w:val="nil"/>
              <w:bottom w:val="nil"/>
              <w:right w:val="nil"/>
            </w:tcBorders>
            <w:noWrap/>
            <w:vAlign w:val="center"/>
            <w:hideMark/>
          </w:tcPr>
          <w:p w14:paraId="29DB90D1"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14</w:t>
            </w:r>
          </w:p>
        </w:tc>
        <w:tc>
          <w:tcPr>
            <w:tcW w:w="990" w:type="dxa"/>
            <w:tcBorders>
              <w:top w:val="single" w:sz="4" w:space="0" w:color="auto"/>
              <w:left w:val="nil"/>
              <w:bottom w:val="nil"/>
              <w:right w:val="nil"/>
            </w:tcBorders>
            <w:noWrap/>
            <w:vAlign w:val="center"/>
            <w:hideMark/>
          </w:tcPr>
          <w:p w14:paraId="674F6163"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6 (12%)</w:t>
            </w:r>
          </w:p>
        </w:tc>
        <w:tc>
          <w:tcPr>
            <w:tcW w:w="1080" w:type="dxa"/>
            <w:gridSpan w:val="2"/>
            <w:tcBorders>
              <w:top w:val="single" w:sz="4" w:space="0" w:color="auto"/>
              <w:left w:val="nil"/>
              <w:bottom w:val="nil"/>
              <w:right w:val="nil"/>
            </w:tcBorders>
            <w:shd w:val="clear" w:color="000000" w:fill="FFFFFF"/>
            <w:vAlign w:val="center"/>
            <w:hideMark/>
          </w:tcPr>
          <w:p w14:paraId="6B580D65"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34 (52.3%)</w:t>
            </w:r>
          </w:p>
        </w:tc>
        <w:tc>
          <w:tcPr>
            <w:tcW w:w="1368" w:type="dxa"/>
            <w:tcBorders>
              <w:top w:val="single" w:sz="4" w:space="0" w:color="auto"/>
              <w:left w:val="nil"/>
              <w:bottom w:val="nil"/>
              <w:right w:val="nil"/>
            </w:tcBorders>
            <w:shd w:val="clear" w:color="000000" w:fill="FFFFFF"/>
            <w:vAlign w:val="center"/>
            <w:hideMark/>
          </w:tcPr>
          <w:p w14:paraId="2C06D441"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92 (67.6%)</w:t>
            </w:r>
          </w:p>
        </w:tc>
        <w:tc>
          <w:tcPr>
            <w:tcW w:w="1175" w:type="dxa"/>
            <w:tcBorders>
              <w:top w:val="single" w:sz="4" w:space="0" w:color="auto"/>
              <w:left w:val="nil"/>
              <w:bottom w:val="nil"/>
              <w:right w:val="nil"/>
            </w:tcBorders>
            <w:vAlign w:val="center"/>
            <w:hideMark/>
          </w:tcPr>
          <w:p w14:paraId="1D097F22"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20 (46.5%)</w:t>
            </w:r>
          </w:p>
        </w:tc>
        <w:tc>
          <w:tcPr>
            <w:tcW w:w="1165" w:type="dxa"/>
            <w:tcBorders>
              <w:top w:val="single" w:sz="4" w:space="0" w:color="auto"/>
              <w:left w:val="nil"/>
              <w:bottom w:val="nil"/>
              <w:right w:val="nil"/>
            </w:tcBorders>
            <w:shd w:val="clear" w:color="000000" w:fill="FFFFFF"/>
            <w:noWrap/>
            <w:vAlign w:val="center"/>
            <w:hideMark/>
          </w:tcPr>
          <w:p w14:paraId="105EF3B3"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17</w:t>
            </w:r>
          </w:p>
        </w:tc>
        <w:tc>
          <w:tcPr>
            <w:tcW w:w="1026" w:type="dxa"/>
            <w:tcBorders>
              <w:top w:val="single" w:sz="4" w:space="0" w:color="auto"/>
              <w:left w:val="nil"/>
              <w:bottom w:val="nil"/>
              <w:right w:val="nil"/>
            </w:tcBorders>
            <w:shd w:val="clear" w:color="000000" w:fill="FFFFFF"/>
            <w:vAlign w:val="center"/>
            <w:hideMark/>
          </w:tcPr>
          <w:p w14:paraId="25B7E44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10 (17.9%)</w:t>
            </w:r>
          </w:p>
        </w:tc>
      </w:tr>
      <w:tr w:rsidR="00C171AF" w14:paraId="4BEE6C4F" w14:textId="77777777" w:rsidTr="003B0468">
        <w:trPr>
          <w:gridAfter w:val="1"/>
          <w:wAfter w:w="7" w:type="dxa"/>
          <w:trHeight w:val="288"/>
        </w:trPr>
        <w:tc>
          <w:tcPr>
            <w:tcW w:w="990" w:type="dxa"/>
            <w:vMerge/>
            <w:tcBorders>
              <w:top w:val="single" w:sz="4" w:space="0" w:color="auto"/>
              <w:left w:val="nil"/>
              <w:bottom w:val="single" w:sz="4" w:space="0" w:color="000000"/>
              <w:right w:val="nil"/>
            </w:tcBorders>
            <w:vAlign w:val="center"/>
            <w:hideMark/>
          </w:tcPr>
          <w:p w14:paraId="71B9E2EB"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p>
        </w:tc>
        <w:tc>
          <w:tcPr>
            <w:tcW w:w="1042" w:type="dxa"/>
            <w:tcBorders>
              <w:top w:val="single" w:sz="4" w:space="0" w:color="auto"/>
              <w:left w:val="nil"/>
              <w:bottom w:val="single" w:sz="4" w:space="0" w:color="auto"/>
              <w:right w:val="nil"/>
            </w:tcBorders>
            <w:shd w:val="clear" w:color="000000" w:fill="FFFFFF"/>
            <w:vAlign w:val="center"/>
            <w:hideMark/>
          </w:tcPr>
          <w:p w14:paraId="034344C4"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31-42</w:t>
            </w:r>
          </w:p>
        </w:tc>
        <w:tc>
          <w:tcPr>
            <w:tcW w:w="1118" w:type="dxa"/>
            <w:tcBorders>
              <w:top w:val="single" w:sz="4" w:space="0" w:color="auto"/>
              <w:left w:val="nil"/>
              <w:bottom w:val="single" w:sz="4" w:space="0" w:color="auto"/>
              <w:right w:val="nil"/>
            </w:tcBorders>
            <w:shd w:val="clear" w:color="000000" w:fill="FFFFFF"/>
            <w:noWrap/>
            <w:vAlign w:val="center"/>
            <w:hideMark/>
          </w:tcPr>
          <w:p w14:paraId="46B1BC30"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32 (49.23%)</w:t>
            </w:r>
          </w:p>
        </w:tc>
        <w:tc>
          <w:tcPr>
            <w:tcW w:w="1127" w:type="dxa"/>
            <w:tcBorders>
              <w:top w:val="single" w:sz="4" w:space="0" w:color="auto"/>
              <w:left w:val="nil"/>
              <w:bottom w:val="single" w:sz="4" w:space="0" w:color="auto"/>
              <w:right w:val="nil"/>
            </w:tcBorders>
            <w:noWrap/>
            <w:vAlign w:val="center"/>
            <w:hideMark/>
          </w:tcPr>
          <w:p w14:paraId="2B8D64FE"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45 (34.09%)</w:t>
            </w:r>
          </w:p>
        </w:tc>
        <w:tc>
          <w:tcPr>
            <w:tcW w:w="1170" w:type="dxa"/>
            <w:tcBorders>
              <w:top w:val="single" w:sz="4" w:space="0" w:color="auto"/>
              <w:left w:val="nil"/>
              <w:bottom w:val="single" w:sz="4" w:space="0" w:color="auto"/>
              <w:right w:val="nil"/>
            </w:tcBorders>
            <w:noWrap/>
            <w:vAlign w:val="center"/>
            <w:hideMark/>
          </w:tcPr>
          <w:p w14:paraId="6A682FCD"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8 (61.54%)</w:t>
            </w:r>
          </w:p>
        </w:tc>
        <w:tc>
          <w:tcPr>
            <w:tcW w:w="1393" w:type="dxa"/>
            <w:tcBorders>
              <w:top w:val="single" w:sz="4" w:space="0" w:color="auto"/>
              <w:left w:val="nil"/>
              <w:bottom w:val="single" w:sz="4" w:space="0" w:color="auto"/>
              <w:right w:val="nil"/>
            </w:tcBorders>
            <w:noWrap/>
            <w:vAlign w:val="center"/>
            <w:hideMark/>
          </w:tcPr>
          <w:p w14:paraId="39FEA8E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14 (70.0%)</w:t>
            </w:r>
          </w:p>
        </w:tc>
        <w:tc>
          <w:tcPr>
            <w:tcW w:w="1213" w:type="dxa"/>
            <w:tcBorders>
              <w:top w:val="single" w:sz="4" w:space="0" w:color="auto"/>
              <w:left w:val="nil"/>
              <w:bottom w:val="single" w:sz="4" w:space="0" w:color="auto"/>
              <w:right w:val="nil"/>
            </w:tcBorders>
            <w:noWrap/>
            <w:vAlign w:val="center"/>
            <w:hideMark/>
          </w:tcPr>
          <w:p w14:paraId="79A2B98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61</w:t>
            </w:r>
          </w:p>
        </w:tc>
        <w:tc>
          <w:tcPr>
            <w:tcW w:w="990" w:type="dxa"/>
            <w:tcBorders>
              <w:top w:val="single" w:sz="4" w:space="0" w:color="auto"/>
              <w:left w:val="nil"/>
              <w:bottom w:val="single" w:sz="4" w:space="0" w:color="auto"/>
              <w:right w:val="nil"/>
            </w:tcBorders>
            <w:noWrap/>
            <w:vAlign w:val="center"/>
            <w:hideMark/>
          </w:tcPr>
          <w:p w14:paraId="72B4436F"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9 (18%)</w:t>
            </w:r>
          </w:p>
        </w:tc>
        <w:tc>
          <w:tcPr>
            <w:tcW w:w="1080" w:type="dxa"/>
            <w:gridSpan w:val="2"/>
            <w:tcBorders>
              <w:top w:val="single" w:sz="4" w:space="0" w:color="auto"/>
              <w:left w:val="nil"/>
              <w:bottom w:val="single" w:sz="4" w:space="0" w:color="auto"/>
              <w:right w:val="nil"/>
            </w:tcBorders>
            <w:shd w:val="clear" w:color="000000" w:fill="FFFFFF"/>
            <w:vAlign w:val="center"/>
            <w:hideMark/>
          </w:tcPr>
          <w:p w14:paraId="088BFFF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10 (15.4%)</w:t>
            </w:r>
          </w:p>
        </w:tc>
        <w:tc>
          <w:tcPr>
            <w:tcW w:w="1368" w:type="dxa"/>
            <w:tcBorders>
              <w:top w:val="single" w:sz="4" w:space="0" w:color="auto"/>
              <w:left w:val="nil"/>
              <w:bottom w:val="single" w:sz="4" w:space="0" w:color="auto"/>
              <w:right w:val="nil"/>
            </w:tcBorders>
            <w:shd w:val="clear" w:color="000000" w:fill="FFFFFF"/>
            <w:vAlign w:val="center"/>
            <w:hideMark/>
          </w:tcPr>
          <w:p w14:paraId="7DE7B6A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27 (19.9%)</w:t>
            </w:r>
          </w:p>
        </w:tc>
        <w:tc>
          <w:tcPr>
            <w:tcW w:w="1175" w:type="dxa"/>
            <w:tcBorders>
              <w:top w:val="single" w:sz="4" w:space="0" w:color="auto"/>
              <w:left w:val="nil"/>
              <w:bottom w:val="single" w:sz="4" w:space="0" w:color="auto"/>
              <w:right w:val="nil"/>
            </w:tcBorders>
            <w:vAlign w:val="center"/>
            <w:hideMark/>
          </w:tcPr>
          <w:p w14:paraId="3D57955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19 (44.2%)</w:t>
            </w:r>
          </w:p>
        </w:tc>
        <w:tc>
          <w:tcPr>
            <w:tcW w:w="1165" w:type="dxa"/>
            <w:tcBorders>
              <w:top w:val="single" w:sz="4" w:space="0" w:color="auto"/>
              <w:left w:val="nil"/>
              <w:bottom w:val="single" w:sz="4" w:space="0" w:color="auto"/>
              <w:right w:val="nil"/>
            </w:tcBorders>
            <w:shd w:val="clear" w:color="000000" w:fill="FFFFFF"/>
            <w:noWrap/>
            <w:vAlign w:val="center"/>
            <w:hideMark/>
          </w:tcPr>
          <w:p w14:paraId="6408EE90"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43</w:t>
            </w:r>
          </w:p>
        </w:tc>
        <w:tc>
          <w:tcPr>
            <w:tcW w:w="1026" w:type="dxa"/>
            <w:tcBorders>
              <w:top w:val="single" w:sz="4" w:space="0" w:color="auto"/>
              <w:left w:val="nil"/>
              <w:bottom w:val="single" w:sz="4" w:space="0" w:color="auto"/>
              <w:right w:val="nil"/>
            </w:tcBorders>
            <w:shd w:val="clear" w:color="000000" w:fill="FFFFFF"/>
            <w:vAlign w:val="center"/>
            <w:hideMark/>
          </w:tcPr>
          <w:p w14:paraId="45B500D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19 (33.9%)</w:t>
            </w:r>
          </w:p>
        </w:tc>
      </w:tr>
      <w:tr w:rsidR="00C171AF" w14:paraId="756FBF7A" w14:textId="77777777" w:rsidTr="003B0468">
        <w:trPr>
          <w:gridAfter w:val="1"/>
          <w:wAfter w:w="7" w:type="dxa"/>
          <w:trHeight w:val="288"/>
        </w:trPr>
        <w:tc>
          <w:tcPr>
            <w:tcW w:w="990" w:type="dxa"/>
            <w:vMerge/>
            <w:tcBorders>
              <w:top w:val="single" w:sz="4" w:space="0" w:color="auto"/>
              <w:left w:val="nil"/>
              <w:bottom w:val="single" w:sz="4" w:space="0" w:color="000000"/>
              <w:right w:val="nil"/>
            </w:tcBorders>
            <w:vAlign w:val="center"/>
            <w:hideMark/>
          </w:tcPr>
          <w:p w14:paraId="14BDE69F"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p>
        </w:tc>
        <w:tc>
          <w:tcPr>
            <w:tcW w:w="1042" w:type="dxa"/>
            <w:tcBorders>
              <w:top w:val="nil"/>
              <w:left w:val="nil"/>
              <w:bottom w:val="nil"/>
              <w:right w:val="nil"/>
            </w:tcBorders>
            <w:shd w:val="clear" w:color="000000" w:fill="FFFFFF"/>
            <w:vAlign w:val="center"/>
            <w:hideMark/>
          </w:tcPr>
          <w:p w14:paraId="54452605"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43-54</w:t>
            </w:r>
          </w:p>
        </w:tc>
        <w:tc>
          <w:tcPr>
            <w:tcW w:w="1118" w:type="dxa"/>
            <w:tcBorders>
              <w:top w:val="nil"/>
              <w:left w:val="nil"/>
              <w:bottom w:val="nil"/>
              <w:right w:val="nil"/>
            </w:tcBorders>
            <w:shd w:val="clear" w:color="000000" w:fill="FFFFFF"/>
            <w:vAlign w:val="center"/>
            <w:hideMark/>
          </w:tcPr>
          <w:p w14:paraId="7BD079DC"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27 (41.54%)</w:t>
            </w:r>
          </w:p>
        </w:tc>
        <w:tc>
          <w:tcPr>
            <w:tcW w:w="1127" w:type="dxa"/>
            <w:tcBorders>
              <w:top w:val="nil"/>
              <w:left w:val="nil"/>
              <w:bottom w:val="nil"/>
              <w:right w:val="nil"/>
            </w:tcBorders>
            <w:noWrap/>
            <w:vAlign w:val="center"/>
            <w:hideMark/>
          </w:tcPr>
          <w:p w14:paraId="07DFEA48"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8 (6.06%)</w:t>
            </w:r>
          </w:p>
        </w:tc>
        <w:tc>
          <w:tcPr>
            <w:tcW w:w="1170" w:type="dxa"/>
            <w:tcBorders>
              <w:top w:val="nil"/>
              <w:left w:val="nil"/>
              <w:bottom w:val="nil"/>
              <w:right w:val="nil"/>
            </w:tcBorders>
            <w:noWrap/>
            <w:vAlign w:val="center"/>
            <w:hideMark/>
          </w:tcPr>
          <w:p w14:paraId="342B7B4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5 (38.46%)</w:t>
            </w:r>
          </w:p>
        </w:tc>
        <w:tc>
          <w:tcPr>
            <w:tcW w:w="1393" w:type="dxa"/>
            <w:tcBorders>
              <w:top w:val="nil"/>
              <w:left w:val="nil"/>
              <w:bottom w:val="nil"/>
              <w:right w:val="nil"/>
            </w:tcBorders>
            <w:noWrap/>
            <w:vAlign w:val="center"/>
            <w:hideMark/>
          </w:tcPr>
          <w:p w14:paraId="0325830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5 (25%)</w:t>
            </w:r>
          </w:p>
        </w:tc>
        <w:tc>
          <w:tcPr>
            <w:tcW w:w="1213" w:type="dxa"/>
            <w:tcBorders>
              <w:top w:val="nil"/>
              <w:left w:val="nil"/>
              <w:bottom w:val="nil"/>
              <w:right w:val="nil"/>
            </w:tcBorders>
            <w:noWrap/>
            <w:vAlign w:val="center"/>
            <w:hideMark/>
          </w:tcPr>
          <w:p w14:paraId="51205F6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23</w:t>
            </w:r>
          </w:p>
        </w:tc>
        <w:tc>
          <w:tcPr>
            <w:tcW w:w="990" w:type="dxa"/>
            <w:tcBorders>
              <w:top w:val="nil"/>
              <w:left w:val="nil"/>
              <w:bottom w:val="nil"/>
              <w:right w:val="nil"/>
            </w:tcBorders>
            <w:noWrap/>
            <w:vAlign w:val="center"/>
            <w:hideMark/>
          </w:tcPr>
          <w:p w14:paraId="61F91E01"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18 (36%)</w:t>
            </w:r>
          </w:p>
        </w:tc>
        <w:tc>
          <w:tcPr>
            <w:tcW w:w="1080" w:type="dxa"/>
            <w:gridSpan w:val="2"/>
            <w:tcBorders>
              <w:top w:val="nil"/>
              <w:left w:val="nil"/>
              <w:bottom w:val="nil"/>
              <w:right w:val="nil"/>
            </w:tcBorders>
            <w:shd w:val="clear" w:color="000000" w:fill="FFFFFF"/>
            <w:vAlign w:val="center"/>
            <w:hideMark/>
          </w:tcPr>
          <w:p w14:paraId="2D00FB8F"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16 (24.6%)</w:t>
            </w:r>
          </w:p>
        </w:tc>
        <w:tc>
          <w:tcPr>
            <w:tcW w:w="1368" w:type="dxa"/>
            <w:tcBorders>
              <w:top w:val="nil"/>
              <w:left w:val="nil"/>
              <w:bottom w:val="nil"/>
              <w:right w:val="nil"/>
            </w:tcBorders>
            <w:shd w:val="clear" w:color="000000" w:fill="FFFFFF"/>
            <w:vAlign w:val="center"/>
            <w:hideMark/>
          </w:tcPr>
          <w:p w14:paraId="19BF65B5"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17 (12.5%)</w:t>
            </w:r>
          </w:p>
        </w:tc>
        <w:tc>
          <w:tcPr>
            <w:tcW w:w="1175" w:type="dxa"/>
            <w:tcBorders>
              <w:top w:val="nil"/>
              <w:left w:val="nil"/>
              <w:bottom w:val="nil"/>
              <w:right w:val="nil"/>
            </w:tcBorders>
            <w:vAlign w:val="center"/>
            <w:hideMark/>
          </w:tcPr>
          <w:p w14:paraId="5EAD928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 (9.3%)</w:t>
            </w:r>
          </w:p>
        </w:tc>
        <w:tc>
          <w:tcPr>
            <w:tcW w:w="1165" w:type="dxa"/>
            <w:tcBorders>
              <w:top w:val="nil"/>
              <w:left w:val="nil"/>
              <w:bottom w:val="nil"/>
              <w:right w:val="nil"/>
            </w:tcBorders>
            <w:shd w:val="clear" w:color="000000" w:fill="FFFFFF"/>
            <w:noWrap/>
            <w:vAlign w:val="center"/>
            <w:hideMark/>
          </w:tcPr>
          <w:p w14:paraId="43DBA46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25</w:t>
            </w:r>
          </w:p>
        </w:tc>
        <w:tc>
          <w:tcPr>
            <w:tcW w:w="1026" w:type="dxa"/>
            <w:tcBorders>
              <w:top w:val="nil"/>
              <w:left w:val="nil"/>
              <w:bottom w:val="nil"/>
              <w:right w:val="nil"/>
            </w:tcBorders>
            <w:shd w:val="clear" w:color="000000" w:fill="FFFFFF"/>
            <w:vAlign w:val="center"/>
            <w:hideMark/>
          </w:tcPr>
          <w:p w14:paraId="5C3EEF50"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27 (48.2%)</w:t>
            </w:r>
          </w:p>
        </w:tc>
      </w:tr>
      <w:tr w:rsidR="00C171AF" w14:paraId="4A0DD741" w14:textId="77777777" w:rsidTr="003B0468">
        <w:trPr>
          <w:gridAfter w:val="1"/>
          <w:wAfter w:w="7" w:type="dxa"/>
          <w:trHeight w:val="269"/>
        </w:trPr>
        <w:tc>
          <w:tcPr>
            <w:tcW w:w="990" w:type="dxa"/>
            <w:vMerge/>
            <w:tcBorders>
              <w:top w:val="single" w:sz="4" w:space="0" w:color="auto"/>
              <w:left w:val="nil"/>
              <w:bottom w:val="single" w:sz="4" w:space="0" w:color="000000"/>
              <w:right w:val="nil"/>
            </w:tcBorders>
            <w:vAlign w:val="center"/>
            <w:hideMark/>
          </w:tcPr>
          <w:p w14:paraId="5B11AF58"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p>
        </w:tc>
        <w:tc>
          <w:tcPr>
            <w:tcW w:w="1042" w:type="dxa"/>
            <w:tcBorders>
              <w:top w:val="single" w:sz="4" w:space="0" w:color="auto"/>
              <w:left w:val="nil"/>
              <w:bottom w:val="single" w:sz="4" w:space="0" w:color="auto"/>
              <w:right w:val="nil"/>
            </w:tcBorders>
            <w:shd w:val="clear" w:color="000000" w:fill="FFFFFF"/>
            <w:vAlign w:val="center"/>
            <w:hideMark/>
          </w:tcPr>
          <w:p w14:paraId="50809EE8"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55-65</w:t>
            </w:r>
          </w:p>
        </w:tc>
        <w:tc>
          <w:tcPr>
            <w:tcW w:w="1118" w:type="dxa"/>
            <w:tcBorders>
              <w:top w:val="single" w:sz="4" w:space="0" w:color="auto"/>
              <w:left w:val="nil"/>
              <w:bottom w:val="single" w:sz="4" w:space="0" w:color="auto"/>
              <w:right w:val="nil"/>
            </w:tcBorders>
            <w:shd w:val="clear" w:color="000000" w:fill="FFFFFF"/>
            <w:vAlign w:val="center"/>
            <w:hideMark/>
          </w:tcPr>
          <w:p w14:paraId="715CFF3F" w14:textId="77777777" w:rsidR="00C171AF" w:rsidRPr="002F2BEA" w:rsidRDefault="00C171AF" w:rsidP="003B0468">
            <w:pPr>
              <w:suppressAutoHyphens/>
              <w:spacing w:line="276" w:lineRule="auto"/>
              <w:jc w:val="left"/>
              <w:rPr>
                <w:rFonts w:asciiTheme="majorBidi" w:hAnsiTheme="majorBidi" w:cstheme="majorBidi"/>
                <w:sz w:val="18"/>
                <w:szCs w:val="18"/>
              </w:rPr>
            </w:pPr>
            <w:r w:rsidRPr="002F2BEA">
              <w:rPr>
                <w:rFonts w:asciiTheme="majorBidi" w:hAnsiTheme="majorBidi" w:cstheme="majorBidi"/>
                <w:sz w:val="18"/>
                <w:szCs w:val="18"/>
              </w:rPr>
              <w:t>4 (6.15%)</w:t>
            </w:r>
          </w:p>
        </w:tc>
        <w:tc>
          <w:tcPr>
            <w:tcW w:w="1127" w:type="dxa"/>
            <w:tcBorders>
              <w:top w:val="single" w:sz="4" w:space="0" w:color="auto"/>
              <w:left w:val="nil"/>
              <w:bottom w:val="single" w:sz="4" w:space="0" w:color="auto"/>
              <w:right w:val="nil"/>
            </w:tcBorders>
            <w:noWrap/>
            <w:vAlign w:val="center"/>
            <w:hideMark/>
          </w:tcPr>
          <w:p w14:paraId="17B91358"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 (0.76%)</w:t>
            </w:r>
          </w:p>
        </w:tc>
        <w:tc>
          <w:tcPr>
            <w:tcW w:w="1170" w:type="dxa"/>
            <w:tcBorders>
              <w:top w:val="single" w:sz="4" w:space="0" w:color="auto"/>
              <w:left w:val="nil"/>
              <w:bottom w:val="single" w:sz="4" w:space="0" w:color="auto"/>
              <w:right w:val="nil"/>
            </w:tcBorders>
            <w:shd w:val="clear" w:color="000000" w:fill="FFFFFF"/>
            <w:vAlign w:val="center"/>
            <w:hideMark/>
          </w:tcPr>
          <w:p w14:paraId="3227C96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393" w:type="dxa"/>
            <w:tcBorders>
              <w:top w:val="single" w:sz="4" w:space="0" w:color="auto"/>
              <w:left w:val="nil"/>
              <w:bottom w:val="single" w:sz="4" w:space="0" w:color="auto"/>
              <w:right w:val="nil"/>
            </w:tcBorders>
            <w:noWrap/>
            <w:vAlign w:val="center"/>
            <w:hideMark/>
          </w:tcPr>
          <w:p w14:paraId="3B660AE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 (5%)</w:t>
            </w:r>
          </w:p>
        </w:tc>
        <w:tc>
          <w:tcPr>
            <w:tcW w:w="1213" w:type="dxa"/>
            <w:tcBorders>
              <w:top w:val="single" w:sz="4" w:space="0" w:color="auto"/>
              <w:left w:val="nil"/>
              <w:bottom w:val="single" w:sz="4" w:space="0" w:color="auto"/>
              <w:right w:val="nil"/>
            </w:tcBorders>
            <w:noWrap/>
            <w:vAlign w:val="center"/>
            <w:hideMark/>
          </w:tcPr>
          <w:p w14:paraId="54BCDFE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w:t>
            </w:r>
          </w:p>
        </w:tc>
        <w:tc>
          <w:tcPr>
            <w:tcW w:w="990" w:type="dxa"/>
            <w:tcBorders>
              <w:top w:val="single" w:sz="4" w:space="0" w:color="auto"/>
              <w:left w:val="nil"/>
              <w:bottom w:val="single" w:sz="4" w:space="0" w:color="auto"/>
              <w:right w:val="nil"/>
            </w:tcBorders>
            <w:noWrap/>
            <w:vAlign w:val="center"/>
            <w:hideMark/>
          </w:tcPr>
          <w:p w14:paraId="6CE6DCFC"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11 (22%)</w:t>
            </w:r>
          </w:p>
        </w:tc>
        <w:tc>
          <w:tcPr>
            <w:tcW w:w="1080" w:type="dxa"/>
            <w:gridSpan w:val="2"/>
            <w:tcBorders>
              <w:top w:val="single" w:sz="4" w:space="0" w:color="auto"/>
              <w:left w:val="nil"/>
              <w:bottom w:val="single" w:sz="4" w:space="0" w:color="auto"/>
              <w:right w:val="nil"/>
            </w:tcBorders>
            <w:shd w:val="clear" w:color="000000" w:fill="FFFFFF"/>
            <w:vAlign w:val="center"/>
            <w:hideMark/>
          </w:tcPr>
          <w:p w14:paraId="6FB8AC9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5 (7.7%)</w:t>
            </w:r>
          </w:p>
        </w:tc>
        <w:tc>
          <w:tcPr>
            <w:tcW w:w="1368" w:type="dxa"/>
            <w:tcBorders>
              <w:top w:val="single" w:sz="4" w:space="0" w:color="auto"/>
              <w:left w:val="nil"/>
              <w:bottom w:val="single" w:sz="4" w:space="0" w:color="auto"/>
              <w:right w:val="nil"/>
            </w:tcBorders>
            <w:shd w:val="clear" w:color="000000" w:fill="FFFFFF"/>
            <w:vAlign w:val="center"/>
            <w:hideMark/>
          </w:tcPr>
          <w:p w14:paraId="1AC26FEE"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175" w:type="dxa"/>
            <w:tcBorders>
              <w:top w:val="single" w:sz="4" w:space="0" w:color="auto"/>
              <w:left w:val="nil"/>
              <w:bottom w:val="single" w:sz="4" w:space="0" w:color="auto"/>
              <w:right w:val="nil"/>
            </w:tcBorders>
            <w:vAlign w:val="center"/>
            <w:hideMark/>
          </w:tcPr>
          <w:p w14:paraId="304CCB2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165" w:type="dxa"/>
            <w:tcBorders>
              <w:top w:val="single" w:sz="4" w:space="0" w:color="auto"/>
              <w:left w:val="nil"/>
              <w:bottom w:val="single" w:sz="4" w:space="0" w:color="auto"/>
              <w:right w:val="nil"/>
            </w:tcBorders>
            <w:shd w:val="clear" w:color="000000" w:fill="FFFFFF"/>
            <w:noWrap/>
            <w:vAlign w:val="center"/>
            <w:hideMark/>
          </w:tcPr>
          <w:p w14:paraId="0D1ACB9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15</w:t>
            </w:r>
          </w:p>
        </w:tc>
        <w:tc>
          <w:tcPr>
            <w:tcW w:w="1026" w:type="dxa"/>
            <w:tcBorders>
              <w:top w:val="single" w:sz="4" w:space="0" w:color="auto"/>
              <w:left w:val="nil"/>
              <w:bottom w:val="single" w:sz="4" w:space="0" w:color="auto"/>
              <w:right w:val="nil"/>
            </w:tcBorders>
            <w:shd w:val="clear" w:color="000000" w:fill="FFFFFF"/>
            <w:vAlign w:val="center"/>
            <w:hideMark/>
          </w:tcPr>
          <w:p w14:paraId="58016F0B"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r>
      <w:tr w:rsidR="00C171AF" w14:paraId="4676651A" w14:textId="77777777" w:rsidTr="003B0468">
        <w:trPr>
          <w:gridAfter w:val="1"/>
          <w:wAfter w:w="7" w:type="dxa"/>
          <w:trHeight w:val="60"/>
        </w:trPr>
        <w:tc>
          <w:tcPr>
            <w:tcW w:w="990" w:type="dxa"/>
            <w:vMerge/>
            <w:tcBorders>
              <w:top w:val="single" w:sz="4" w:space="0" w:color="auto"/>
              <w:left w:val="nil"/>
              <w:bottom w:val="single" w:sz="4" w:space="0" w:color="000000"/>
              <w:right w:val="nil"/>
            </w:tcBorders>
            <w:vAlign w:val="center"/>
            <w:hideMark/>
          </w:tcPr>
          <w:p w14:paraId="1007C5C9"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p>
        </w:tc>
        <w:tc>
          <w:tcPr>
            <w:tcW w:w="1042" w:type="dxa"/>
            <w:tcBorders>
              <w:top w:val="single" w:sz="4" w:space="0" w:color="auto"/>
              <w:left w:val="nil"/>
              <w:bottom w:val="single" w:sz="4" w:space="0" w:color="auto"/>
              <w:right w:val="nil"/>
            </w:tcBorders>
            <w:shd w:val="clear" w:color="000000" w:fill="FFFFFF"/>
            <w:vAlign w:val="center"/>
            <w:hideMark/>
          </w:tcPr>
          <w:p w14:paraId="153B7C73"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&gt;66</w:t>
            </w:r>
          </w:p>
        </w:tc>
        <w:tc>
          <w:tcPr>
            <w:tcW w:w="1118" w:type="dxa"/>
            <w:tcBorders>
              <w:top w:val="nil"/>
              <w:left w:val="nil"/>
              <w:bottom w:val="nil"/>
              <w:right w:val="nil"/>
            </w:tcBorders>
            <w:shd w:val="clear" w:color="000000" w:fill="FFFFFF"/>
            <w:vAlign w:val="center"/>
            <w:hideMark/>
          </w:tcPr>
          <w:p w14:paraId="262205BF"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127" w:type="dxa"/>
            <w:tcBorders>
              <w:top w:val="nil"/>
              <w:left w:val="nil"/>
              <w:bottom w:val="nil"/>
              <w:right w:val="nil"/>
            </w:tcBorders>
            <w:shd w:val="clear" w:color="000000" w:fill="FFFFFF"/>
            <w:vAlign w:val="center"/>
            <w:hideMark/>
          </w:tcPr>
          <w:p w14:paraId="02432C2F"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170" w:type="dxa"/>
            <w:tcBorders>
              <w:top w:val="nil"/>
              <w:left w:val="nil"/>
              <w:bottom w:val="nil"/>
              <w:right w:val="nil"/>
            </w:tcBorders>
            <w:shd w:val="clear" w:color="000000" w:fill="FFFFFF"/>
            <w:vAlign w:val="center"/>
            <w:hideMark/>
          </w:tcPr>
          <w:p w14:paraId="6602B89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393" w:type="dxa"/>
            <w:tcBorders>
              <w:top w:val="nil"/>
              <w:left w:val="nil"/>
              <w:bottom w:val="nil"/>
              <w:right w:val="nil"/>
            </w:tcBorders>
            <w:shd w:val="clear" w:color="000000" w:fill="FFFFFF"/>
            <w:noWrap/>
            <w:vAlign w:val="center"/>
            <w:hideMark/>
          </w:tcPr>
          <w:p w14:paraId="1170C843"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213" w:type="dxa"/>
            <w:tcBorders>
              <w:top w:val="nil"/>
              <w:left w:val="nil"/>
              <w:bottom w:val="nil"/>
              <w:right w:val="nil"/>
            </w:tcBorders>
            <w:shd w:val="clear" w:color="000000" w:fill="FFFFFF"/>
            <w:noWrap/>
            <w:vAlign w:val="center"/>
            <w:hideMark/>
          </w:tcPr>
          <w:p w14:paraId="2EBF746E"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990" w:type="dxa"/>
            <w:tcBorders>
              <w:top w:val="nil"/>
              <w:left w:val="nil"/>
              <w:bottom w:val="nil"/>
              <w:right w:val="nil"/>
            </w:tcBorders>
            <w:noWrap/>
            <w:vAlign w:val="center"/>
            <w:hideMark/>
          </w:tcPr>
          <w:p w14:paraId="01E25B62"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6 (12.0%)</w:t>
            </w:r>
          </w:p>
        </w:tc>
        <w:tc>
          <w:tcPr>
            <w:tcW w:w="1080" w:type="dxa"/>
            <w:gridSpan w:val="2"/>
            <w:tcBorders>
              <w:top w:val="nil"/>
              <w:left w:val="nil"/>
              <w:bottom w:val="nil"/>
              <w:right w:val="nil"/>
            </w:tcBorders>
            <w:noWrap/>
            <w:vAlign w:val="center"/>
            <w:hideMark/>
          </w:tcPr>
          <w:p w14:paraId="63D873A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368" w:type="dxa"/>
            <w:tcBorders>
              <w:top w:val="nil"/>
              <w:left w:val="nil"/>
              <w:bottom w:val="nil"/>
              <w:right w:val="nil"/>
            </w:tcBorders>
            <w:noWrap/>
            <w:vAlign w:val="center"/>
            <w:hideMark/>
          </w:tcPr>
          <w:p w14:paraId="01D9983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175" w:type="dxa"/>
            <w:tcBorders>
              <w:top w:val="nil"/>
              <w:left w:val="nil"/>
              <w:bottom w:val="nil"/>
              <w:right w:val="nil"/>
            </w:tcBorders>
            <w:noWrap/>
            <w:vAlign w:val="center"/>
            <w:hideMark/>
          </w:tcPr>
          <w:p w14:paraId="13B1A94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165" w:type="dxa"/>
            <w:tcBorders>
              <w:top w:val="nil"/>
              <w:left w:val="nil"/>
              <w:bottom w:val="nil"/>
              <w:right w:val="nil"/>
            </w:tcBorders>
            <w:noWrap/>
            <w:vAlign w:val="center"/>
            <w:hideMark/>
          </w:tcPr>
          <w:p w14:paraId="21B8228D"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026" w:type="dxa"/>
            <w:tcBorders>
              <w:top w:val="nil"/>
              <w:left w:val="nil"/>
              <w:bottom w:val="nil"/>
              <w:right w:val="nil"/>
            </w:tcBorders>
            <w:noWrap/>
            <w:vAlign w:val="center"/>
            <w:hideMark/>
          </w:tcPr>
          <w:p w14:paraId="30123B3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r>
      <w:tr w:rsidR="00C171AF" w14:paraId="5347EAB2" w14:textId="77777777" w:rsidTr="003B0468">
        <w:trPr>
          <w:gridAfter w:val="1"/>
          <w:wAfter w:w="7" w:type="dxa"/>
          <w:trHeight w:val="456"/>
        </w:trPr>
        <w:tc>
          <w:tcPr>
            <w:tcW w:w="990" w:type="dxa"/>
            <w:vMerge/>
            <w:tcBorders>
              <w:top w:val="single" w:sz="4" w:space="0" w:color="auto"/>
              <w:left w:val="nil"/>
              <w:bottom w:val="single" w:sz="4" w:space="0" w:color="000000"/>
              <w:right w:val="nil"/>
            </w:tcBorders>
            <w:vAlign w:val="center"/>
            <w:hideMark/>
          </w:tcPr>
          <w:p w14:paraId="47117228"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p>
        </w:tc>
        <w:tc>
          <w:tcPr>
            <w:tcW w:w="1042" w:type="dxa"/>
            <w:tcBorders>
              <w:top w:val="single" w:sz="4" w:space="0" w:color="auto"/>
              <w:left w:val="nil"/>
              <w:bottom w:val="single" w:sz="4" w:space="0" w:color="auto"/>
              <w:right w:val="nil"/>
            </w:tcBorders>
            <w:shd w:val="clear" w:color="000000" w:fill="FFFFFF"/>
            <w:vAlign w:val="center"/>
            <w:hideMark/>
          </w:tcPr>
          <w:p w14:paraId="03554EF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Mean</w:t>
            </w:r>
            <w:r w:rsidRPr="002F2BEA">
              <w:rPr>
                <w:rFonts w:asciiTheme="majorBidi" w:eastAsia="Times New Roman" w:hAnsiTheme="majorBidi" w:cstheme="majorBidi"/>
                <w:sz w:val="18"/>
                <w:szCs w:val="18"/>
                <w:u w:val="single"/>
                <w:lang w:eastAsia="en-US"/>
              </w:rPr>
              <w:t xml:space="preserve">+ </w:t>
            </w:r>
            <w:r w:rsidRPr="002F2BEA">
              <w:rPr>
                <w:rFonts w:asciiTheme="majorBidi" w:eastAsia="Times New Roman" w:hAnsiTheme="majorBidi" w:cstheme="majorBidi"/>
                <w:sz w:val="18"/>
                <w:szCs w:val="18"/>
                <w:lang w:eastAsia="en-US"/>
              </w:rPr>
              <w:t>SD (Range)</w:t>
            </w:r>
          </w:p>
        </w:tc>
        <w:tc>
          <w:tcPr>
            <w:tcW w:w="1118" w:type="dxa"/>
            <w:tcBorders>
              <w:top w:val="single" w:sz="4" w:space="0" w:color="auto"/>
              <w:left w:val="nil"/>
              <w:bottom w:val="single" w:sz="4" w:space="0" w:color="auto"/>
              <w:right w:val="nil"/>
            </w:tcBorders>
            <w:shd w:val="clear" w:color="000000" w:fill="FFFFFF"/>
            <w:noWrap/>
            <w:vAlign w:val="center"/>
            <w:hideMark/>
          </w:tcPr>
          <w:p w14:paraId="7AC2F274"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41.22</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7.31 (30-55)</w:t>
            </w:r>
          </w:p>
        </w:tc>
        <w:tc>
          <w:tcPr>
            <w:tcW w:w="1127" w:type="dxa"/>
            <w:tcBorders>
              <w:top w:val="single" w:sz="4" w:space="0" w:color="auto"/>
              <w:left w:val="nil"/>
              <w:bottom w:val="single" w:sz="4" w:space="0" w:color="auto"/>
              <w:right w:val="nil"/>
            </w:tcBorders>
            <w:shd w:val="clear" w:color="000000" w:fill="FFFFFF"/>
            <w:noWrap/>
            <w:vAlign w:val="center"/>
            <w:hideMark/>
          </w:tcPr>
          <w:p w14:paraId="23DC4A1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31.74</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5.7 (26-56)</w:t>
            </w:r>
          </w:p>
        </w:tc>
        <w:tc>
          <w:tcPr>
            <w:tcW w:w="1170" w:type="dxa"/>
            <w:tcBorders>
              <w:top w:val="single" w:sz="4" w:space="0" w:color="auto"/>
              <w:left w:val="nil"/>
              <w:bottom w:val="single" w:sz="4" w:space="0" w:color="auto"/>
              <w:right w:val="nil"/>
            </w:tcBorders>
            <w:shd w:val="clear" w:color="000000" w:fill="FFFFFF"/>
            <w:noWrap/>
            <w:vAlign w:val="center"/>
            <w:hideMark/>
          </w:tcPr>
          <w:p w14:paraId="5513788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39.85</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7.08 (33-53)</w:t>
            </w:r>
          </w:p>
        </w:tc>
        <w:tc>
          <w:tcPr>
            <w:tcW w:w="1393" w:type="dxa"/>
            <w:tcBorders>
              <w:top w:val="single" w:sz="4" w:space="0" w:color="auto"/>
              <w:left w:val="nil"/>
              <w:bottom w:val="single" w:sz="4" w:space="0" w:color="auto"/>
              <w:right w:val="nil"/>
            </w:tcBorders>
            <w:shd w:val="clear" w:color="000000" w:fill="FFFFFF"/>
            <w:noWrap/>
            <w:vAlign w:val="center"/>
            <w:hideMark/>
          </w:tcPr>
          <w:p w14:paraId="6703858B"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 xml:space="preserve">39.9 </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6.95 (31-54)</w:t>
            </w:r>
          </w:p>
        </w:tc>
        <w:tc>
          <w:tcPr>
            <w:tcW w:w="1213" w:type="dxa"/>
            <w:tcBorders>
              <w:top w:val="single" w:sz="4" w:space="0" w:color="auto"/>
              <w:left w:val="nil"/>
              <w:bottom w:val="single" w:sz="4" w:space="0" w:color="auto"/>
              <w:right w:val="nil"/>
            </w:tcBorders>
            <w:shd w:val="clear" w:color="000000" w:fill="FFFFFF"/>
            <w:noWrap/>
            <w:vAlign w:val="center"/>
            <w:hideMark/>
          </w:tcPr>
          <w:p w14:paraId="0D270FAC"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37.28</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7.06 (24-59)</w:t>
            </w:r>
          </w:p>
        </w:tc>
        <w:tc>
          <w:tcPr>
            <w:tcW w:w="990" w:type="dxa"/>
            <w:tcBorders>
              <w:top w:val="single" w:sz="4" w:space="0" w:color="auto"/>
              <w:left w:val="nil"/>
              <w:bottom w:val="single" w:sz="4" w:space="0" w:color="auto"/>
              <w:right w:val="nil"/>
            </w:tcBorders>
            <w:shd w:val="clear" w:color="000000" w:fill="FFFFFF"/>
            <w:noWrap/>
            <w:vAlign w:val="center"/>
            <w:hideMark/>
          </w:tcPr>
          <w:p w14:paraId="2E90FBB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48.14</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13.02 (24-68)</w:t>
            </w:r>
          </w:p>
        </w:tc>
        <w:tc>
          <w:tcPr>
            <w:tcW w:w="1080" w:type="dxa"/>
            <w:gridSpan w:val="2"/>
            <w:tcBorders>
              <w:top w:val="single" w:sz="4" w:space="0" w:color="auto"/>
              <w:left w:val="nil"/>
              <w:bottom w:val="single" w:sz="4" w:space="0" w:color="auto"/>
              <w:right w:val="nil"/>
            </w:tcBorders>
            <w:shd w:val="clear" w:color="000000" w:fill="FFFFFF"/>
            <w:vAlign w:val="center"/>
            <w:hideMark/>
          </w:tcPr>
          <w:p w14:paraId="0B15B191"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36.02</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9.73 (27-57)</w:t>
            </w:r>
          </w:p>
        </w:tc>
        <w:tc>
          <w:tcPr>
            <w:tcW w:w="1368" w:type="dxa"/>
            <w:tcBorders>
              <w:top w:val="single" w:sz="4" w:space="0" w:color="auto"/>
              <w:left w:val="nil"/>
              <w:bottom w:val="single" w:sz="4" w:space="0" w:color="auto"/>
              <w:right w:val="nil"/>
            </w:tcBorders>
            <w:shd w:val="clear" w:color="000000" w:fill="FFFFFF"/>
            <w:vAlign w:val="center"/>
            <w:hideMark/>
          </w:tcPr>
          <w:p w14:paraId="5A49B47B"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31.26</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6.83 (25-50)</w:t>
            </w:r>
          </w:p>
        </w:tc>
        <w:tc>
          <w:tcPr>
            <w:tcW w:w="1175" w:type="dxa"/>
            <w:tcBorders>
              <w:top w:val="single" w:sz="4" w:space="0" w:color="auto"/>
              <w:left w:val="nil"/>
              <w:bottom w:val="single" w:sz="4" w:space="0" w:color="auto"/>
              <w:right w:val="nil"/>
            </w:tcBorders>
            <w:vAlign w:val="center"/>
            <w:hideMark/>
          </w:tcPr>
          <w:p w14:paraId="589DC45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34.6</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6.53 (27-46)</w:t>
            </w:r>
          </w:p>
        </w:tc>
        <w:tc>
          <w:tcPr>
            <w:tcW w:w="1165" w:type="dxa"/>
            <w:tcBorders>
              <w:top w:val="single" w:sz="4" w:space="0" w:color="auto"/>
              <w:left w:val="nil"/>
              <w:bottom w:val="single" w:sz="4" w:space="0" w:color="auto"/>
              <w:right w:val="nil"/>
            </w:tcBorders>
            <w:shd w:val="clear" w:color="000000" w:fill="FFFFFF"/>
            <w:noWrap/>
            <w:vAlign w:val="center"/>
            <w:hideMark/>
          </w:tcPr>
          <w:p w14:paraId="3782793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39.7</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9.34 (28-59)</w:t>
            </w:r>
          </w:p>
        </w:tc>
        <w:tc>
          <w:tcPr>
            <w:tcW w:w="1026" w:type="dxa"/>
            <w:tcBorders>
              <w:top w:val="single" w:sz="4" w:space="0" w:color="auto"/>
              <w:left w:val="nil"/>
              <w:bottom w:val="single" w:sz="4" w:space="0" w:color="auto"/>
              <w:right w:val="nil"/>
            </w:tcBorders>
            <w:shd w:val="clear" w:color="000000" w:fill="FFFFFF"/>
            <w:vAlign w:val="center"/>
            <w:hideMark/>
          </w:tcPr>
          <w:p w14:paraId="23717951"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40.77</w:t>
            </w:r>
            <w:r w:rsidRPr="002F2BEA">
              <w:rPr>
                <w:rFonts w:asciiTheme="majorBidi" w:eastAsia="Times New Roman" w:hAnsiTheme="majorBidi" w:cstheme="majorBidi"/>
                <w:sz w:val="18"/>
                <w:szCs w:val="18"/>
                <w:u w:val="single"/>
                <w:lang w:eastAsia="en-US"/>
              </w:rPr>
              <w:t>+</w:t>
            </w:r>
            <w:r w:rsidRPr="002F2BEA">
              <w:rPr>
                <w:rFonts w:asciiTheme="majorBidi" w:eastAsia="Times New Roman" w:hAnsiTheme="majorBidi" w:cstheme="majorBidi"/>
                <w:sz w:val="18"/>
                <w:szCs w:val="18"/>
                <w:lang w:eastAsia="en-US"/>
              </w:rPr>
              <w:t>8.8 (29-53)</w:t>
            </w:r>
          </w:p>
        </w:tc>
      </w:tr>
      <w:tr w:rsidR="00C171AF" w14:paraId="3E139357" w14:textId="77777777" w:rsidTr="003B0468">
        <w:trPr>
          <w:gridAfter w:val="1"/>
          <w:wAfter w:w="7" w:type="dxa"/>
          <w:trHeight w:val="288"/>
        </w:trPr>
        <w:tc>
          <w:tcPr>
            <w:tcW w:w="990" w:type="dxa"/>
            <w:vMerge w:val="restart"/>
            <w:tcBorders>
              <w:top w:val="nil"/>
              <w:left w:val="nil"/>
              <w:bottom w:val="nil"/>
              <w:right w:val="nil"/>
            </w:tcBorders>
            <w:shd w:val="clear" w:color="000000" w:fill="FFFFFF"/>
            <w:vAlign w:val="center"/>
            <w:hideMark/>
          </w:tcPr>
          <w:p w14:paraId="09039971"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Nationality</w:t>
            </w:r>
          </w:p>
        </w:tc>
        <w:tc>
          <w:tcPr>
            <w:tcW w:w="1042" w:type="dxa"/>
            <w:tcBorders>
              <w:top w:val="single" w:sz="4" w:space="0" w:color="auto"/>
              <w:left w:val="nil"/>
              <w:bottom w:val="single" w:sz="4" w:space="0" w:color="auto"/>
              <w:right w:val="nil"/>
            </w:tcBorders>
            <w:shd w:val="clear" w:color="000000" w:fill="FFFFFF"/>
            <w:vAlign w:val="center"/>
            <w:hideMark/>
          </w:tcPr>
          <w:p w14:paraId="6A22314E"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Sinhala</w:t>
            </w:r>
          </w:p>
        </w:tc>
        <w:tc>
          <w:tcPr>
            <w:tcW w:w="1118" w:type="dxa"/>
            <w:tcBorders>
              <w:top w:val="nil"/>
              <w:left w:val="nil"/>
              <w:bottom w:val="nil"/>
              <w:right w:val="nil"/>
            </w:tcBorders>
            <w:shd w:val="clear" w:color="000000" w:fill="FFFFFF"/>
            <w:noWrap/>
            <w:vAlign w:val="center"/>
            <w:hideMark/>
          </w:tcPr>
          <w:p w14:paraId="3CCA7273"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65 (100%)</w:t>
            </w:r>
          </w:p>
        </w:tc>
        <w:tc>
          <w:tcPr>
            <w:tcW w:w="1127" w:type="dxa"/>
            <w:tcBorders>
              <w:top w:val="nil"/>
              <w:left w:val="nil"/>
              <w:bottom w:val="nil"/>
              <w:right w:val="nil"/>
            </w:tcBorders>
            <w:shd w:val="clear" w:color="000000" w:fill="FFFFFF"/>
            <w:noWrap/>
            <w:vAlign w:val="center"/>
            <w:hideMark/>
          </w:tcPr>
          <w:p w14:paraId="3D957BF2"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129 (98%)</w:t>
            </w:r>
          </w:p>
        </w:tc>
        <w:tc>
          <w:tcPr>
            <w:tcW w:w="1170" w:type="dxa"/>
            <w:tcBorders>
              <w:top w:val="nil"/>
              <w:left w:val="nil"/>
              <w:bottom w:val="nil"/>
              <w:right w:val="nil"/>
            </w:tcBorders>
            <w:shd w:val="clear" w:color="000000" w:fill="FFFFFF"/>
            <w:noWrap/>
            <w:vAlign w:val="center"/>
            <w:hideMark/>
          </w:tcPr>
          <w:p w14:paraId="2AC0C86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13 (100%)</w:t>
            </w:r>
          </w:p>
        </w:tc>
        <w:tc>
          <w:tcPr>
            <w:tcW w:w="1393" w:type="dxa"/>
            <w:tcBorders>
              <w:top w:val="nil"/>
              <w:left w:val="nil"/>
              <w:bottom w:val="nil"/>
              <w:right w:val="nil"/>
            </w:tcBorders>
            <w:shd w:val="clear" w:color="000000" w:fill="FFFFFF"/>
            <w:noWrap/>
            <w:vAlign w:val="center"/>
            <w:hideMark/>
          </w:tcPr>
          <w:p w14:paraId="40D5214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20 (100%)</w:t>
            </w:r>
          </w:p>
        </w:tc>
        <w:tc>
          <w:tcPr>
            <w:tcW w:w="1213" w:type="dxa"/>
            <w:tcBorders>
              <w:top w:val="nil"/>
              <w:left w:val="nil"/>
              <w:bottom w:val="nil"/>
              <w:right w:val="nil"/>
            </w:tcBorders>
            <w:shd w:val="clear" w:color="000000" w:fill="FFFFFF"/>
            <w:noWrap/>
            <w:vAlign w:val="center"/>
            <w:hideMark/>
          </w:tcPr>
          <w:p w14:paraId="4B6ACFC0"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100</w:t>
            </w:r>
          </w:p>
        </w:tc>
        <w:tc>
          <w:tcPr>
            <w:tcW w:w="990" w:type="dxa"/>
            <w:tcBorders>
              <w:top w:val="nil"/>
              <w:left w:val="nil"/>
              <w:bottom w:val="nil"/>
              <w:right w:val="nil"/>
            </w:tcBorders>
            <w:shd w:val="clear" w:color="000000" w:fill="FFFFFF"/>
            <w:noWrap/>
            <w:vAlign w:val="center"/>
            <w:hideMark/>
          </w:tcPr>
          <w:p w14:paraId="5BB0D79C"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35 (70%)</w:t>
            </w:r>
          </w:p>
        </w:tc>
        <w:tc>
          <w:tcPr>
            <w:tcW w:w="1080" w:type="dxa"/>
            <w:gridSpan w:val="2"/>
            <w:tcBorders>
              <w:top w:val="nil"/>
              <w:left w:val="nil"/>
              <w:bottom w:val="nil"/>
              <w:right w:val="nil"/>
            </w:tcBorders>
            <w:shd w:val="clear" w:color="000000" w:fill="FFFFFF"/>
            <w:noWrap/>
            <w:vAlign w:val="center"/>
            <w:hideMark/>
          </w:tcPr>
          <w:p w14:paraId="2A4C53DD"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45 (69.2%)</w:t>
            </w:r>
          </w:p>
        </w:tc>
        <w:tc>
          <w:tcPr>
            <w:tcW w:w="1368" w:type="dxa"/>
            <w:tcBorders>
              <w:top w:val="nil"/>
              <w:left w:val="nil"/>
              <w:bottom w:val="nil"/>
              <w:right w:val="nil"/>
            </w:tcBorders>
            <w:shd w:val="clear" w:color="000000" w:fill="FFFFFF"/>
            <w:noWrap/>
            <w:vAlign w:val="center"/>
            <w:hideMark/>
          </w:tcPr>
          <w:p w14:paraId="4D3A171B"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136 (100%)</w:t>
            </w:r>
          </w:p>
        </w:tc>
        <w:tc>
          <w:tcPr>
            <w:tcW w:w="1175" w:type="dxa"/>
            <w:tcBorders>
              <w:top w:val="nil"/>
              <w:left w:val="nil"/>
              <w:bottom w:val="nil"/>
              <w:right w:val="nil"/>
            </w:tcBorders>
            <w:noWrap/>
            <w:vAlign w:val="center"/>
            <w:hideMark/>
          </w:tcPr>
          <w:p w14:paraId="48954E22"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39 (90.7%)</w:t>
            </w:r>
          </w:p>
        </w:tc>
        <w:tc>
          <w:tcPr>
            <w:tcW w:w="1165" w:type="dxa"/>
            <w:tcBorders>
              <w:top w:val="nil"/>
              <w:left w:val="nil"/>
              <w:bottom w:val="nil"/>
              <w:right w:val="nil"/>
            </w:tcBorders>
            <w:shd w:val="clear" w:color="000000" w:fill="FFFFFF"/>
            <w:noWrap/>
            <w:vAlign w:val="center"/>
            <w:hideMark/>
          </w:tcPr>
          <w:p w14:paraId="22E35AB3"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96</w:t>
            </w:r>
          </w:p>
        </w:tc>
        <w:tc>
          <w:tcPr>
            <w:tcW w:w="1026" w:type="dxa"/>
            <w:tcBorders>
              <w:top w:val="nil"/>
              <w:left w:val="nil"/>
              <w:bottom w:val="nil"/>
              <w:right w:val="nil"/>
            </w:tcBorders>
            <w:shd w:val="clear" w:color="000000" w:fill="FFFFFF"/>
            <w:noWrap/>
            <w:vAlign w:val="center"/>
            <w:hideMark/>
          </w:tcPr>
          <w:p w14:paraId="071B5188"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42 (75%)</w:t>
            </w:r>
          </w:p>
        </w:tc>
      </w:tr>
      <w:tr w:rsidR="00C171AF" w14:paraId="24612254" w14:textId="77777777" w:rsidTr="003B0468">
        <w:trPr>
          <w:gridAfter w:val="1"/>
          <w:wAfter w:w="7" w:type="dxa"/>
          <w:trHeight w:val="288"/>
        </w:trPr>
        <w:tc>
          <w:tcPr>
            <w:tcW w:w="990" w:type="dxa"/>
            <w:vMerge/>
            <w:tcBorders>
              <w:top w:val="nil"/>
              <w:left w:val="nil"/>
              <w:bottom w:val="nil"/>
              <w:right w:val="nil"/>
            </w:tcBorders>
            <w:vAlign w:val="center"/>
            <w:hideMark/>
          </w:tcPr>
          <w:p w14:paraId="10084EA5"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p>
        </w:tc>
        <w:tc>
          <w:tcPr>
            <w:tcW w:w="1042" w:type="dxa"/>
            <w:tcBorders>
              <w:top w:val="single" w:sz="4" w:space="0" w:color="auto"/>
              <w:left w:val="nil"/>
              <w:bottom w:val="single" w:sz="4" w:space="0" w:color="auto"/>
              <w:right w:val="nil"/>
            </w:tcBorders>
            <w:shd w:val="clear" w:color="000000" w:fill="FFFFFF"/>
            <w:vAlign w:val="center"/>
            <w:hideMark/>
          </w:tcPr>
          <w:p w14:paraId="29BDC1D8"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Other</w:t>
            </w:r>
          </w:p>
        </w:tc>
        <w:tc>
          <w:tcPr>
            <w:tcW w:w="1118" w:type="dxa"/>
            <w:tcBorders>
              <w:top w:val="single" w:sz="4" w:space="0" w:color="auto"/>
              <w:left w:val="nil"/>
              <w:bottom w:val="single" w:sz="4" w:space="0" w:color="auto"/>
              <w:right w:val="nil"/>
            </w:tcBorders>
            <w:shd w:val="clear" w:color="000000" w:fill="FFFFFF"/>
            <w:vAlign w:val="center"/>
            <w:hideMark/>
          </w:tcPr>
          <w:p w14:paraId="6FC25442"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127" w:type="dxa"/>
            <w:tcBorders>
              <w:top w:val="single" w:sz="4" w:space="0" w:color="auto"/>
              <w:left w:val="nil"/>
              <w:bottom w:val="single" w:sz="4" w:space="0" w:color="auto"/>
              <w:right w:val="nil"/>
            </w:tcBorders>
            <w:shd w:val="clear" w:color="000000" w:fill="FFFFFF"/>
            <w:noWrap/>
            <w:vAlign w:val="center"/>
            <w:hideMark/>
          </w:tcPr>
          <w:p w14:paraId="0D274B2F"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 (2%)</w:t>
            </w:r>
          </w:p>
        </w:tc>
        <w:tc>
          <w:tcPr>
            <w:tcW w:w="1170" w:type="dxa"/>
            <w:tcBorders>
              <w:top w:val="single" w:sz="4" w:space="0" w:color="auto"/>
              <w:left w:val="nil"/>
              <w:bottom w:val="single" w:sz="4" w:space="0" w:color="auto"/>
              <w:right w:val="nil"/>
            </w:tcBorders>
            <w:shd w:val="clear" w:color="000000" w:fill="FFFFFF"/>
            <w:noWrap/>
            <w:vAlign w:val="center"/>
            <w:hideMark/>
          </w:tcPr>
          <w:p w14:paraId="377C106F"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393" w:type="dxa"/>
            <w:tcBorders>
              <w:top w:val="single" w:sz="4" w:space="0" w:color="auto"/>
              <w:left w:val="nil"/>
              <w:bottom w:val="single" w:sz="4" w:space="0" w:color="auto"/>
              <w:right w:val="nil"/>
            </w:tcBorders>
            <w:shd w:val="clear" w:color="000000" w:fill="FFFFFF"/>
            <w:noWrap/>
            <w:vAlign w:val="center"/>
            <w:hideMark/>
          </w:tcPr>
          <w:p w14:paraId="2D8F3B4E"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213" w:type="dxa"/>
            <w:tcBorders>
              <w:top w:val="single" w:sz="4" w:space="0" w:color="auto"/>
              <w:left w:val="nil"/>
              <w:bottom w:val="single" w:sz="4" w:space="0" w:color="auto"/>
              <w:right w:val="nil"/>
            </w:tcBorders>
            <w:shd w:val="clear" w:color="000000" w:fill="FFFFFF"/>
            <w:noWrap/>
            <w:vAlign w:val="center"/>
            <w:hideMark/>
          </w:tcPr>
          <w:p w14:paraId="6AE2F60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990" w:type="dxa"/>
            <w:tcBorders>
              <w:top w:val="single" w:sz="4" w:space="0" w:color="auto"/>
              <w:left w:val="nil"/>
              <w:bottom w:val="single" w:sz="4" w:space="0" w:color="auto"/>
              <w:right w:val="nil"/>
            </w:tcBorders>
            <w:shd w:val="clear" w:color="000000" w:fill="FFFFFF"/>
            <w:noWrap/>
            <w:vAlign w:val="center"/>
            <w:hideMark/>
          </w:tcPr>
          <w:p w14:paraId="20054A74"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15 (30%)</w:t>
            </w:r>
          </w:p>
        </w:tc>
        <w:tc>
          <w:tcPr>
            <w:tcW w:w="1080" w:type="dxa"/>
            <w:gridSpan w:val="2"/>
            <w:tcBorders>
              <w:top w:val="single" w:sz="4" w:space="0" w:color="auto"/>
              <w:left w:val="nil"/>
              <w:bottom w:val="single" w:sz="4" w:space="0" w:color="auto"/>
              <w:right w:val="nil"/>
            </w:tcBorders>
            <w:shd w:val="clear" w:color="000000" w:fill="FFFFFF"/>
            <w:vAlign w:val="center"/>
            <w:hideMark/>
          </w:tcPr>
          <w:p w14:paraId="06060ACD"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20 (30.8%)</w:t>
            </w:r>
          </w:p>
        </w:tc>
        <w:tc>
          <w:tcPr>
            <w:tcW w:w="1368" w:type="dxa"/>
            <w:tcBorders>
              <w:top w:val="single" w:sz="4" w:space="0" w:color="auto"/>
              <w:left w:val="nil"/>
              <w:bottom w:val="single" w:sz="4" w:space="0" w:color="auto"/>
              <w:right w:val="nil"/>
            </w:tcBorders>
            <w:shd w:val="clear" w:color="000000" w:fill="FFFFFF"/>
            <w:noWrap/>
            <w:vAlign w:val="center"/>
            <w:hideMark/>
          </w:tcPr>
          <w:p w14:paraId="30D918F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175" w:type="dxa"/>
            <w:tcBorders>
              <w:top w:val="single" w:sz="4" w:space="0" w:color="auto"/>
              <w:left w:val="nil"/>
              <w:bottom w:val="single" w:sz="4" w:space="0" w:color="auto"/>
              <w:right w:val="nil"/>
            </w:tcBorders>
            <w:vAlign w:val="center"/>
            <w:hideMark/>
          </w:tcPr>
          <w:p w14:paraId="139F81F1"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 (9.3%)</w:t>
            </w:r>
          </w:p>
        </w:tc>
        <w:tc>
          <w:tcPr>
            <w:tcW w:w="1165" w:type="dxa"/>
            <w:tcBorders>
              <w:top w:val="single" w:sz="4" w:space="0" w:color="auto"/>
              <w:left w:val="nil"/>
              <w:bottom w:val="single" w:sz="4" w:space="0" w:color="auto"/>
              <w:right w:val="nil"/>
            </w:tcBorders>
            <w:shd w:val="clear" w:color="000000" w:fill="FFFFFF"/>
            <w:noWrap/>
            <w:vAlign w:val="center"/>
            <w:hideMark/>
          </w:tcPr>
          <w:p w14:paraId="6948B598"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w:t>
            </w:r>
          </w:p>
        </w:tc>
        <w:tc>
          <w:tcPr>
            <w:tcW w:w="1026" w:type="dxa"/>
            <w:tcBorders>
              <w:top w:val="single" w:sz="4" w:space="0" w:color="auto"/>
              <w:left w:val="nil"/>
              <w:bottom w:val="single" w:sz="4" w:space="0" w:color="auto"/>
              <w:right w:val="nil"/>
            </w:tcBorders>
            <w:shd w:val="clear" w:color="000000" w:fill="FFFFFF"/>
            <w:noWrap/>
            <w:vAlign w:val="center"/>
            <w:hideMark/>
          </w:tcPr>
          <w:p w14:paraId="256B6728"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14 (25%)</w:t>
            </w:r>
          </w:p>
        </w:tc>
      </w:tr>
      <w:tr w:rsidR="00C171AF" w14:paraId="56ECCD0A" w14:textId="77777777" w:rsidTr="003B0468">
        <w:trPr>
          <w:gridAfter w:val="1"/>
          <w:wAfter w:w="7" w:type="dxa"/>
          <w:trHeight w:val="288"/>
        </w:trPr>
        <w:tc>
          <w:tcPr>
            <w:tcW w:w="990" w:type="dxa"/>
            <w:vMerge w:val="restart"/>
            <w:tcBorders>
              <w:top w:val="single" w:sz="4" w:space="0" w:color="auto"/>
              <w:left w:val="nil"/>
              <w:bottom w:val="single" w:sz="4" w:space="0" w:color="000000"/>
              <w:right w:val="nil"/>
            </w:tcBorders>
            <w:shd w:val="clear" w:color="000000" w:fill="FFFFFF"/>
            <w:vAlign w:val="center"/>
            <w:hideMark/>
          </w:tcPr>
          <w:p w14:paraId="3D6EBE37" w14:textId="77777777" w:rsidR="00C171AF" w:rsidRPr="002F2BEA" w:rsidRDefault="00C171AF" w:rsidP="003B0468">
            <w:pPr>
              <w:suppressAutoHyphens/>
              <w:spacing w:line="276" w:lineRule="auto"/>
              <w:jc w:val="left"/>
              <w:rPr>
                <w:rFonts w:asciiTheme="majorBidi" w:eastAsia="Times New Roman" w:hAnsiTheme="majorBidi" w:cstheme="majorBidi"/>
                <w:b/>
                <w:bCs/>
                <w:sz w:val="18"/>
                <w:szCs w:val="18"/>
                <w:lang w:eastAsia="en-US"/>
              </w:rPr>
            </w:pPr>
            <w:r w:rsidRPr="002F2BEA">
              <w:rPr>
                <w:rFonts w:asciiTheme="majorBidi" w:eastAsia="Times New Roman" w:hAnsiTheme="majorBidi" w:cstheme="majorBidi"/>
                <w:b/>
                <w:bCs/>
                <w:sz w:val="18"/>
                <w:szCs w:val="18"/>
                <w:lang w:eastAsia="en-US"/>
              </w:rPr>
              <w:t>Ethnicity</w:t>
            </w:r>
          </w:p>
        </w:tc>
        <w:tc>
          <w:tcPr>
            <w:tcW w:w="1042" w:type="dxa"/>
            <w:tcBorders>
              <w:top w:val="single" w:sz="4" w:space="0" w:color="auto"/>
              <w:left w:val="nil"/>
              <w:bottom w:val="single" w:sz="4" w:space="0" w:color="auto"/>
              <w:right w:val="nil"/>
            </w:tcBorders>
            <w:shd w:val="clear" w:color="000000" w:fill="FFFFFF"/>
            <w:vAlign w:val="center"/>
            <w:hideMark/>
          </w:tcPr>
          <w:p w14:paraId="5C842BAE"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Buddhist</w:t>
            </w:r>
          </w:p>
        </w:tc>
        <w:tc>
          <w:tcPr>
            <w:tcW w:w="1118" w:type="dxa"/>
            <w:tcBorders>
              <w:top w:val="nil"/>
              <w:left w:val="nil"/>
              <w:bottom w:val="single" w:sz="4" w:space="0" w:color="auto"/>
              <w:right w:val="nil"/>
            </w:tcBorders>
            <w:shd w:val="clear" w:color="000000" w:fill="FFFFFF"/>
            <w:noWrap/>
            <w:vAlign w:val="center"/>
            <w:hideMark/>
          </w:tcPr>
          <w:p w14:paraId="558C9B0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65 (100%)</w:t>
            </w:r>
          </w:p>
        </w:tc>
        <w:tc>
          <w:tcPr>
            <w:tcW w:w="1127" w:type="dxa"/>
            <w:tcBorders>
              <w:top w:val="nil"/>
              <w:left w:val="nil"/>
              <w:bottom w:val="single" w:sz="4" w:space="0" w:color="auto"/>
              <w:right w:val="nil"/>
            </w:tcBorders>
            <w:shd w:val="clear" w:color="000000" w:fill="FFFFFF"/>
            <w:noWrap/>
            <w:vAlign w:val="center"/>
            <w:hideMark/>
          </w:tcPr>
          <w:p w14:paraId="0E248688"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129 (98%)</w:t>
            </w:r>
          </w:p>
        </w:tc>
        <w:tc>
          <w:tcPr>
            <w:tcW w:w="1170" w:type="dxa"/>
            <w:tcBorders>
              <w:top w:val="nil"/>
              <w:left w:val="nil"/>
              <w:bottom w:val="single" w:sz="4" w:space="0" w:color="auto"/>
              <w:right w:val="nil"/>
            </w:tcBorders>
            <w:shd w:val="clear" w:color="000000" w:fill="FFFFFF"/>
            <w:noWrap/>
            <w:vAlign w:val="center"/>
            <w:hideMark/>
          </w:tcPr>
          <w:p w14:paraId="2A49D63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13 (100%)</w:t>
            </w:r>
          </w:p>
        </w:tc>
        <w:tc>
          <w:tcPr>
            <w:tcW w:w="1393" w:type="dxa"/>
            <w:tcBorders>
              <w:top w:val="nil"/>
              <w:left w:val="nil"/>
              <w:bottom w:val="single" w:sz="4" w:space="0" w:color="auto"/>
              <w:right w:val="nil"/>
            </w:tcBorders>
            <w:shd w:val="clear" w:color="000000" w:fill="FFFFFF"/>
            <w:noWrap/>
            <w:vAlign w:val="center"/>
            <w:hideMark/>
          </w:tcPr>
          <w:p w14:paraId="6DABC868"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20 (100%)</w:t>
            </w:r>
          </w:p>
        </w:tc>
        <w:tc>
          <w:tcPr>
            <w:tcW w:w="1213" w:type="dxa"/>
            <w:tcBorders>
              <w:top w:val="nil"/>
              <w:left w:val="nil"/>
              <w:bottom w:val="single" w:sz="4" w:space="0" w:color="auto"/>
              <w:right w:val="nil"/>
            </w:tcBorders>
            <w:shd w:val="clear" w:color="000000" w:fill="FFFFFF"/>
            <w:noWrap/>
            <w:vAlign w:val="center"/>
            <w:hideMark/>
          </w:tcPr>
          <w:p w14:paraId="7234221C"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100</w:t>
            </w:r>
          </w:p>
        </w:tc>
        <w:tc>
          <w:tcPr>
            <w:tcW w:w="990" w:type="dxa"/>
            <w:tcBorders>
              <w:top w:val="nil"/>
              <w:left w:val="nil"/>
              <w:bottom w:val="single" w:sz="4" w:space="0" w:color="auto"/>
              <w:right w:val="nil"/>
            </w:tcBorders>
            <w:shd w:val="clear" w:color="000000" w:fill="FFFFFF"/>
            <w:noWrap/>
            <w:vAlign w:val="center"/>
            <w:hideMark/>
          </w:tcPr>
          <w:p w14:paraId="550D6E6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27 (54%)</w:t>
            </w:r>
          </w:p>
        </w:tc>
        <w:tc>
          <w:tcPr>
            <w:tcW w:w="1080" w:type="dxa"/>
            <w:gridSpan w:val="2"/>
            <w:tcBorders>
              <w:top w:val="nil"/>
              <w:left w:val="nil"/>
              <w:bottom w:val="single" w:sz="4" w:space="0" w:color="auto"/>
              <w:right w:val="nil"/>
            </w:tcBorders>
            <w:shd w:val="clear" w:color="000000" w:fill="FFFFFF"/>
            <w:noWrap/>
            <w:vAlign w:val="center"/>
            <w:hideMark/>
          </w:tcPr>
          <w:p w14:paraId="7F51445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39 (60%)</w:t>
            </w:r>
          </w:p>
        </w:tc>
        <w:tc>
          <w:tcPr>
            <w:tcW w:w="1368" w:type="dxa"/>
            <w:tcBorders>
              <w:top w:val="nil"/>
              <w:left w:val="nil"/>
              <w:bottom w:val="single" w:sz="4" w:space="0" w:color="auto"/>
              <w:right w:val="nil"/>
            </w:tcBorders>
            <w:shd w:val="clear" w:color="000000" w:fill="FFFFFF"/>
            <w:noWrap/>
            <w:vAlign w:val="center"/>
            <w:hideMark/>
          </w:tcPr>
          <w:p w14:paraId="6BB80FD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136 (100%)</w:t>
            </w:r>
          </w:p>
        </w:tc>
        <w:tc>
          <w:tcPr>
            <w:tcW w:w="1175" w:type="dxa"/>
            <w:tcBorders>
              <w:top w:val="nil"/>
              <w:left w:val="nil"/>
              <w:bottom w:val="single" w:sz="4" w:space="0" w:color="auto"/>
              <w:right w:val="nil"/>
            </w:tcBorders>
            <w:noWrap/>
            <w:vAlign w:val="center"/>
            <w:hideMark/>
          </w:tcPr>
          <w:p w14:paraId="0F45126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31 (72.1%)</w:t>
            </w:r>
          </w:p>
        </w:tc>
        <w:tc>
          <w:tcPr>
            <w:tcW w:w="1165" w:type="dxa"/>
            <w:tcBorders>
              <w:top w:val="nil"/>
              <w:left w:val="nil"/>
              <w:bottom w:val="single" w:sz="4" w:space="0" w:color="auto"/>
              <w:right w:val="nil"/>
            </w:tcBorders>
            <w:shd w:val="clear" w:color="000000" w:fill="FFFFFF"/>
            <w:noWrap/>
            <w:vAlign w:val="center"/>
            <w:hideMark/>
          </w:tcPr>
          <w:p w14:paraId="67E0157E"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96</w:t>
            </w:r>
          </w:p>
        </w:tc>
        <w:tc>
          <w:tcPr>
            <w:tcW w:w="1026" w:type="dxa"/>
            <w:tcBorders>
              <w:top w:val="nil"/>
              <w:left w:val="nil"/>
              <w:bottom w:val="single" w:sz="4" w:space="0" w:color="auto"/>
              <w:right w:val="nil"/>
            </w:tcBorders>
            <w:shd w:val="clear" w:color="000000" w:fill="FFFFFF"/>
            <w:noWrap/>
            <w:vAlign w:val="center"/>
            <w:hideMark/>
          </w:tcPr>
          <w:p w14:paraId="1AA56A54"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37 (66.1%)</w:t>
            </w:r>
          </w:p>
        </w:tc>
      </w:tr>
      <w:tr w:rsidR="00C171AF" w14:paraId="44245ECD" w14:textId="77777777" w:rsidTr="003B0468">
        <w:trPr>
          <w:gridAfter w:val="1"/>
          <w:wAfter w:w="7" w:type="dxa"/>
          <w:trHeight w:val="288"/>
        </w:trPr>
        <w:tc>
          <w:tcPr>
            <w:tcW w:w="990" w:type="dxa"/>
            <w:vMerge/>
            <w:tcBorders>
              <w:top w:val="single" w:sz="4" w:space="0" w:color="auto"/>
              <w:left w:val="nil"/>
              <w:bottom w:val="single" w:sz="4" w:space="0" w:color="000000"/>
              <w:right w:val="nil"/>
            </w:tcBorders>
            <w:vAlign w:val="center"/>
            <w:hideMark/>
          </w:tcPr>
          <w:p w14:paraId="5582DF22"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p>
        </w:tc>
        <w:tc>
          <w:tcPr>
            <w:tcW w:w="1042" w:type="dxa"/>
            <w:tcBorders>
              <w:top w:val="single" w:sz="4" w:space="0" w:color="auto"/>
              <w:left w:val="nil"/>
              <w:bottom w:val="single" w:sz="4" w:space="0" w:color="auto"/>
              <w:right w:val="nil"/>
            </w:tcBorders>
            <w:shd w:val="clear" w:color="000000" w:fill="FFFFFF"/>
            <w:vAlign w:val="center"/>
            <w:hideMark/>
          </w:tcPr>
          <w:p w14:paraId="18B707C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Other</w:t>
            </w:r>
          </w:p>
        </w:tc>
        <w:tc>
          <w:tcPr>
            <w:tcW w:w="1118" w:type="dxa"/>
            <w:tcBorders>
              <w:top w:val="nil"/>
              <w:left w:val="nil"/>
              <w:bottom w:val="single" w:sz="4" w:space="0" w:color="auto"/>
              <w:right w:val="nil"/>
            </w:tcBorders>
            <w:shd w:val="clear" w:color="000000" w:fill="FFFFFF"/>
            <w:vAlign w:val="center"/>
            <w:hideMark/>
          </w:tcPr>
          <w:p w14:paraId="40B20A6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127" w:type="dxa"/>
            <w:tcBorders>
              <w:top w:val="nil"/>
              <w:left w:val="nil"/>
              <w:bottom w:val="single" w:sz="4" w:space="0" w:color="auto"/>
              <w:right w:val="nil"/>
            </w:tcBorders>
            <w:shd w:val="clear" w:color="000000" w:fill="FFFFFF"/>
            <w:noWrap/>
            <w:vAlign w:val="center"/>
            <w:hideMark/>
          </w:tcPr>
          <w:p w14:paraId="0945D23C"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3 (2%)</w:t>
            </w:r>
          </w:p>
        </w:tc>
        <w:tc>
          <w:tcPr>
            <w:tcW w:w="1170" w:type="dxa"/>
            <w:tcBorders>
              <w:top w:val="nil"/>
              <w:left w:val="nil"/>
              <w:bottom w:val="single" w:sz="4" w:space="0" w:color="auto"/>
              <w:right w:val="nil"/>
            </w:tcBorders>
            <w:shd w:val="clear" w:color="000000" w:fill="FFFFFF"/>
            <w:noWrap/>
            <w:vAlign w:val="center"/>
            <w:hideMark/>
          </w:tcPr>
          <w:p w14:paraId="569EFFD8"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393" w:type="dxa"/>
            <w:tcBorders>
              <w:top w:val="nil"/>
              <w:left w:val="nil"/>
              <w:bottom w:val="single" w:sz="4" w:space="0" w:color="auto"/>
              <w:right w:val="nil"/>
            </w:tcBorders>
            <w:shd w:val="clear" w:color="000000" w:fill="FFFFFF"/>
            <w:noWrap/>
            <w:vAlign w:val="center"/>
            <w:hideMark/>
          </w:tcPr>
          <w:p w14:paraId="2CC9D637"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213" w:type="dxa"/>
            <w:tcBorders>
              <w:top w:val="nil"/>
              <w:left w:val="nil"/>
              <w:bottom w:val="single" w:sz="4" w:space="0" w:color="auto"/>
              <w:right w:val="nil"/>
            </w:tcBorders>
            <w:shd w:val="clear" w:color="000000" w:fill="FFFFFF"/>
            <w:noWrap/>
            <w:vAlign w:val="center"/>
            <w:hideMark/>
          </w:tcPr>
          <w:p w14:paraId="562BC02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990" w:type="dxa"/>
            <w:tcBorders>
              <w:top w:val="nil"/>
              <w:left w:val="nil"/>
              <w:bottom w:val="single" w:sz="4" w:space="0" w:color="auto"/>
              <w:right w:val="nil"/>
            </w:tcBorders>
            <w:shd w:val="clear" w:color="000000" w:fill="FFFFFF"/>
            <w:noWrap/>
            <w:vAlign w:val="center"/>
            <w:hideMark/>
          </w:tcPr>
          <w:p w14:paraId="6777F056"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23 (46%)</w:t>
            </w:r>
          </w:p>
        </w:tc>
        <w:tc>
          <w:tcPr>
            <w:tcW w:w="1080" w:type="dxa"/>
            <w:gridSpan w:val="2"/>
            <w:tcBorders>
              <w:top w:val="nil"/>
              <w:left w:val="nil"/>
              <w:bottom w:val="single" w:sz="4" w:space="0" w:color="auto"/>
              <w:right w:val="nil"/>
            </w:tcBorders>
            <w:shd w:val="clear" w:color="000000" w:fill="FFFFFF"/>
            <w:vAlign w:val="center"/>
            <w:hideMark/>
          </w:tcPr>
          <w:p w14:paraId="7F4BEE5A"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26 (40%)</w:t>
            </w:r>
          </w:p>
        </w:tc>
        <w:tc>
          <w:tcPr>
            <w:tcW w:w="1368" w:type="dxa"/>
            <w:tcBorders>
              <w:top w:val="nil"/>
              <w:left w:val="nil"/>
              <w:bottom w:val="single" w:sz="4" w:space="0" w:color="auto"/>
              <w:right w:val="nil"/>
            </w:tcBorders>
            <w:shd w:val="clear" w:color="000000" w:fill="FFFFFF"/>
            <w:noWrap/>
            <w:vAlign w:val="center"/>
            <w:hideMark/>
          </w:tcPr>
          <w:p w14:paraId="1F03EE1B"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w:t>
            </w:r>
          </w:p>
        </w:tc>
        <w:tc>
          <w:tcPr>
            <w:tcW w:w="1175" w:type="dxa"/>
            <w:tcBorders>
              <w:top w:val="nil"/>
              <w:left w:val="nil"/>
              <w:bottom w:val="single" w:sz="4" w:space="0" w:color="auto"/>
              <w:right w:val="nil"/>
            </w:tcBorders>
            <w:noWrap/>
            <w:vAlign w:val="center"/>
            <w:hideMark/>
          </w:tcPr>
          <w:p w14:paraId="74D23B93"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12 (27.9%)</w:t>
            </w:r>
          </w:p>
        </w:tc>
        <w:tc>
          <w:tcPr>
            <w:tcW w:w="1165" w:type="dxa"/>
            <w:tcBorders>
              <w:top w:val="nil"/>
              <w:left w:val="nil"/>
              <w:bottom w:val="single" w:sz="4" w:space="0" w:color="auto"/>
              <w:right w:val="nil"/>
            </w:tcBorders>
            <w:shd w:val="clear" w:color="000000" w:fill="FFFFFF"/>
            <w:noWrap/>
            <w:vAlign w:val="center"/>
            <w:hideMark/>
          </w:tcPr>
          <w:p w14:paraId="40447854"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4</w:t>
            </w:r>
          </w:p>
        </w:tc>
        <w:tc>
          <w:tcPr>
            <w:tcW w:w="1026" w:type="dxa"/>
            <w:tcBorders>
              <w:top w:val="nil"/>
              <w:left w:val="nil"/>
              <w:bottom w:val="single" w:sz="4" w:space="0" w:color="auto"/>
              <w:right w:val="nil"/>
            </w:tcBorders>
            <w:shd w:val="clear" w:color="000000" w:fill="FFFFFF"/>
            <w:noWrap/>
            <w:vAlign w:val="center"/>
            <w:hideMark/>
          </w:tcPr>
          <w:p w14:paraId="1DC90729" w14:textId="77777777" w:rsidR="00C171AF" w:rsidRPr="002F2BEA" w:rsidRDefault="00C171AF" w:rsidP="003B0468">
            <w:pPr>
              <w:suppressAutoHyphens/>
              <w:spacing w:line="276" w:lineRule="auto"/>
              <w:jc w:val="left"/>
              <w:rPr>
                <w:rFonts w:asciiTheme="majorBidi" w:eastAsia="Times New Roman" w:hAnsiTheme="majorBidi" w:cstheme="majorBidi"/>
                <w:sz w:val="18"/>
                <w:szCs w:val="18"/>
                <w:lang w:eastAsia="en-US"/>
              </w:rPr>
            </w:pPr>
            <w:r w:rsidRPr="002F2BEA">
              <w:rPr>
                <w:rFonts w:asciiTheme="majorBidi" w:eastAsia="Times New Roman" w:hAnsiTheme="majorBidi" w:cstheme="majorBidi"/>
                <w:sz w:val="18"/>
                <w:szCs w:val="18"/>
                <w:lang w:eastAsia="en-US"/>
              </w:rPr>
              <w:t>19 (33.9%)</w:t>
            </w:r>
          </w:p>
        </w:tc>
      </w:tr>
    </w:tbl>
    <w:p w14:paraId="4255AD13" w14:textId="77777777" w:rsidR="00C171AF" w:rsidRPr="002F2BEA" w:rsidRDefault="00C171AF" w:rsidP="00C171AF">
      <w:pPr>
        <w:pStyle w:val="MDPI31text"/>
        <w:suppressAutoHyphens/>
        <w:spacing w:line="280" w:lineRule="exact"/>
        <w:ind w:left="0" w:firstLine="0"/>
        <w:jc w:val="left"/>
        <w:rPr>
          <w:rFonts w:asciiTheme="majorBidi" w:hAnsiTheme="majorBidi" w:cstheme="majorBidi"/>
          <w:szCs w:val="20"/>
        </w:rPr>
      </w:pPr>
    </w:p>
    <w:p w14:paraId="6BDD7A22" w14:textId="77777777" w:rsidR="00C171AF" w:rsidRPr="002F2BEA" w:rsidRDefault="00C171AF" w:rsidP="00C171AF">
      <w:pPr>
        <w:pStyle w:val="Caption"/>
        <w:suppressAutoHyphens/>
        <w:rPr>
          <w:rFonts w:asciiTheme="majorBidi" w:hAnsiTheme="majorBidi" w:cstheme="majorBidi"/>
          <w:b/>
          <w:bCs/>
          <w:i w:val="0"/>
          <w:iCs w:val="0"/>
          <w:sz w:val="20"/>
          <w:szCs w:val="20"/>
        </w:rPr>
      </w:pPr>
      <w:bookmarkStart w:id="14" w:name="_Hlk199776134"/>
      <w:r w:rsidRPr="002F2BEA">
        <w:rPr>
          <w:rFonts w:asciiTheme="majorBidi" w:hAnsiTheme="majorBidi" w:cstheme="majorBidi"/>
          <w:b/>
          <w:bCs/>
          <w:i w:val="0"/>
          <w:iCs w:val="0"/>
          <w:sz w:val="20"/>
          <w:szCs w:val="20"/>
        </w:rPr>
        <w:t xml:space="preserve">Table </w:t>
      </w:r>
      <w:r w:rsidRPr="002F2BEA">
        <w:rPr>
          <w:rFonts w:asciiTheme="majorBidi" w:hAnsiTheme="majorBidi" w:cstheme="majorBidi"/>
          <w:b/>
          <w:bCs/>
          <w:i w:val="0"/>
          <w:iCs w:val="0"/>
          <w:sz w:val="20"/>
          <w:szCs w:val="20"/>
        </w:rPr>
        <w:fldChar w:fldCharType="begin"/>
      </w:r>
      <w:r w:rsidRPr="002F2BEA">
        <w:rPr>
          <w:rFonts w:asciiTheme="majorBidi" w:hAnsiTheme="majorBidi" w:cstheme="majorBidi"/>
          <w:b/>
          <w:bCs/>
          <w:i w:val="0"/>
          <w:iCs w:val="0"/>
          <w:sz w:val="20"/>
          <w:szCs w:val="20"/>
        </w:rPr>
        <w:instrText xml:space="preserve"> SEQ Table \* ARABIC </w:instrText>
      </w:r>
      <w:r w:rsidRPr="002F2BEA">
        <w:rPr>
          <w:rFonts w:asciiTheme="majorBidi" w:hAnsiTheme="majorBidi" w:cstheme="majorBidi"/>
          <w:b/>
          <w:bCs/>
          <w:i w:val="0"/>
          <w:iCs w:val="0"/>
          <w:sz w:val="20"/>
          <w:szCs w:val="20"/>
        </w:rPr>
        <w:fldChar w:fldCharType="separate"/>
      </w:r>
      <w:r w:rsidRPr="002F2BEA">
        <w:rPr>
          <w:rFonts w:asciiTheme="majorBidi" w:hAnsiTheme="majorBidi" w:cstheme="majorBidi"/>
          <w:b/>
          <w:bCs/>
          <w:i w:val="0"/>
          <w:iCs w:val="0"/>
          <w:noProof/>
          <w:sz w:val="20"/>
          <w:szCs w:val="20"/>
        </w:rPr>
        <w:t>11</w:t>
      </w:r>
      <w:r w:rsidRPr="002F2BEA">
        <w:rPr>
          <w:rFonts w:asciiTheme="majorBidi" w:hAnsiTheme="majorBidi" w:cstheme="majorBidi"/>
          <w:b/>
          <w:bCs/>
          <w:i w:val="0"/>
          <w:iCs w:val="0"/>
          <w:noProof/>
          <w:sz w:val="20"/>
          <w:szCs w:val="20"/>
        </w:rPr>
        <w:fldChar w:fldCharType="end"/>
      </w:r>
      <w:r w:rsidRPr="002F2BEA">
        <w:rPr>
          <w:rFonts w:asciiTheme="majorBidi" w:hAnsiTheme="majorBidi" w:cstheme="majorBidi"/>
          <w:b/>
          <w:bCs/>
          <w:i w:val="0"/>
          <w:iCs w:val="0"/>
          <w:sz w:val="20"/>
          <w:szCs w:val="20"/>
        </w:rPr>
        <w:t xml:space="preserve">: AEs resulting from SACT: A comparative analysis among HCWs </w:t>
      </w:r>
    </w:p>
    <w:bookmarkEnd w:id="14"/>
    <w:tbl>
      <w:tblPr>
        <w:tblW w:w="15424" w:type="dxa"/>
        <w:tblInd w:w="-270" w:type="dxa"/>
        <w:tblLook w:val="04A0" w:firstRow="1" w:lastRow="0" w:firstColumn="1" w:lastColumn="0" w:noHBand="0" w:noVBand="1"/>
      </w:tblPr>
      <w:tblGrid>
        <w:gridCol w:w="882"/>
        <w:gridCol w:w="619"/>
        <w:gridCol w:w="1166"/>
        <w:gridCol w:w="1190"/>
        <w:gridCol w:w="1154"/>
        <w:gridCol w:w="1271"/>
        <w:gridCol w:w="1260"/>
        <w:gridCol w:w="1260"/>
        <w:gridCol w:w="1166"/>
        <w:gridCol w:w="1354"/>
        <w:gridCol w:w="1486"/>
        <w:gridCol w:w="1266"/>
        <w:gridCol w:w="1350"/>
      </w:tblGrid>
      <w:tr w:rsidR="00C171AF" w14:paraId="3F3ECBF8" w14:textId="77777777" w:rsidTr="003B0468">
        <w:trPr>
          <w:trHeight w:val="53"/>
        </w:trPr>
        <w:tc>
          <w:tcPr>
            <w:tcW w:w="1501" w:type="dxa"/>
            <w:gridSpan w:val="2"/>
            <w:vMerge w:val="restart"/>
            <w:tcBorders>
              <w:top w:val="single" w:sz="4" w:space="0" w:color="auto"/>
              <w:left w:val="nil"/>
              <w:bottom w:val="single" w:sz="4" w:space="0" w:color="000000"/>
              <w:right w:val="nil"/>
            </w:tcBorders>
            <w:vAlign w:val="center"/>
            <w:hideMark/>
          </w:tcPr>
          <w:p w14:paraId="2AA3481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2356" w:type="dxa"/>
            <w:gridSpan w:val="2"/>
            <w:tcBorders>
              <w:top w:val="single" w:sz="4" w:space="0" w:color="auto"/>
              <w:left w:val="nil"/>
              <w:bottom w:val="single" w:sz="4" w:space="0" w:color="auto"/>
              <w:right w:val="nil"/>
            </w:tcBorders>
            <w:vAlign w:val="center"/>
            <w:hideMark/>
          </w:tcPr>
          <w:p w14:paraId="551156D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Doctors</w:t>
            </w:r>
          </w:p>
        </w:tc>
        <w:tc>
          <w:tcPr>
            <w:tcW w:w="2425" w:type="dxa"/>
            <w:gridSpan w:val="2"/>
            <w:tcBorders>
              <w:top w:val="single" w:sz="4" w:space="0" w:color="auto"/>
              <w:left w:val="nil"/>
              <w:bottom w:val="single" w:sz="4" w:space="0" w:color="auto"/>
              <w:right w:val="nil"/>
            </w:tcBorders>
            <w:vAlign w:val="center"/>
            <w:hideMark/>
          </w:tcPr>
          <w:p w14:paraId="153CA68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Nurses</w:t>
            </w:r>
          </w:p>
        </w:tc>
        <w:tc>
          <w:tcPr>
            <w:tcW w:w="3686" w:type="dxa"/>
            <w:gridSpan w:val="3"/>
            <w:tcBorders>
              <w:top w:val="single" w:sz="4" w:space="0" w:color="auto"/>
              <w:left w:val="nil"/>
              <w:bottom w:val="single" w:sz="4" w:space="0" w:color="auto"/>
              <w:right w:val="nil"/>
            </w:tcBorders>
            <w:noWrap/>
            <w:vAlign w:val="center"/>
            <w:hideMark/>
          </w:tcPr>
          <w:p w14:paraId="52CD8CF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Pharmacists</w:t>
            </w:r>
          </w:p>
        </w:tc>
        <w:tc>
          <w:tcPr>
            <w:tcW w:w="2840" w:type="dxa"/>
            <w:gridSpan w:val="2"/>
            <w:tcBorders>
              <w:top w:val="single" w:sz="4" w:space="0" w:color="auto"/>
              <w:left w:val="nil"/>
              <w:bottom w:val="single" w:sz="4" w:space="0" w:color="auto"/>
              <w:right w:val="nil"/>
            </w:tcBorders>
            <w:noWrap/>
            <w:vAlign w:val="center"/>
            <w:hideMark/>
          </w:tcPr>
          <w:p w14:paraId="32A6C11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Attendants</w:t>
            </w:r>
          </w:p>
        </w:tc>
        <w:tc>
          <w:tcPr>
            <w:tcW w:w="2616" w:type="dxa"/>
            <w:gridSpan w:val="2"/>
            <w:tcBorders>
              <w:top w:val="single" w:sz="4" w:space="0" w:color="auto"/>
              <w:left w:val="nil"/>
              <w:bottom w:val="single" w:sz="4" w:space="0" w:color="auto"/>
              <w:right w:val="nil"/>
            </w:tcBorders>
            <w:noWrap/>
            <w:vAlign w:val="center"/>
            <w:hideMark/>
          </w:tcPr>
          <w:p w14:paraId="424A80D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Cleaning personals</w:t>
            </w:r>
          </w:p>
        </w:tc>
      </w:tr>
      <w:tr w:rsidR="00C171AF" w14:paraId="49882563" w14:textId="77777777" w:rsidTr="003B0468">
        <w:trPr>
          <w:trHeight w:val="341"/>
        </w:trPr>
        <w:tc>
          <w:tcPr>
            <w:tcW w:w="1501" w:type="dxa"/>
            <w:gridSpan w:val="2"/>
            <w:vMerge/>
            <w:tcBorders>
              <w:top w:val="single" w:sz="4" w:space="0" w:color="auto"/>
              <w:left w:val="nil"/>
              <w:bottom w:val="single" w:sz="4" w:space="0" w:color="000000"/>
              <w:right w:val="nil"/>
            </w:tcBorders>
            <w:vAlign w:val="center"/>
            <w:hideMark/>
          </w:tcPr>
          <w:p w14:paraId="6723C49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1166" w:type="dxa"/>
            <w:tcBorders>
              <w:top w:val="single" w:sz="4" w:space="0" w:color="auto"/>
              <w:left w:val="nil"/>
              <w:bottom w:val="single" w:sz="4" w:space="0" w:color="auto"/>
              <w:right w:val="nil"/>
            </w:tcBorders>
            <w:vAlign w:val="center"/>
            <w:hideMark/>
          </w:tcPr>
          <w:p w14:paraId="623959A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Exposure group</w:t>
            </w:r>
          </w:p>
        </w:tc>
        <w:tc>
          <w:tcPr>
            <w:tcW w:w="1190" w:type="dxa"/>
            <w:tcBorders>
              <w:top w:val="single" w:sz="4" w:space="0" w:color="auto"/>
              <w:left w:val="nil"/>
              <w:bottom w:val="single" w:sz="4" w:space="0" w:color="auto"/>
              <w:right w:val="nil"/>
            </w:tcBorders>
            <w:vAlign w:val="center"/>
            <w:hideMark/>
          </w:tcPr>
          <w:p w14:paraId="4D31271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Non-exposure group</w:t>
            </w:r>
          </w:p>
        </w:tc>
        <w:tc>
          <w:tcPr>
            <w:tcW w:w="1154" w:type="dxa"/>
            <w:tcBorders>
              <w:top w:val="single" w:sz="4" w:space="0" w:color="auto"/>
              <w:left w:val="nil"/>
              <w:bottom w:val="single" w:sz="4" w:space="0" w:color="auto"/>
              <w:right w:val="nil"/>
            </w:tcBorders>
            <w:vAlign w:val="center"/>
            <w:hideMark/>
          </w:tcPr>
          <w:p w14:paraId="71B6A6B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Exposure group</w:t>
            </w:r>
          </w:p>
        </w:tc>
        <w:tc>
          <w:tcPr>
            <w:tcW w:w="1271" w:type="dxa"/>
            <w:tcBorders>
              <w:top w:val="single" w:sz="4" w:space="0" w:color="auto"/>
              <w:left w:val="nil"/>
              <w:bottom w:val="single" w:sz="4" w:space="0" w:color="auto"/>
              <w:right w:val="nil"/>
            </w:tcBorders>
            <w:vAlign w:val="center"/>
            <w:hideMark/>
          </w:tcPr>
          <w:p w14:paraId="07271EF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Non-exposure group</w:t>
            </w:r>
          </w:p>
        </w:tc>
        <w:tc>
          <w:tcPr>
            <w:tcW w:w="1260" w:type="dxa"/>
            <w:tcBorders>
              <w:top w:val="single" w:sz="4" w:space="0" w:color="auto"/>
              <w:left w:val="nil"/>
              <w:bottom w:val="single" w:sz="4" w:space="0" w:color="auto"/>
              <w:right w:val="nil"/>
            </w:tcBorders>
            <w:vAlign w:val="center"/>
            <w:hideMark/>
          </w:tcPr>
          <w:p w14:paraId="02DAB04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Exposure group</w:t>
            </w:r>
          </w:p>
        </w:tc>
        <w:tc>
          <w:tcPr>
            <w:tcW w:w="1260" w:type="dxa"/>
            <w:tcBorders>
              <w:top w:val="single" w:sz="4" w:space="0" w:color="auto"/>
              <w:left w:val="nil"/>
              <w:bottom w:val="single" w:sz="4" w:space="0" w:color="auto"/>
              <w:right w:val="nil"/>
            </w:tcBorders>
            <w:vAlign w:val="center"/>
            <w:hideMark/>
          </w:tcPr>
          <w:p w14:paraId="1AA9A4D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Non-exposure group 1</w:t>
            </w:r>
          </w:p>
        </w:tc>
        <w:tc>
          <w:tcPr>
            <w:tcW w:w="1166" w:type="dxa"/>
            <w:tcBorders>
              <w:top w:val="single" w:sz="4" w:space="0" w:color="auto"/>
              <w:left w:val="nil"/>
              <w:bottom w:val="single" w:sz="4" w:space="0" w:color="auto"/>
              <w:right w:val="nil"/>
            </w:tcBorders>
            <w:vAlign w:val="center"/>
            <w:hideMark/>
          </w:tcPr>
          <w:p w14:paraId="7926323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Non-exposure group 2</w:t>
            </w:r>
          </w:p>
        </w:tc>
        <w:tc>
          <w:tcPr>
            <w:tcW w:w="1354" w:type="dxa"/>
            <w:tcBorders>
              <w:top w:val="single" w:sz="4" w:space="0" w:color="auto"/>
              <w:left w:val="nil"/>
              <w:bottom w:val="single" w:sz="4" w:space="0" w:color="auto"/>
              <w:right w:val="nil"/>
            </w:tcBorders>
            <w:vAlign w:val="center"/>
            <w:hideMark/>
          </w:tcPr>
          <w:p w14:paraId="49612B7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Exposure group</w:t>
            </w:r>
          </w:p>
        </w:tc>
        <w:tc>
          <w:tcPr>
            <w:tcW w:w="1486" w:type="dxa"/>
            <w:tcBorders>
              <w:top w:val="single" w:sz="4" w:space="0" w:color="auto"/>
              <w:left w:val="nil"/>
              <w:bottom w:val="single" w:sz="4" w:space="0" w:color="auto"/>
              <w:right w:val="nil"/>
            </w:tcBorders>
            <w:vAlign w:val="center"/>
            <w:hideMark/>
          </w:tcPr>
          <w:p w14:paraId="2FCE4D9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Non-exposure group</w:t>
            </w:r>
          </w:p>
        </w:tc>
        <w:tc>
          <w:tcPr>
            <w:tcW w:w="1266" w:type="dxa"/>
            <w:tcBorders>
              <w:top w:val="single" w:sz="4" w:space="0" w:color="auto"/>
              <w:left w:val="nil"/>
              <w:bottom w:val="single" w:sz="4" w:space="0" w:color="auto"/>
              <w:right w:val="nil"/>
            </w:tcBorders>
            <w:vAlign w:val="center"/>
            <w:hideMark/>
          </w:tcPr>
          <w:p w14:paraId="1882E13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Exposure group</w:t>
            </w:r>
          </w:p>
        </w:tc>
        <w:tc>
          <w:tcPr>
            <w:tcW w:w="1350" w:type="dxa"/>
            <w:tcBorders>
              <w:top w:val="single" w:sz="4" w:space="0" w:color="auto"/>
              <w:left w:val="nil"/>
              <w:bottom w:val="single" w:sz="4" w:space="0" w:color="auto"/>
              <w:right w:val="nil"/>
            </w:tcBorders>
            <w:vAlign w:val="center"/>
            <w:hideMark/>
          </w:tcPr>
          <w:p w14:paraId="7006A22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Non-exposure group</w:t>
            </w:r>
          </w:p>
        </w:tc>
      </w:tr>
      <w:tr w:rsidR="00C171AF" w14:paraId="68CC4F6E" w14:textId="77777777" w:rsidTr="003B0468">
        <w:trPr>
          <w:trHeight w:val="50"/>
        </w:trPr>
        <w:tc>
          <w:tcPr>
            <w:tcW w:w="882" w:type="dxa"/>
            <w:vMerge w:val="restart"/>
            <w:tcBorders>
              <w:top w:val="nil"/>
              <w:left w:val="nil"/>
              <w:bottom w:val="nil"/>
              <w:right w:val="nil"/>
            </w:tcBorders>
            <w:vAlign w:val="center"/>
            <w:hideMark/>
          </w:tcPr>
          <w:p w14:paraId="070F11D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Headache</w:t>
            </w:r>
          </w:p>
        </w:tc>
        <w:tc>
          <w:tcPr>
            <w:tcW w:w="619" w:type="dxa"/>
            <w:tcBorders>
              <w:top w:val="nil"/>
              <w:left w:val="nil"/>
              <w:bottom w:val="single" w:sz="4" w:space="0" w:color="auto"/>
              <w:right w:val="nil"/>
            </w:tcBorders>
            <w:vAlign w:val="center"/>
            <w:hideMark/>
          </w:tcPr>
          <w:p w14:paraId="682B6A5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 (%)</w:t>
            </w:r>
          </w:p>
        </w:tc>
        <w:tc>
          <w:tcPr>
            <w:tcW w:w="1166" w:type="dxa"/>
            <w:tcBorders>
              <w:top w:val="nil"/>
              <w:left w:val="nil"/>
              <w:bottom w:val="single" w:sz="4" w:space="0" w:color="auto"/>
              <w:right w:val="nil"/>
            </w:tcBorders>
            <w:noWrap/>
            <w:vAlign w:val="center"/>
            <w:hideMark/>
          </w:tcPr>
          <w:p w14:paraId="649CAA7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 (23.1%)</w:t>
            </w:r>
          </w:p>
        </w:tc>
        <w:tc>
          <w:tcPr>
            <w:tcW w:w="1190" w:type="dxa"/>
            <w:tcBorders>
              <w:top w:val="nil"/>
              <w:left w:val="nil"/>
              <w:bottom w:val="single" w:sz="4" w:space="0" w:color="auto"/>
              <w:right w:val="nil"/>
            </w:tcBorders>
            <w:noWrap/>
            <w:vAlign w:val="center"/>
            <w:hideMark/>
          </w:tcPr>
          <w:p w14:paraId="6945271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55 (84.6%)</w:t>
            </w:r>
          </w:p>
        </w:tc>
        <w:tc>
          <w:tcPr>
            <w:tcW w:w="1154" w:type="dxa"/>
            <w:tcBorders>
              <w:top w:val="nil"/>
              <w:left w:val="nil"/>
              <w:bottom w:val="single" w:sz="4" w:space="0" w:color="auto"/>
              <w:right w:val="nil"/>
            </w:tcBorders>
            <w:noWrap/>
            <w:vAlign w:val="center"/>
            <w:hideMark/>
          </w:tcPr>
          <w:p w14:paraId="1CF8B71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124 (</w:t>
            </w:r>
            <w:bookmarkStart w:id="15" w:name="_Hlk182110402"/>
            <w:r w:rsidRPr="002F2BEA">
              <w:rPr>
                <w:rFonts w:asciiTheme="majorBidi" w:eastAsia="Times New Roman" w:hAnsiTheme="majorBidi" w:cstheme="majorBidi"/>
                <w:b/>
                <w:bCs/>
                <w:sz w:val="14"/>
                <w:szCs w:val="14"/>
                <w:lang w:eastAsia="en-US"/>
              </w:rPr>
              <w:t>93.9%</w:t>
            </w:r>
            <w:r w:rsidRPr="002F2BEA">
              <w:rPr>
                <w:rFonts w:asciiTheme="majorBidi" w:eastAsia="Times New Roman" w:hAnsiTheme="majorBidi" w:cstheme="majorBidi"/>
                <w:sz w:val="14"/>
                <w:szCs w:val="14"/>
                <w:lang w:eastAsia="en-US"/>
              </w:rPr>
              <w:t>)</w:t>
            </w:r>
            <w:bookmarkEnd w:id="15"/>
          </w:p>
        </w:tc>
        <w:tc>
          <w:tcPr>
            <w:tcW w:w="1271" w:type="dxa"/>
            <w:tcBorders>
              <w:top w:val="nil"/>
              <w:left w:val="nil"/>
              <w:bottom w:val="single" w:sz="4" w:space="0" w:color="auto"/>
              <w:right w:val="nil"/>
            </w:tcBorders>
            <w:noWrap/>
            <w:vAlign w:val="center"/>
            <w:hideMark/>
          </w:tcPr>
          <w:p w14:paraId="0C94566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104 (76.5%)</w:t>
            </w:r>
          </w:p>
        </w:tc>
        <w:tc>
          <w:tcPr>
            <w:tcW w:w="1260" w:type="dxa"/>
            <w:tcBorders>
              <w:top w:val="nil"/>
              <w:left w:val="nil"/>
              <w:bottom w:val="single" w:sz="4" w:space="0" w:color="auto"/>
              <w:right w:val="nil"/>
            </w:tcBorders>
            <w:noWrap/>
            <w:vAlign w:val="center"/>
            <w:hideMark/>
          </w:tcPr>
          <w:p w14:paraId="31C47D7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5, (38.46%)</w:t>
            </w:r>
          </w:p>
        </w:tc>
        <w:tc>
          <w:tcPr>
            <w:tcW w:w="1260" w:type="dxa"/>
            <w:tcBorders>
              <w:top w:val="nil"/>
              <w:left w:val="nil"/>
              <w:bottom w:val="single" w:sz="4" w:space="0" w:color="auto"/>
              <w:right w:val="nil"/>
            </w:tcBorders>
            <w:noWrap/>
            <w:vAlign w:val="center"/>
            <w:hideMark/>
          </w:tcPr>
          <w:p w14:paraId="5A0E57A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9, (45%)</w:t>
            </w:r>
          </w:p>
        </w:tc>
        <w:tc>
          <w:tcPr>
            <w:tcW w:w="1166" w:type="dxa"/>
            <w:tcBorders>
              <w:top w:val="nil"/>
              <w:left w:val="nil"/>
              <w:bottom w:val="single" w:sz="4" w:space="0" w:color="auto"/>
              <w:right w:val="nil"/>
            </w:tcBorders>
            <w:noWrap/>
            <w:vAlign w:val="center"/>
            <w:hideMark/>
          </w:tcPr>
          <w:p w14:paraId="7346AE6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39, (90.7%)</w:t>
            </w:r>
          </w:p>
        </w:tc>
        <w:tc>
          <w:tcPr>
            <w:tcW w:w="1354" w:type="dxa"/>
            <w:tcBorders>
              <w:top w:val="nil"/>
              <w:left w:val="nil"/>
              <w:bottom w:val="single" w:sz="4" w:space="0" w:color="auto"/>
              <w:right w:val="nil"/>
            </w:tcBorders>
            <w:noWrap/>
            <w:vAlign w:val="center"/>
            <w:hideMark/>
          </w:tcPr>
          <w:p w14:paraId="799DEA2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48 (48%)</w:t>
            </w:r>
          </w:p>
        </w:tc>
        <w:tc>
          <w:tcPr>
            <w:tcW w:w="1486" w:type="dxa"/>
            <w:tcBorders>
              <w:top w:val="nil"/>
              <w:left w:val="nil"/>
              <w:bottom w:val="single" w:sz="4" w:space="0" w:color="auto"/>
              <w:right w:val="nil"/>
            </w:tcBorders>
            <w:noWrap/>
            <w:vAlign w:val="center"/>
            <w:hideMark/>
          </w:tcPr>
          <w:p w14:paraId="3A2DC04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83 (83%)</w:t>
            </w:r>
          </w:p>
        </w:tc>
        <w:tc>
          <w:tcPr>
            <w:tcW w:w="1266" w:type="dxa"/>
            <w:tcBorders>
              <w:top w:val="nil"/>
              <w:left w:val="nil"/>
              <w:bottom w:val="single" w:sz="4" w:space="0" w:color="auto"/>
              <w:right w:val="nil"/>
            </w:tcBorders>
            <w:noWrap/>
            <w:vAlign w:val="center"/>
            <w:hideMark/>
          </w:tcPr>
          <w:p w14:paraId="0835337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21 (42%)</w:t>
            </w:r>
          </w:p>
        </w:tc>
        <w:tc>
          <w:tcPr>
            <w:tcW w:w="1350" w:type="dxa"/>
            <w:tcBorders>
              <w:top w:val="nil"/>
              <w:left w:val="nil"/>
              <w:bottom w:val="single" w:sz="4" w:space="0" w:color="auto"/>
              <w:right w:val="nil"/>
            </w:tcBorders>
            <w:noWrap/>
            <w:vAlign w:val="center"/>
            <w:hideMark/>
          </w:tcPr>
          <w:p w14:paraId="7C050CE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51 (91%)</w:t>
            </w:r>
          </w:p>
        </w:tc>
      </w:tr>
      <w:tr w:rsidR="00C171AF" w14:paraId="23D69457" w14:textId="77777777" w:rsidTr="003B0468">
        <w:trPr>
          <w:trHeight w:val="20"/>
        </w:trPr>
        <w:tc>
          <w:tcPr>
            <w:tcW w:w="882" w:type="dxa"/>
            <w:vMerge/>
            <w:tcBorders>
              <w:top w:val="nil"/>
              <w:left w:val="nil"/>
              <w:bottom w:val="nil"/>
              <w:right w:val="nil"/>
            </w:tcBorders>
            <w:vAlign w:val="center"/>
            <w:hideMark/>
          </w:tcPr>
          <w:p w14:paraId="01102F9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nil"/>
              <w:right w:val="nil"/>
            </w:tcBorders>
            <w:vAlign w:val="center"/>
            <w:hideMark/>
          </w:tcPr>
          <w:p w14:paraId="64FF6F2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Freq</w:t>
            </w:r>
          </w:p>
        </w:tc>
        <w:tc>
          <w:tcPr>
            <w:tcW w:w="1166" w:type="dxa"/>
            <w:tcBorders>
              <w:top w:val="nil"/>
              <w:left w:val="nil"/>
              <w:bottom w:val="nil"/>
              <w:right w:val="nil"/>
            </w:tcBorders>
            <w:noWrap/>
            <w:vAlign w:val="center"/>
            <w:hideMark/>
          </w:tcPr>
          <w:p w14:paraId="3658123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0.46, (1-3)</w:t>
            </w:r>
          </w:p>
        </w:tc>
        <w:tc>
          <w:tcPr>
            <w:tcW w:w="1190" w:type="dxa"/>
            <w:tcBorders>
              <w:top w:val="nil"/>
              <w:left w:val="nil"/>
              <w:bottom w:val="nil"/>
              <w:right w:val="nil"/>
            </w:tcBorders>
            <w:noWrap/>
            <w:vAlign w:val="center"/>
            <w:hideMark/>
          </w:tcPr>
          <w:p w14:paraId="6BBEE41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1.98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0.41, (1-3)</w:t>
            </w:r>
          </w:p>
        </w:tc>
        <w:tc>
          <w:tcPr>
            <w:tcW w:w="1154" w:type="dxa"/>
            <w:tcBorders>
              <w:top w:val="nil"/>
              <w:left w:val="nil"/>
              <w:bottom w:val="nil"/>
              <w:right w:val="nil"/>
            </w:tcBorders>
            <w:noWrap/>
            <w:vAlign w:val="center"/>
            <w:hideMark/>
          </w:tcPr>
          <w:p w14:paraId="15418E6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2.48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0.59, (1-4)</w:t>
            </w:r>
          </w:p>
        </w:tc>
        <w:tc>
          <w:tcPr>
            <w:tcW w:w="1271" w:type="dxa"/>
            <w:tcBorders>
              <w:top w:val="nil"/>
              <w:left w:val="nil"/>
              <w:bottom w:val="nil"/>
              <w:right w:val="nil"/>
            </w:tcBorders>
            <w:noWrap/>
            <w:vAlign w:val="center"/>
            <w:hideMark/>
          </w:tcPr>
          <w:p w14:paraId="0F0151C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0.62, (1-3)</w:t>
            </w:r>
          </w:p>
        </w:tc>
        <w:tc>
          <w:tcPr>
            <w:tcW w:w="1260" w:type="dxa"/>
            <w:tcBorders>
              <w:top w:val="nil"/>
              <w:left w:val="nil"/>
              <w:bottom w:val="nil"/>
              <w:right w:val="nil"/>
            </w:tcBorders>
            <w:noWrap/>
            <w:vAlign w:val="center"/>
            <w:hideMark/>
          </w:tcPr>
          <w:p w14:paraId="40A9F30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2.40</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0.55, (2-3)</w:t>
            </w:r>
          </w:p>
        </w:tc>
        <w:tc>
          <w:tcPr>
            <w:tcW w:w="1260" w:type="dxa"/>
            <w:tcBorders>
              <w:top w:val="nil"/>
              <w:left w:val="nil"/>
              <w:bottom w:val="nil"/>
              <w:right w:val="nil"/>
            </w:tcBorders>
            <w:noWrap/>
            <w:vAlign w:val="center"/>
            <w:hideMark/>
          </w:tcPr>
          <w:p w14:paraId="52DD9AA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2.78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0.44, (2-3)</w:t>
            </w:r>
          </w:p>
        </w:tc>
        <w:tc>
          <w:tcPr>
            <w:tcW w:w="1166" w:type="dxa"/>
            <w:tcBorders>
              <w:top w:val="nil"/>
              <w:left w:val="nil"/>
              <w:bottom w:val="nil"/>
              <w:right w:val="nil"/>
            </w:tcBorders>
            <w:noWrap/>
            <w:vAlign w:val="center"/>
            <w:hideMark/>
          </w:tcPr>
          <w:p w14:paraId="1A81DDB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 xml:space="preserve">0.62, (1-3) </w:t>
            </w:r>
          </w:p>
        </w:tc>
        <w:tc>
          <w:tcPr>
            <w:tcW w:w="1354" w:type="dxa"/>
            <w:tcBorders>
              <w:top w:val="nil"/>
              <w:left w:val="nil"/>
              <w:bottom w:val="nil"/>
              <w:right w:val="nil"/>
            </w:tcBorders>
            <w:noWrap/>
            <w:vAlign w:val="center"/>
            <w:hideMark/>
          </w:tcPr>
          <w:p w14:paraId="03239D6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2.31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0.55, (1-3)</w:t>
            </w:r>
          </w:p>
        </w:tc>
        <w:tc>
          <w:tcPr>
            <w:tcW w:w="1486" w:type="dxa"/>
            <w:tcBorders>
              <w:top w:val="nil"/>
              <w:left w:val="nil"/>
              <w:bottom w:val="nil"/>
              <w:right w:val="nil"/>
            </w:tcBorders>
            <w:noWrap/>
            <w:vAlign w:val="center"/>
            <w:hideMark/>
          </w:tcPr>
          <w:p w14:paraId="085A762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0.73, (1-3)</w:t>
            </w:r>
          </w:p>
        </w:tc>
        <w:tc>
          <w:tcPr>
            <w:tcW w:w="1266" w:type="dxa"/>
            <w:tcBorders>
              <w:top w:val="nil"/>
              <w:left w:val="nil"/>
              <w:bottom w:val="nil"/>
              <w:right w:val="nil"/>
            </w:tcBorders>
            <w:noWrap/>
            <w:vAlign w:val="center"/>
            <w:hideMark/>
          </w:tcPr>
          <w:p w14:paraId="117361B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2.38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0.67, (1-3)</w:t>
            </w:r>
          </w:p>
        </w:tc>
        <w:tc>
          <w:tcPr>
            <w:tcW w:w="1350" w:type="dxa"/>
            <w:tcBorders>
              <w:top w:val="nil"/>
              <w:left w:val="nil"/>
              <w:bottom w:val="nil"/>
              <w:right w:val="nil"/>
            </w:tcBorders>
            <w:noWrap/>
            <w:vAlign w:val="center"/>
            <w:hideMark/>
          </w:tcPr>
          <w:p w14:paraId="1278155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0.77, (1-3)</w:t>
            </w:r>
          </w:p>
        </w:tc>
      </w:tr>
      <w:tr w:rsidR="00C171AF" w14:paraId="3338A5FB" w14:textId="77777777" w:rsidTr="003B0468">
        <w:trPr>
          <w:trHeight w:val="20"/>
        </w:trPr>
        <w:tc>
          <w:tcPr>
            <w:tcW w:w="882" w:type="dxa"/>
            <w:vMerge/>
            <w:tcBorders>
              <w:top w:val="nil"/>
              <w:left w:val="nil"/>
              <w:bottom w:val="nil"/>
              <w:right w:val="nil"/>
            </w:tcBorders>
            <w:vAlign w:val="center"/>
            <w:hideMark/>
          </w:tcPr>
          <w:p w14:paraId="7A05898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single" w:sz="4" w:space="0" w:color="auto"/>
              <w:left w:val="nil"/>
              <w:bottom w:val="single" w:sz="4" w:space="0" w:color="auto"/>
              <w:right w:val="nil"/>
            </w:tcBorders>
            <w:vAlign w:val="center"/>
            <w:hideMark/>
          </w:tcPr>
          <w:p w14:paraId="417935C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Sev</w:t>
            </w:r>
          </w:p>
        </w:tc>
        <w:tc>
          <w:tcPr>
            <w:tcW w:w="1166" w:type="dxa"/>
            <w:tcBorders>
              <w:top w:val="single" w:sz="4" w:space="0" w:color="auto"/>
              <w:left w:val="nil"/>
              <w:bottom w:val="single" w:sz="4" w:space="0" w:color="auto"/>
              <w:right w:val="nil"/>
            </w:tcBorders>
            <w:noWrap/>
            <w:vAlign w:val="center"/>
            <w:hideMark/>
          </w:tcPr>
          <w:p w14:paraId="620FF02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0.51, (1-2)</w:t>
            </w:r>
          </w:p>
        </w:tc>
        <w:tc>
          <w:tcPr>
            <w:tcW w:w="1190" w:type="dxa"/>
            <w:tcBorders>
              <w:top w:val="single" w:sz="4" w:space="0" w:color="auto"/>
              <w:left w:val="nil"/>
              <w:bottom w:val="single" w:sz="4" w:space="0" w:color="auto"/>
              <w:right w:val="nil"/>
            </w:tcBorders>
            <w:noWrap/>
            <w:vAlign w:val="center"/>
            <w:hideMark/>
          </w:tcPr>
          <w:p w14:paraId="187DB7A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0.74, (1-3)</w:t>
            </w:r>
          </w:p>
        </w:tc>
        <w:tc>
          <w:tcPr>
            <w:tcW w:w="1154" w:type="dxa"/>
            <w:tcBorders>
              <w:top w:val="single" w:sz="4" w:space="0" w:color="auto"/>
              <w:left w:val="nil"/>
              <w:bottom w:val="single" w:sz="4" w:space="0" w:color="auto"/>
              <w:right w:val="nil"/>
            </w:tcBorders>
            <w:noWrap/>
            <w:vAlign w:val="center"/>
            <w:hideMark/>
          </w:tcPr>
          <w:p w14:paraId="29FA67B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2.13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0.64, (1-4)</w:t>
            </w:r>
          </w:p>
        </w:tc>
        <w:tc>
          <w:tcPr>
            <w:tcW w:w="1271" w:type="dxa"/>
            <w:tcBorders>
              <w:top w:val="single" w:sz="4" w:space="0" w:color="auto"/>
              <w:left w:val="nil"/>
              <w:bottom w:val="single" w:sz="4" w:space="0" w:color="auto"/>
              <w:right w:val="nil"/>
            </w:tcBorders>
            <w:noWrap/>
            <w:vAlign w:val="center"/>
            <w:hideMark/>
          </w:tcPr>
          <w:p w14:paraId="0668C0B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0.54, (1-3)</w:t>
            </w:r>
          </w:p>
        </w:tc>
        <w:tc>
          <w:tcPr>
            <w:tcW w:w="1260" w:type="dxa"/>
            <w:tcBorders>
              <w:top w:val="single" w:sz="4" w:space="0" w:color="auto"/>
              <w:left w:val="nil"/>
              <w:bottom w:val="single" w:sz="4" w:space="0" w:color="auto"/>
              <w:right w:val="nil"/>
            </w:tcBorders>
            <w:noWrap/>
            <w:vAlign w:val="center"/>
            <w:hideMark/>
          </w:tcPr>
          <w:p w14:paraId="7BB667B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1.60</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0.55, (1-2)</w:t>
            </w:r>
          </w:p>
        </w:tc>
        <w:tc>
          <w:tcPr>
            <w:tcW w:w="1260" w:type="dxa"/>
            <w:tcBorders>
              <w:top w:val="single" w:sz="4" w:space="0" w:color="auto"/>
              <w:left w:val="nil"/>
              <w:bottom w:val="single" w:sz="4" w:space="0" w:color="auto"/>
              <w:right w:val="nil"/>
            </w:tcBorders>
            <w:noWrap/>
            <w:vAlign w:val="center"/>
            <w:hideMark/>
          </w:tcPr>
          <w:p w14:paraId="1FB6215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1.22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0.44, (1-2)</w:t>
            </w:r>
          </w:p>
        </w:tc>
        <w:tc>
          <w:tcPr>
            <w:tcW w:w="1166" w:type="dxa"/>
            <w:tcBorders>
              <w:top w:val="single" w:sz="4" w:space="0" w:color="auto"/>
              <w:left w:val="nil"/>
              <w:bottom w:val="single" w:sz="4" w:space="0" w:color="auto"/>
              <w:right w:val="nil"/>
            </w:tcBorders>
            <w:noWrap/>
            <w:vAlign w:val="center"/>
            <w:hideMark/>
          </w:tcPr>
          <w:p w14:paraId="2929C74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 xml:space="preserve">0.47, (1-2) </w:t>
            </w:r>
          </w:p>
        </w:tc>
        <w:tc>
          <w:tcPr>
            <w:tcW w:w="1354" w:type="dxa"/>
            <w:tcBorders>
              <w:top w:val="single" w:sz="4" w:space="0" w:color="auto"/>
              <w:left w:val="nil"/>
              <w:bottom w:val="single" w:sz="4" w:space="0" w:color="auto"/>
              <w:right w:val="nil"/>
            </w:tcBorders>
            <w:noWrap/>
            <w:vAlign w:val="center"/>
            <w:hideMark/>
          </w:tcPr>
          <w:p w14:paraId="42CE728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0.65, (1-3)</w:t>
            </w:r>
          </w:p>
        </w:tc>
        <w:tc>
          <w:tcPr>
            <w:tcW w:w="1486" w:type="dxa"/>
            <w:tcBorders>
              <w:top w:val="single" w:sz="4" w:space="0" w:color="auto"/>
              <w:left w:val="nil"/>
              <w:bottom w:val="single" w:sz="4" w:space="0" w:color="auto"/>
              <w:right w:val="nil"/>
            </w:tcBorders>
            <w:noWrap/>
            <w:vAlign w:val="center"/>
            <w:hideMark/>
          </w:tcPr>
          <w:p w14:paraId="050CF51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0.81, (1-3)</w:t>
            </w:r>
          </w:p>
        </w:tc>
        <w:tc>
          <w:tcPr>
            <w:tcW w:w="1266" w:type="dxa"/>
            <w:tcBorders>
              <w:top w:val="single" w:sz="4" w:space="0" w:color="auto"/>
              <w:left w:val="nil"/>
              <w:bottom w:val="single" w:sz="4" w:space="0" w:color="auto"/>
              <w:right w:val="nil"/>
            </w:tcBorders>
            <w:noWrap/>
            <w:vAlign w:val="center"/>
            <w:hideMark/>
          </w:tcPr>
          <w:p w14:paraId="5D2469B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0.48, (1-3)</w:t>
            </w:r>
          </w:p>
        </w:tc>
        <w:tc>
          <w:tcPr>
            <w:tcW w:w="1350" w:type="dxa"/>
            <w:tcBorders>
              <w:top w:val="single" w:sz="4" w:space="0" w:color="auto"/>
              <w:left w:val="nil"/>
              <w:bottom w:val="single" w:sz="4" w:space="0" w:color="auto"/>
              <w:right w:val="nil"/>
            </w:tcBorders>
            <w:noWrap/>
            <w:vAlign w:val="center"/>
            <w:hideMark/>
          </w:tcPr>
          <w:p w14:paraId="58F7BDC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0.94, (1-4)</w:t>
            </w:r>
          </w:p>
        </w:tc>
      </w:tr>
      <w:tr w:rsidR="00C171AF" w14:paraId="3C8BE786" w14:textId="77777777" w:rsidTr="003B0468">
        <w:trPr>
          <w:trHeight w:val="20"/>
        </w:trPr>
        <w:tc>
          <w:tcPr>
            <w:tcW w:w="882" w:type="dxa"/>
            <w:vMerge/>
            <w:tcBorders>
              <w:top w:val="nil"/>
              <w:left w:val="nil"/>
              <w:bottom w:val="nil"/>
              <w:right w:val="nil"/>
            </w:tcBorders>
            <w:vAlign w:val="center"/>
            <w:hideMark/>
          </w:tcPr>
          <w:p w14:paraId="1F445F7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nil"/>
              <w:right w:val="nil"/>
            </w:tcBorders>
            <w:vAlign w:val="center"/>
            <w:hideMark/>
          </w:tcPr>
          <w:p w14:paraId="1D0FCE9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Dis</w:t>
            </w:r>
          </w:p>
        </w:tc>
        <w:tc>
          <w:tcPr>
            <w:tcW w:w="1166" w:type="dxa"/>
            <w:tcBorders>
              <w:top w:val="nil"/>
              <w:left w:val="nil"/>
              <w:bottom w:val="nil"/>
              <w:right w:val="nil"/>
            </w:tcBorders>
            <w:noWrap/>
            <w:vAlign w:val="center"/>
            <w:hideMark/>
          </w:tcPr>
          <w:p w14:paraId="0275800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0.35, (1-2)</w:t>
            </w:r>
          </w:p>
        </w:tc>
        <w:tc>
          <w:tcPr>
            <w:tcW w:w="1190" w:type="dxa"/>
            <w:tcBorders>
              <w:top w:val="nil"/>
              <w:left w:val="nil"/>
              <w:bottom w:val="nil"/>
              <w:right w:val="nil"/>
            </w:tcBorders>
            <w:noWrap/>
            <w:vAlign w:val="center"/>
            <w:hideMark/>
          </w:tcPr>
          <w:p w14:paraId="70BE3C9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1.06, (1-3)</w:t>
            </w:r>
          </w:p>
        </w:tc>
        <w:tc>
          <w:tcPr>
            <w:tcW w:w="1154" w:type="dxa"/>
            <w:tcBorders>
              <w:top w:val="nil"/>
              <w:left w:val="nil"/>
              <w:bottom w:val="nil"/>
              <w:right w:val="nil"/>
            </w:tcBorders>
            <w:noWrap/>
            <w:vAlign w:val="center"/>
            <w:hideMark/>
          </w:tcPr>
          <w:p w14:paraId="4D27BD8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0.75, (0-4)</w:t>
            </w:r>
          </w:p>
        </w:tc>
        <w:tc>
          <w:tcPr>
            <w:tcW w:w="1271" w:type="dxa"/>
            <w:tcBorders>
              <w:top w:val="nil"/>
              <w:left w:val="nil"/>
              <w:bottom w:val="nil"/>
              <w:right w:val="nil"/>
            </w:tcBorders>
            <w:noWrap/>
            <w:vAlign w:val="center"/>
            <w:hideMark/>
          </w:tcPr>
          <w:p w14:paraId="089EF63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1.1, (0-4)</w:t>
            </w:r>
          </w:p>
        </w:tc>
        <w:tc>
          <w:tcPr>
            <w:tcW w:w="1260" w:type="dxa"/>
            <w:tcBorders>
              <w:top w:val="nil"/>
              <w:left w:val="nil"/>
              <w:bottom w:val="nil"/>
              <w:right w:val="nil"/>
            </w:tcBorders>
            <w:noWrap/>
            <w:vAlign w:val="center"/>
            <w:hideMark/>
          </w:tcPr>
          <w:p w14:paraId="5558F78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1.60</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0.55, (1-2)</w:t>
            </w:r>
          </w:p>
        </w:tc>
        <w:tc>
          <w:tcPr>
            <w:tcW w:w="1260" w:type="dxa"/>
            <w:tcBorders>
              <w:top w:val="nil"/>
              <w:left w:val="nil"/>
              <w:bottom w:val="nil"/>
              <w:right w:val="nil"/>
            </w:tcBorders>
            <w:noWrap/>
            <w:vAlign w:val="center"/>
            <w:hideMark/>
          </w:tcPr>
          <w:p w14:paraId="511C8B1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1.22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0.44, (1-2)</w:t>
            </w:r>
          </w:p>
        </w:tc>
        <w:tc>
          <w:tcPr>
            <w:tcW w:w="1166" w:type="dxa"/>
            <w:tcBorders>
              <w:top w:val="nil"/>
              <w:left w:val="nil"/>
              <w:bottom w:val="nil"/>
              <w:right w:val="nil"/>
            </w:tcBorders>
            <w:noWrap/>
            <w:vAlign w:val="center"/>
            <w:hideMark/>
          </w:tcPr>
          <w:p w14:paraId="4F11197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 xml:space="preserve">0.61, (1-3) </w:t>
            </w:r>
          </w:p>
        </w:tc>
        <w:tc>
          <w:tcPr>
            <w:tcW w:w="1354" w:type="dxa"/>
            <w:tcBorders>
              <w:top w:val="nil"/>
              <w:left w:val="nil"/>
              <w:bottom w:val="nil"/>
              <w:right w:val="nil"/>
            </w:tcBorders>
            <w:noWrap/>
            <w:vAlign w:val="center"/>
            <w:hideMark/>
          </w:tcPr>
          <w:p w14:paraId="5E0BE7B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0.61, (1-3)</w:t>
            </w:r>
          </w:p>
        </w:tc>
        <w:tc>
          <w:tcPr>
            <w:tcW w:w="1486" w:type="dxa"/>
            <w:tcBorders>
              <w:top w:val="nil"/>
              <w:left w:val="nil"/>
              <w:bottom w:val="nil"/>
              <w:right w:val="nil"/>
            </w:tcBorders>
            <w:noWrap/>
            <w:vAlign w:val="center"/>
            <w:hideMark/>
          </w:tcPr>
          <w:p w14:paraId="09C440E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0.9, (1-3)</w:t>
            </w:r>
          </w:p>
        </w:tc>
        <w:tc>
          <w:tcPr>
            <w:tcW w:w="1266" w:type="dxa"/>
            <w:tcBorders>
              <w:top w:val="nil"/>
              <w:left w:val="nil"/>
              <w:bottom w:val="nil"/>
              <w:right w:val="nil"/>
            </w:tcBorders>
            <w:noWrap/>
            <w:vAlign w:val="center"/>
            <w:hideMark/>
          </w:tcPr>
          <w:p w14:paraId="48F9A77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0.39, (1-2)</w:t>
            </w:r>
          </w:p>
        </w:tc>
        <w:tc>
          <w:tcPr>
            <w:tcW w:w="1350" w:type="dxa"/>
            <w:tcBorders>
              <w:top w:val="nil"/>
              <w:left w:val="nil"/>
              <w:bottom w:val="nil"/>
              <w:right w:val="nil"/>
            </w:tcBorders>
            <w:noWrap/>
            <w:vAlign w:val="center"/>
            <w:hideMark/>
          </w:tcPr>
          <w:p w14:paraId="2C9A751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0.77, (1-3)</w:t>
            </w:r>
          </w:p>
        </w:tc>
      </w:tr>
      <w:tr w:rsidR="00C171AF" w14:paraId="04FB91F2" w14:textId="77777777" w:rsidTr="003B0468">
        <w:trPr>
          <w:trHeight w:val="20"/>
        </w:trPr>
        <w:tc>
          <w:tcPr>
            <w:tcW w:w="882" w:type="dxa"/>
            <w:vMerge w:val="restart"/>
            <w:tcBorders>
              <w:top w:val="single" w:sz="4" w:space="0" w:color="auto"/>
              <w:left w:val="nil"/>
              <w:bottom w:val="single" w:sz="4" w:space="0" w:color="000000"/>
              <w:right w:val="nil"/>
            </w:tcBorders>
            <w:vAlign w:val="center"/>
            <w:hideMark/>
          </w:tcPr>
          <w:p w14:paraId="5E3DE18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Dizziness</w:t>
            </w:r>
          </w:p>
        </w:tc>
        <w:tc>
          <w:tcPr>
            <w:tcW w:w="619" w:type="dxa"/>
            <w:tcBorders>
              <w:top w:val="single" w:sz="4" w:space="0" w:color="auto"/>
              <w:left w:val="nil"/>
              <w:bottom w:val="single" w:sz="4" w:space="0" w:color="auto"/>
              <w:right w:val="nil"/>
            </w:tcBorders>
            <w:vAlign w:val="center"/>
            <w:hideMark/>
          </w:tcPr>
          <w:p w14:paraId="0702272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 (%)</w:t>
            </w:r>
          </w:p>
        </w:tc>
        <w:tc>
          <w:tcPr>
            <w:tcW w:w="1166" w:type="dxa"/>
            <w:tcBorders>
              <w:top w:val="single" w:sz="4" w:space="0" w:color="auto"/>
              <w:left w:val="nil"/>
              <w:bottom w:val="single" w:sz="4" w:space="0" w:color="auto"/>
              <w:right w:val="nil"/>
            </w:tcBorders>
            <w:noWrap/>
            <w:vAlign w:val="center"/>
            <w:hideMark/>
          </w:tcPr>
          <w:p w14:paraId="78A4C99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 (4.6%)</w:t>
            </w:r>
          </w:p>
        </w:tc>
        <w:tc>
          <w:tcPr>
            <w:tcW w:w="1190" w:type="dxa"/>
            <w:tcBorders>
              <w:top w:val="single" w:sz="4" w:space="0" w:color="auto"/>
              <w:left w:val="nil"/>
              <w:bottom w:val="single" w:sz="4" w:space="0" w:color="auto"/>
              <w:right w:val="nil"/>
            </w:tcBorders>
            <w:noWrap/>
            <w:vAlign w:val="center"/>
            <w:hideMark/>
          </w:tcPr>
          <w:p w14:paraId="64D6E8E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8 (12.3%)</w:t>
            </w:r>
          </w:p>
        </w:tc>
        <w:tc>
          <w:tcPr>
            <w:tcW w:w="1154" w:type="dxa"/>
            <w:tcBorders>
              <w:top w:val="single" w:sz="4" w:space="0" w:color="auto"/>
              <w:left w:val="nil"/>
              <w:bottom w:val="single" w:sz="4" w:space="0" w:color="auto"/>
              <w:right w:val="nil"/>
            </w:tcBorders>
            <w:vAlign w:val="center"/>
            <w:hideMark/>
          </w:tcPr>
          <w:p w14:paraId="23B16BD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85 (</w:t>
            </w:r>
            <w:r w:rsidRPr="002F2BEA">
              <w:rPr>
                <w:rFonts w:asciiTheme="majorBidi" w:eastAsia="Times New Roman" w:hAnsiTheme="majorBidi" w:cstheme="majorBidi"/>
                <w:b/>
                <w:bCs/>
                <w:sz w:val="14"/>
                <w:szCs w:val="14"/>
                <w:lang w:eastAsia="en-US"/>
              </w:rPr>
              <w:t>64.4%)</w:t>
            </w:r>
          </w:p>
        </w:tc>
        <w:tc>
          <w:tcPr>
            <w:tcW w:w="1271" w:type="dxa"/>
            <w:tcBorders>
              <w:top w:val="single" w:sz="4" w:space="0" w:color="auto"/>
              <w:left w:val="nil"/>
              <w:bottom w:val="single" w:sz="4" w:space="0" w:color="auto"/>
              <w:right w:val="nil"/>
            </w:tcBorders>
            <w:noWrap/>
            <w:vAlign w:val="center"/>
            <w:hideMark/>
          </w:tcPr>
          <w:p w14:paraId="6882D7F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11 (22.1%)</w:t>
            </w:r>
          </w:p>
        </w:tc>
        <w:tc>
          <w:tcPr>
            <w:tcW w:w="1260" w:type="dxa"/>
            <w:tcBorders>
              <w:top w:val="single" w:sz="4" w:space="0" w:color="auto"/>
              <w:left w:val="nil"/>
              <w:bottom w:val="single" w:sz="4" w:space="0" w:color="auto"/>
              <w:right w:val="nil"/>
            </w:tcBorders>
            <w:noWrap/>
            <w:vAlign w:val="center"/>
            <w:hideMark/>
          </w:tcPr>
          <w:p w14:paraId="7EA510A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4, (30.77%)</w:t>
            </w:r>
          </w:p>
        </w:tc>
        <w:tc>
          <w:tcPr>
            <w:tcW w:w="1260" w:type="dxa"/>
            <w:tcBorders>
              <w:top w:val="single" w:sz="4" w:space="0" w:color="auto"/>
              <w:left w:val="nil"/>
              <w:bottom w:val="single" w:sz="4" w:space="0" w:color="auto"/>
              <w:right w:val="nil"/>
            </w:tcBorders>
            <w:noWrap/>
            <w:vAlign w:val="center"/>
            <w:hideMark/>
          </w:tcPr>
          <w:p w14:paraId="1D7CA74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 (65%)</w:t>
            </w:r>
          </w:p>
        </w:tc>
        <w:tc>
          <w:tcPr>
            <w:tcW w:w="1166" w:type="dxa"/>
            <w:tcBorders>
              <w:top w:val="single" w:sz="4" w:space="0" w:color="auto"/>
              <w:left w:val="nil"/>
              <w:bottom w:val="single" w:sz="4" w:space="0" w:color="auto"/>
              <w:right w:val="nil"/>
            </w:tcBorders>
            <w:noWrap/>
            <w:vAlign w:val="center"/>
            <w:hideMark/>
          </w:tcPr>
          <w:p w14:paraId="522AACC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8, (18.6%)</w:t>
            </w:r>
          </w:p>
        </w:tc>
        <w:tc>
          <w:tcPr>
            <w:tcW w:w="1354" w:type="dxa"/>
            <w:tcBorders>
              <w:top w:val="single" w:sz="4" w:space="0" w:color="auto"/>
              <w:left w:val="nil"/>
              <w:bottom w:val="single" w:sz="4" w:space="0" w:color="auto"/>
              <w:right w:val="nil"/>
            </w:tcBorders>
            <w:noWrap/>
            <w:vAlign w:val="center"/>
            <w:hideMark/>
          </w:tcPr>
          <w:p w14:paraId="4A343C6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25, (25%)</w:t>
            </w:r>
          </w:p>
        </w:tc>
        <w:tc>
          <w:tcPr>
            <w:tcW w:w="1486" w:type="dxa"/>
            <w:tcBorders>
              <w:top w:val="single" w:sz="4" w:space="0" w:color="auto"/>
              <w:left w:val="nil"/>
              <w:bottom w:val="single" w:sz="4" w:space="0" w:color="auto"/>
              <w:right w:val="nil"/>
            </w:tcBorders>
            <w:noWrap/>
            <w:vAlign w:val="center"/>
            <w:hideMark/>
          </w:tcPr>
          <w:p w14:paraId="50FDB53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 (15%)</w:t>
            </w:r>
          </w:p>
        </w:tc>
        <w:tc>
          <w:tcPr>
            <w:tcW w:w="1266" w:type="dxa"/>
            <w:tcBorders>
              <w:top w:val="single" w:sz="4" w:space="0" w:color="auto"/>
              <w:left w:val="nil"/>
              <w:bottom w:val="single" w:sz="4" w:space="0" w:color="auto"/>
              <w:right w:val="nil"/>
            </w:tcBorders>
            <w:noWrap/>
            <w:vAlign w:val="center"/>
            <w:hideMark/>
          </w:tcPr>
          <w:p w14:paraId="301D3C7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11 (22%)</w:t>
            </w:r>
          </w:p>
        </w:tc>
        <w:tc>
          <w:tcPr>
            <w:tcW w:w="1350" w:type="dxa"/>
            <w:tcBorders>
              <w:top w:val="single" w:sz="4" w:space="0" w:color="auto"/>
              <w:left w:val="nil"/>
              <w:bottom w:val="single" w:sz="4" w:space="0" w:color="auto"/>
              <w:right w:val="nil"/>
            </w:tcBorders>
            <w:noWrap/>
            <w:vAlign w:val="center"/>
            <w:hideMark/>
          </w:tcPr>
          <w:p w14:paraId="6CA4AFD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32 (57.1%)</w:t>
            </w:r>
          </w:p>
        </w:tc>
      </w:tr>
      <w:tr w:rsidR="00C171AF" w14:paraId="1111E7E0" w14:textId="77777777" w:rsidTr="003B0468">
        <w:trPr>
          <w:trHeight w:val="20"/>
        </w:trPr>
        <w:tc>
          <w:tcPr>
            <w:tcW w:w="882" w:type="dxa"/>
            <w:vMerge/>
            <w:tcBorders>
              <w:top w:val="single" w:sz="4" w:space="0" w:color="auto"/>
              <w:left w:val="nil"/>
              <w:bottom w:val="single" w:sz="4" w:space="0" w:color="000000"/>
              <w:right w:val="nil"/>
            </w:tcBorders>
            <w:vAlign w:val="center"/>
            <w:hideMark/>
          </w:tcPr>
          <w:p w14:paraId="421AB0A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nil"/>
              <w:right w:val="nil"/>
            </w:tcBorders>
            <w:vAlign w:val="center"/>
            <w:hideMark/>
          </w:tcPr>
          <w:p w14:paraId="14F8CCC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Freq</w:t>
            </w:r>
          </w:p>
        </w:tc>
        <w:tc>
          <w:tcPr>
            <w:tcW w:w="1166" w:type="dxa"/>
            <w:tcBorders>
              <w:top w:val="nil"/>
              <w:left w:val="nil"/>
              <w:bottom w:val="nil"/>
              <w:right w:val="nil"/>
            </w:tcBorders>
            <w:noWrap/>
            <w:vAlign w:val="center"/>
            <w:hideMark/>
          </w:tcPr>
          <w:p w14:paraId="27D5497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190" w:type="dxa"/>
            <w:tcBorders>
              <w:top w:val="nil"/>
              <w:left w:val="nil"/>
              <w:bottom w:val="nil"/>
              <w:right w:val="nil"/>
            </w:tcBorders>
            <w:noWrap/>
            <w:vAlign w:val="center"/>
            <w:hideMark/>
          </w:tcPr>
          <w:p w14:paraId="3C6FF2C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(2-2)</w:t>
            </w:r>
          </w:p>
        </w:tc>
        <w:tc>
          <w:tcPr>
            <w:tcW w:w="1154" w:type="dxa"/>
            <w:tcBorders>
              <w:top w:val="nil"/>
              <w:left w:val="nil"/>
              <w:bottom w:val="nil"/>
              <w:right w:val="nil"/>
            </w:tcBorders>
            <w:noWrap/>
            <w:vAlign w:val="center"/>
            <w:hideMark/>
          </w:tcPr>
          <w:p w14:paraId="2DC2B8D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2.28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0.61, (1-4)</w:t>
            </w:r>
          </w:p>
        </w:tc>
        <w:tc>
          <w:tcPr>
            <w:tcW w:w="1271" w:type="dxa"/>
            <w:tcBorders>
              <w:top w:val="nil"/>
              <w:left w:val="nil"/>
              <w:bottom w:val="nil"/>
              <w:right w:val="nil"/>
            </w:tcBorders>
            <w:noWrap/>
            <w:vAlign w:val="center"/>
            <w:hideMark/>
          </w:tcPr>
          <w:p w14:paraId="223A723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0.49, (1-2)</w:t>
            </w:r>
          </w:p>
        </w:tc>
        <w:tc>
          <w:tcPr>
            <w:tcW w:w="1260" w:type="dxa"/>
            <w:tcBorders>
              <w:top w:val="nil"/>
              <w:left w:val="nil"/>
              <w:bottom w:val="nil"/>
              <w:right w:val="nil"/>
            </w:tcBorders>
            <w:noWrap/>
            <w:vAlign w:val="center"/>
            <w:hideMark/>
          </w:tcPr>
          <w:p w14:paraId="373D6F5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0.58, (2-3)</w:t>
            </w:r>
          </w:p>
        </w:tc>
        <w:tc>
          <w:tcPr>
            <w:tcW w:w="1260" w:type="dxa"/>
            <w:tcBorders>
              <w:top w:val="nil"/>
              <w:left w:val="nil"/>
              <w:bottom w:val="nil"/>
              <w:right w:val="nil"/>
            </w:tcBorders>
            <w:noWrap/>
            <w:vAlign w:val="center"/>
            <w:hideMark/>
          </w:tcPr>
          <w:p w14:paraId="4AE54CF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2.85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0.38, (2-3)</w:t>
            </w:r>
          </w:p>
        </w:tc>
        <w:tc>
          <w:tcPr>
            <w:tcW w:w="1166" w:type="dxa"/>
            <w:tcBorders>
              <w:top w:val="nil"/>
              <w:left w:val="nil"/>
              <w:bottom w:val="nil"/>
              <w:right w:val="nil"/>
            </w:tcBorders>
            <w:noWrap/>
            <w:vAlign w:val="center"/>
            <w:hideMark/>
          </w:tcPr>
          <w:p w14:paraId="59C7BE2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354" w:type="dxa"/>
            <w:tcBorders>
              <w:top w:val="nil"/>
              <w:left w:val="nil"/>
              <w:bottom w:val="nil"/>
              <w:right w:val="nil"/>
            </w:tcBorders>
            <w:noWrap/>
            <w:vAlign w:val="center"/>
            <w:hideMark/>
          </w:tcPr>
          <w:p w14:paraId="5ED6F77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2.24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0.44, (2-3)</w:t>
            </w:r>
          </w:p>
        </w:tc>
        <w:tc>
          <w:tcPr>
            <w:tcW w:w="1486" w:type="dxa"/>
            <w:tcBorders>
              <w:top w:val="nil"/>
              <w:left w:val="nil"/>
              <w:bottom w:val="nil"/>
              <w:right w:val="nil"/>
            </w:tcBorders>
            <w:noWrap/>
            <w:vAlign w:val="center"/>
            <w:hideMark/>
          </w:tcPr>
          <w:p w14:paraId="77E0A8D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266" w:type="dxa"/>
            <w:tcBorders>
              <w:top w:val="nil"/>
              <w:left w:val="nil"/>
              <w:bottom w:val="nil"/>
              <w:right w:val="nil"/>
            </w:tcBorders>
            <w:noWrap/>
            <w:vAlign w:val="center"/>
            <w:hideMark/>
          </w:tcPr>
          <w:p w14:paraId="00BAD9D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2.64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 (2-3)</w:t>
            </w:r>
          </w:p>
        </w:tc>
        <w:tc>
          <w:tcPr>
            <w:tcW w:w="1350" w:type="dxa"/>
            <w:tcBorders>
              <w:top w:val="nil"/>
              <w:left w:val="nil"/>
              <w:bottom w:val="nil"/>
              <w:right w:val="nil"/>
            </w:tcBorders>
            <w:noWrap/>
            <w:vAlign w:val="center"/>
            <w:hideMark/>
          </w:tcPr>
          <w:p w14:paraId="1B43BF6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1.25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0.44, (1-2)</w:t>
            </w:r>
          </w:p>
        </w:tc>
      </w:tr>
      <w:tr w:rsidR="00C171AF" w14:paraId="2897329E" w14:textId="77777777" w:rsidTr="003B0468">
        <w:trPr>
          <w:trHeight w:val="20"/>
        </w:trPr>
        <w:tc>
          <w:tcPr>
            <w:tcW w:w="882" w:type="dxa"/>
            <w:vMerge/>
            <w:tcBorders>
              <w:top w:val="single" w:sz="4" w:space="0" w:color="auto"/>
              <w:left w:val="nil"/>
              <w:bottom w:val="single" w:sz="4" w:space="0" w:color="000000"/>
              <w:right w:val="nil"/>
            </w:tcBorders>
            <w:vAlign w:val="center"/>
            <w:hideMark/>
          </w:tcPr>
          <w:p w14:paraId="76F9301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single" w:sz="4" w:space="0" w:color="auto"/>
              <w:left w:val="nil"/>
              <w:bottom w:val="single" w:sz="4" w:space="0" w:color="auto"/>
              <w:right w:val="nil"/>
            </w:tcBorders>
            <w:vAlign w:val="center"/>
            <w:hideMark/>
          </w:tcPr>
          <w:p w14:paraId="50B79F6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Sev</w:t>
            </w:r>
          </w:p>
        </w:tc>
        <w:tc>
          <w:tcPr>
            <w:tcW w:w="1166" w:type="dxa"/>
            <w:tcBorders>
              <w:top w:val="single" w:sz="4" w:space="0" w:color="auto"/>
              <w:left w:val="nil"/>
              <w:bottom w:val="single" w:sz="4" w:space="0" w:color="auto"/>
              <w:right w:val="nil"/>
            </w:tcBorders>
            <w:noWrap/>
            <w:vAlign w:val="center"/>
            <w:hideMark/>
          </w:tcPr>
          <w:p w14:paraId="2F6B83B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(2-2)</w:t>
            </w:r>
          </w:p>
        </w:tc>
        <w:tc>
          <w:tcPr>
            <w:tcW w:w="1190" w:type="dxa"/>
            <w:tcBorders>
              <w:top w:val="single" w:sz="4" w:space="0" w:color="auto"/>
              <w:left w:val="nil"/>
              <w:bottom w:val="single" w:sz="4" w:space="0" w:color="auto"/>
              <w:right w:val="nil"/>
            </w:tcBorders>
            <w:noWrap/>
            <w:vAlign w:val="center"/>
            <w:hideMark/>
          </w:tcPr>
          <w:p w14:paraId="4AA8038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0.53, (2-3)</w:t>
            </w:r>
          </w:p>
        </w:tc>
        <w:tc>
          <w:tcPr>
            <w:tcW w:w="1154" w:type="dxa"/>
            <w:tcBorders>
              <w:top w:val="single" w:sz="4" w:space="0" w:color="auto"/>
              <w:left w:val="nil"/>
              <w:bottom w:val="single" w:sz="4" w:space="0" w:color="auto"/>
              <w:right w:val="nil"/>
            </w:tcBorders>
            <w:noWrap/>
            <w:vAlign w:val="center"/>
            <w:hideMark/>
          </w:tcPr>
          <w:p w14:paraId="2A9B3C6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0.63, (1-4)</w:t>
            </w:r>
          </w:p>
        </w:tc>
        <w:tc>
          <w:tcPr>
            <w:tcW w:w="1271" w:type="dxa"/>
            <w:tcBorders>
              <w:top w:val="single" w:sz="4" w:space="0" w:color="auto"/>
              <w:left w:val="nil"/>
              <w:bottom w:val="single" w:sz="4" w:space="0" w:color="auto"/>
              <w:right w:val="nil"/>
            </w:tcBorders>
            <w:noWrap/>
            <w:vAlign w:val="center"/>
            <w:hideMark/>
          </w:tcPr>
          <w:p w14:paraId="20696C1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 (1-2)</w:t>
            </w:r>
          </w:p>
        </w:tc>
        <w:tc>
          <w:tcPr>
            <w:tcW w:w="1260" w:type="dxa"/>
            <w:tcBorders>
              <w:top w:val="single" w:sz="4" w:space="0" w:color="auto"/>
              <w:left w:val="nil"/>
              <w:bottom w:val="single" w:sz="4" w:space="0" w:color="auto"/>
              <w:right w:val="nil"/>
            </w:tcBorders>
            <w:noWrap/>
            <w:vAlign w:val="center"/>
            <w:hideMark/>
          </w:tcPr>
          <w:p w14:paraId="0764E0C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0.58, (1-2)</w:t>
            </w:r>
          </w:p>
        </w:tc>
        <w:tc>
          <w:tcPr>
            <w:tcW w:w="1260" w:type="dxa"/>
            <w:tcBorders>
              <w:top w:val="single" w:sz="4" w:space="0" w:color="auto"/>
              <w:left w:val="nil"/>
              <w:bottom w:val="single" w:sz="4" w:space="0" w:color="auto"/>
              <w:right w:val="nil"/>
            </w:tcBorders>
            <w:noWrap/>
            <w:vAlign w:val="center"/>
            <w:hideMark/>
          </w:tcPr>
          <w:p w14:paraId="440F5EF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0.52, (1-2)</w:t>
            </w:r>
          </w:p>
        </w:tc>
        <w:tc>
          <w:tcPr>
            <w:tcW w:w="1166" w:type="dxa"/>
            <w:tcBorders>
              <w:top w:val="single" w:sz="4" w:space="0" w:color="auto"/>
              <w:left w:val="nil"/>
              <w:bottom w:val="single" w:sz="4" w:space="0" w:color="auto"/>
              <w:right w:val="nil"/>
            </w:tcBorders>
            <w:noWrap/>
            <w:vAlign w:val="center"/>
            <w:hideMark/>
          </w:tcPr>
          <w:p w14:paraId="1CBB50E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354" w:type="dxa"/>
            <w:tcBorders>
              <w:top w:val="single" w:sz="4" w:space="0" w:color="auto"/>
              <w:left w:val="nil"/>
              <w:bottom w:val="single" w:sz="4" w:space="0" w:color="auto"/>
              <w:right w:val="nil"/>
            </w:tcBorders>
            <w:noWrap/>
            <w:vAlign w:val="center"/>
            <w:hideMark/>
          </w:tcPr>
          <w:p w14:paraId="591B443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0.51, (1-2)</w:t>
            </w:r>
          </w:p>
        </w:tc>
        <w:tc>
          <w:tcPr>
            <w:tcW w:w="1486" w:type="dxa"/>
            <w:tcBorders>
              <w:top w:val="single" w:sz="4" w:space="0" w:color="auto"/>
              <w:left w:val="nil"/>
              <w:bottom w:val="single" w:sz="4" w:space="0" w:color="auto"/>
              <w:right w:val="nil"/>
            </w:tcBorders>
            <w:noWrap/>
            <w:vAlign w:val="center"/>
            <w:hideMark/>
          </w:tcPr>
          <w:p w14:paraId="061603A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266" w:type="dxa"/>
            <w:tcBorders>
              <w:top w:val="single" w:sz="4" w:space="0" w:color="auto"/>
              <w:left w:val="nil"/>
              <w:bottom w:val="single" w:sz="4" w:space="0" w:color="auto"/>
              <w:right w:val="nil"/>
            </w:tcBorders>
            <w:noWrap/>
            <w:vAlign w:val="center"/>
            <w:hideMark/>
          </w:tcPr>
          <w:p w14:paraId="1597AEB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1.91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 (1-2)</w:t>
            </w:r>
          </w:p>
        </w:tc>
        <w:tc>
          <w:tcPr>
            <w:tcW w:w="1350" w:type="dxa"/>
            <w:tcBorders>
              <w:top w:val="single" w:sz="4" w:space="0" w:color="auto"/>
              <w:left w:val="nil"/>
              <w:bottom w:val="single" w:sz="4" w:space="0" w:color="auto"/>
              <w:right w:val="nil"/>
            </w:tcBorders>
            <w:noWrap/>
            <w:vAlign w:val="center"/>
            <w:hideMark/>
          </w:tcPr>
          <w:p w14:paraId="77162BB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1.125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0.34, (1-2)</w:t>
            </w:r>
          </w:p>
        </w:tc>
      </w:tr>
      <w:tr w:rsidR="00C171AF" w14:paraId="67B5A23A" w14:textId="77777777" w:rsidTr="003B0468">
        <w:trPr>
          <w:trHeight w:val="20"/>
        </w:trPr>
        <w:tc>
          <w:tcPr>
            <w:tcW w:w="882" w:type="dxa"/>
            <w:vMerge/>
            <w:tcBorders>
              <w:top w:val="single" w:sz="4" w:space="0" w:color="auto"/>
              <w:left w:val="nil"/>
              <w:bottom w:val="single" w:sz="4" w:space="0" w:color="000000"/>
              <w:right w:val="nil"/>
            </w:tcBorders>
            <w:vAlign w:val="center"/>
            <w:hideMark/>
          </w:tcPr>
          <w:p w14:paraId="4B7DA10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single" w:sz="4" w:space="0" w:color="auto"/>
              <w:right w:val="nil"/>
            </w:tcBorders>
            <w:vAlign w:val="center"/>
            <w:hideMark/>
          </w:tcPr>
          <w:p w14:paraId="2D985EC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Dis</w:t>
            </w:r>
          </w:p>
        </w:tc>
        <w:tc>
          <w:tcPr>
            <w:tcW w:w="1166" w:type="dxa"/>
            <w:tcBorders>
              <w:top w:val="nil"/>
              <w:left w:val="nil"/>
              <w:bottom w:val="single" w:sz="4" w:space="0" w:color="auto"/>
              <w:right w:val="nil"/>
            </w:tcBorders>
            <w:noWrap/>
            <w:vAlign w:val="center"/>
            <w:hideMark/>
          </w:tcPr>
          <w:p w14:paraId="4978666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(2-2)</w:t>
            </w:r>
          </w:p>
        </w:tc>
        <w:tc>
          <w:tcPr>
            <w:tcW w:w="1190" w:type="dxa"/>
            <w:tcBorders>
              <w:top w:val="nil"/>
              <w:left w:val="nil"/>
              <w:bottom w:val="single" w:sz="4" w:space="0" w:color="auto"/>
              <w:right w:val="nil"/>
            </w:tcBorders>
            <w:noWrap/>
            <w:vAlign w:val="center"/>
            <w:hideMark/>
          </w:tcPr>
          <w:p w14:paraId="2AFCADF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1.07, (2-4)</w:t>
            </w:r>
          </w:p>
        </w:tc>
        <w:tc>
          <w:tcPr>
            <w:tcW w:w="1154" w:type="dxa"/>
            <w:tcBorders>
              <w:top w:val="nil"/>
              <w:left w:val="nil"/>
              <w:bottom w:val="single" w:sz="4" w:space="0" w:color="auto"/>
              <w:right w:val="nil"/>
            </w:tcBorders>
            <w:noWrap/>
            <w:vAlign w:val="center"/>
            <w:hideMark/>
          </w:tcPr>
          <w:p w14:paraId="3AABD4C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0.77, (1-4)</w:t>
            </w:r>
          </w:p>
        </w:tc>
        <w:tc>
          <w:tcPr>
            <w:tcW w:w="1271" w:type="dxa"/>
            <w:tcBorders>
              <w:top w:val="nil"/>
              <w:left w:val="nil"/>
              <w:bottom w:val="single" w:sz="4" w:space="0" w:color="auto"/>
              <w:right w:val="nil"/>
            </w:tcBorders>
            <w:noWrap/>
            <w:vAlign w:val="center"/>
            <w:hideMark/>
          </w:tcPr>
          <w:p w14:paraId="6D0F62A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0.97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0.57, (1-2)</w:t>
            </w:r>
          </w:p>
        </w:tc>
        <w:tc>
          <w:tcPr>
            <w:tcW w:w="1260" w:type="dxa"/>
            <w:tcBorders>
              <w:top w:val="nil"/>
              <w:left w:val="nil"/>
              <w:bottom w:val="single" w:sz="4" w:space="0" w:color="auto"/>
              <w:right w:val="nil"/>
            </w:tcBorders>
            <w:noWrap/>
            <w:vAlign w:val="center"/>
            <w:hideMark/>
          </w:tcPr>
          <w:p w14:paraId="0249C5D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0.58, (1-2)</w:t>
            </w:r>
          </w:p>
        </w:tc>
        <w:tc>
          <w:tcPr>
            <w:tcW w:w="1260" w:type="dxa"/>
            <w:tcBorders>
              <w:top w:val="nil"/>
              <w:left w:val="nil"/>
              <w:bottom w:val="single" w:sz="4" w:space="0" w:color="auto"/>
              <w:right w:val="nil"/>
            </w:tcBorders>
            <w:noWrap/>
            <w:vAlign w:val="center"/>
            <w:hideMark/>
          </w:tcPr>
          <w:p w14:paraId="6337A31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0.52, (1-2)</w:t>
            </w:r>
          </w:p>
        </w:tc>
        <w:tc>
          <w:tcPr>
            <w:tcW w:w="1166" w:type="dxa"/>
            <w:tcBorders>
              <w:top w:val="nil"/>
              <w:left w:val="nil"/>
              <w:bottom w:val="single" w:sz="4" w:space="0" w:color="auto"/>
              <w:right w:val="nil"/>
            </w:tcBorders>
            <w:noWrap/>
            <w:vAlign w:val="center"/>
            <w:hideMark/>
          </w:tcPr>
          <w:p w14:paraId="6878AF5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0.54, (1-2)</w:t>
            </w:r>
          </w:p>
        </w:tc>
        <w:tc>
          <w:tcPr>
            <w:tcW w:w="1354" w:type="dxa"/>
            <w:tcBorders>
              <w:top w:val="nil"/>
              <w:left w:val="nil"/>
              <w:bottom w:val="single" w:sz="4" w:space="0" w:color="auto"/>
              <w:right w:val="nil"/>
            </w:tcBorders>
            <w:noWrap/>
            <w:vAlign w:val="center"/>
            <w:hideMark/>
          </w:tcPr>
          <w:p w14:paraId="78EB11A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0.48, (1-2)</w:t>
            </w:r>
          </w:p>
        </w:tc>
        <w:tc>
          <w:tcPr>
            <w:tcW w:w="1486" w:type="dxa"/>
            <w:tcBorders>
              <w:top w:val="nil"/>
              <w:left w:val="nil"/>
              <w:bottom w:val="single" w:sz="4" w:space="0" w:color="auto"/>
              <w:right w:val="nil"/>
            </w:tcBorders>
            <w:noWrap/>
            <w:vAlign w:val="center"/>
            <w:hideMark/>
          </w:tcPr>
          <w:p w14:paraId="6D11930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0.52, (1-2)</w:t>
            </w:r>
          </w:p>
        </w:tc>
        <w:tc>
          <w:tcPr>
            <w:tcW w:w="1266" w:type="dxa"/>
            <w:tcBorders>
              <w:top w:val="nil"/>
              <w:left w:val="nil"/>
              <w:bottom w:val="single" w:sz="4" w:space="0" w:color="auto"/>
              <w:right w:val="nil"/>
            </w:tcBorders>
            <w:noWrap/>
            <w:vAlign w:val="center"/>
            <w:hideMark/>
          </w:tcPr>
          <w:p w14:paraId="56425F8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1.91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 (1-2)</w:t>
            </w:r>
          </w:p>
        </w:tc>
        <w:tc>
          <w:tcPr>
            <w:tcW w:w="1350" w:type="dxa"/>
            <w:tcBorders>
              <w:top w:val="nil"/>
              <w:left w:val="nil"/>
              <w:bottom w:val="single" w:sz="4" w:space="0" w:color="auto"/>
              <w:right w:val="nil"/>
            </w:tcBorders>
            <w:noWrap/>
            <w:vAlign w:val="center"/>
            <w:hideMark/>
          </w:tcPr>
          <w:p w14:paraId="4B571B0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1.16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0.37, (1-2)</w:t>
            </w:r>
          </w:p>
        </w:tc>
      </w:tr>
      <w:tr w:rsidR="00C171AF" w14:paraId="2DC6B263" w14:textId="77777777" w:rsidTr="003B0468">
        <w:trPr>
          <w:trHeight w:val="53"/>
        </w:trPr>
        <w:tc>
          <w:tcPr>
            <w:tcW w:w="882" w:type="dxa"/>
            <w:vMerge w:val="restart"/>
            <w:tcBorders>
              <w:top w:val="nil"/>
              <w:left w:val="nil"/>
              <w:bottom w:val="nil"/>
              <w:right w:val="nil"/>
            </w:tcBorders>
            <w:vAlign w:val="center"/>
            <w:hideMark/>
          </w:tcPr>
          <w:p w14:paraId="3E1D897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Drowsy</w:t>
            </w:r>
          </w:p>
        </w:tc>
        <w:tc>
          <w:tcPr>
            <w:tcW w:w="619" w:type="dxa"/>
            <w:tcBorders>
              <w:top w:val="nil"/>
              <w:left w:val="nil"/>
              <w:bottom w:val="nil"/>
              <w:right w:val="nil"/>
            </w:tcBorders>
            <w:vAlign w:val="center"/>
            <w:hideMark/>
          </w:tcPr>
          <w:p w14:paraId="0E2FD13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 (%)</w:t>
            </w:r>
          </w:p>
        </w:tc>
        <w:tc>
          <w:tcPr>
            <w:tcW w:w="1166" w:type="dxa"/>
            <w:tcBorders>
              <w:top w:val="nil"/>
              <w:left w:val="nil"/>
              <w:bottom w:val="nil"/>
              <w:right w:val="nil"/>
            </w:tcBorders>
            <w:noWrap/>
            <w:vAlign w:val="center"/>
            <w:hideMark/>
          </w:tcPr>
          <w:p w14:paraId="5B79A77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 (4.6%)</w:t>
            </w:r>
          </w:p>
        </w:tc>
        <w:tc>
          <w:tcPr>
            <w:tcW w:w="1190" w:type="dxa"/>
            <w:tcBorders>
              <w:top w:val="nil"/>
              <w:left w:val="nil"/>
              <w:bottom w:val="nil"/>
              <w:right w:val="nil"/>
            </w:tcBorders>
            <w:noWrap/>
            <w:vAlign w:val="center"/>
            <w:hideMark/>
          </w:tcPr>
          <w:p w14:paraId="651A1F1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49 (75.4%)</w:t>
            </w:r>
          </w:p>
        </w:tc>
        <w:tc>
          <w:tcPr>
            <w:tcW w:w="1154" w:type="dxa"/>
            <w:tcBorders>
              <w:top w:val="nil"/>
              <w:left w:val="nil"/>
              <w:bottom w:val="nil"/>
              <w:right w:val="nil"/>
            </w:tcBorders>
            <w:vAlign w:val="center"/>
            <w:hideMark/>
          </w:tcPr>
          <w:p w14:paraId="3627FBF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xml:space="preserve">56 </w:t>
            </w:r>
            <w:bookmarkStart w:id="16" w:name="_Hlk182110454"/>
            <w:r w:rsidRPr="002F2BEA">
              <w:rPr>
                <w:rFonts w:asciiTheme="majorBidi" w:eastAsia="Times New Roman" w:hAnsiTheme="majorBidi" w:cstheme="majorBidi"/>
                <w:sz w:val="14"/>
                <w:szCs w:val="14"/>
                <w:lang w:eastAsia="en-US"/>
              </w:rPr>
              <w:t>(</w:t>
            </w:r>
            <w:r w:rsidRPr="002F2BEA">
              <w:rPr>
                <w:rFonts w:asciiTheme="majorBidi" w:eastAsia="Times New Roman" w:hAnsiTheme="majorBidi" w:cstheme="majorBidi"/>
                <w:b/>
                <w:bCs/>
                <w:sz w:val="14"/>
                <w:szCs w:val="14"/>
                <w:lang w:eastAsia="en-US"/>
              </w:rPr>
              <w:t>42.4%)</w:t>
            </w:r>
            <w:bookmarkEnd w:id="16"/>
          </w:p>
        </w:tc>
        <w:tc>
          <w:tcPr>
            <w:tcW w:w="1271" w:type="dxa"/>
            <w:tcBorders>
              <w:top w:val="nil"/>
              <w:left w:val="nil"/>
              <w:bottom w:val="nil"/>
              <w:right w:val="nil"/>
            </w:tcBorders>
            <w:noWrap/>
            <w:vAlign w:val="center"/>
            <w:hideMark/>
          </w:tcPr>
          <w:p w14:paraId="36FB070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54 (39.7%)</w:t>
            </w:r>
          </w:p>
        </w:tc>
        <w:tc>
          <w:tcPr>
            <w:tcW w:w="1260" w:type="dxa"/>
            <w:tcBorders>
              <w:top w:val="nil"/>
              <w:left w:val="nil"/>
              <w:bottom w:val="nil"/>
              <w:right w:val="nil"/>
            </w:tcBorders>
            <w:noWrap/>
            <w:vAlign w:val="center"/>
            <w:hideMark/>
          </w:tcPr>
          <w:p w14:paraId="574A7E6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 (7.69%)</w:t>
            </w:r>
          </w:p>
        </w:tc>
        <w:tc>
          <w:tcPr>
            <w:tcW w:w="1260" w:type="dxa"/>
            <w:tcBorders>
              <w:top w:val="nil"/>
              <w:left w:val="nil"/>
              <w:bottom w:val="nil"/>
              <w:right w:val="nil"/>
            </w:tcBorders>
            <w:noWrap/>
            <w:vAlign w:val="center"/>
            <w:hideMark/>
          </w:tcPr>
          <w:p w14:paraId="5FDEFDF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 (5%)</w:t>
            </w:r>
          </w:p>
        </w:tc>
        <w:tc>
          <w:tcPr>
            <w:tcW w:w="1166" w:type="dxa"/>
            <w:tcBorders>
              <w:top w:val="nil"/>
              <w:left w:val="nil"/>
              <w:bottom w:val="nil"/>
              <w:right w:val="nil"/>
            </w:tcBorders>
            <w:noWrap/>
            <w:vAlign w:val="center"/>
            <w:hideMark/>
          </w:tcPr>
          <w:p w14:paraId="08C2E04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23, (53.49%)</w:t>
            </w:r>
          </w:p>
        </w:tc>
        <w:tc>
          <w:tcPr>
            <w:tcW w:w="1354" w:type="dxa"/>
            <w:tcBorders>
              <w:top w:val="nil"/>
              <w:left w:val="nil"/>
              <w:bottom w:val="nil"/>
              <w:right w:val="nil"/>
            </w:tcBorders>
            <w:noWrap/>
            <w:vAlign w:val="center"/>
            <w:hideMark/>
          </w:tcPr>
          <w:p w14:paraId="3723BA7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13, 13%</w:t>
            </w:r>
          </w:p>
        </w:tc>
        <w:tc>
          <w:tcPr>
            <w:tcW w:w="1486" w:type="dxa"/>
            <w:tcBorders>
              <w:top w:val="nil"/>
              <w:left w:val="nil"/>
              <w:bottom w:val="nil"/>
              <w:right w:val="nil"/>
            </w:tcBorders>
            <w:noWrap/>
            <w:vAlign w:val="center"/>
            <w:hideMark/>
          </w:tcPr>
          <w:p w14:paraId="70B4846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53 (53%)</w:t>
            </w:r>
          </w:p>
        </w:tc>
        <w:tc>
          <w:tcPr>
            <w:tcW w:w="1266" w:type="dxa"/>
            <w:tcBorders>
              <w:top w:val="nil"/>
              <w:left w:val="nil"/>
              <w:bottom w:val="nil"/>
              <w:right w:val="nil"/>
            </w:tcBorders>
            <w:noWrap/>
            <w:vAlign w:val="center"/>
            <w:hideMark/>
          </w:tcPr>
          <w:p w14:paraId="584826D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 (28%)</w:t>
            </w:r>
          </w:p>
        </w:tc>
        <w:tc>
          <w:tcPr>
            <w:tcW w:w="1350" w:type="dxa"/>
            <w:tcBorders>
              <w:top w:val="nil"/>
              <w:left w:val="nil"/>
              <w:bottom w:val="nil"/>
              <w:right w:val="nil"/>
            </w:tcBorders>
            <w:noWrap/>
            <w:vAlign w:val="center"/>
            <w:hideMark/>
          </w:tcPr>
          <w:p w14:paraId="6307655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37 (66.1%)</w:t>
            </w:r>
          </w:p>
        </w:tc>
      </w:tr>
      <w:tr w:rsidR="00C171AF" w14:paraId="01FFEE76" w14:textId="77777777" w:rsidTr="003B0468">
        <w:trPr>
          <w:trHeight w:val="20"/>
        </w:trPr>
        <w:tc>
          <w:tcPr>
            <w:tcW w:w="882" w:type="dxa"/>
            <w:vMerge/>
            <w:tcBorders>
              <w:top w:val="nil"/>
              <w:left w:val="nil"/>
              <w:bottom w:val="nil"/>
              <w:right w:val="nil"/>
            </w:tcBorders>
            <w:vAlign w:val="center"/>
            <w:hideMark/>
          </w:tcPr>
          <w:p w14:paraId="3AB6514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single" w:sz="4" w:space="0" w:color="auto"/>
              <w:left w:val="nil"/>
              <w:bottom w:val="single" w:sz="4" w:space="0" w:color="auto"/>
              <w:right w:val="nil"/>
            </w:tcBorders>
            <w:vAlign w:val="center"/>
            <w:hideMark/>
          </w:tcPr>
          <w:p w14:paraId="7F58543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Freq</w:t>
            </w:r>
          </w:p>
        </w:tc>
        <w:tc>
          <w:tcPr>
            <w:tcW w:w="1166" w:type="dxa"/>
            <w:tcBorders>
              <w:top w:val="single" w:sz="4" w:space="0" w:color="auto"/>
              <w:left w:val="nil"/>
              <w:bottom w:val="single" w:sz="4" w:space="0" w:color="auto"/>
              <w:right w:val="nil"/>
            </w:tcBorders>
            <w:noWrap/>
            <w:vAlign w:val="center"/>
            <w:hideMark/>
          </w:tcPr>
          <w:p w14:paraId="7AA4FE1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0.55, (1-2)</w:t>
            </w:r>
          </w:p>
        </w:tc>
        <w:tc>
          <w:tcPr>
            <w:tcW w:w="1190" w:type="dxa"/>
            <w:tcBorders>
              <w:top w:val="single" w:sz="4" w:space="0" w:color="auto"/>
              <w:left w:val="nil"/>
              <w:bottom w:val="single" w:sz="4" w:space="0" w:color="auto"/>
              <w:right w:val="nil"/>
            </w:tcBorders>
            <w:noWrap/>
            <w:vAlign w:val="center"/>
            <w:hideMark/>
          </w:tcPr>
          <w:p w14:paraId="26B4359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2.37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0.49, (2-3)</w:t>
            </w:r>
          </w:p>
        </w:tc>
        <w:tc>
          <w:tcPr>
            <w:tcW w:w="1154" w:type="dxa"/>
            <w:tcBorders>
              <w:top w:val="single" w:sz="4" w:space="0" w:color="auto"/>
              <w:left w:val="nil"/>
              <w:bottom w:val="single" w:sz="4" w:space="0" w:color="auto"/>
              <w:right w:val="nil"/>
            </w:tcBorders>
            <w:noWrap/>
            <w:vAlign w:val="center"/>
            <w:hideMark/>
          </w:tcPr>
          <w:p w14:paraId="6A7879C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2.12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0.67, (1-3)</w:t>
            </w:r>
          </w:p>
        </w:tc>
        <w:tc>
          <w:tcPr>
            <w:tcW w:w="1271" w:type="dxa"/>
            <w:tcBorders>
              <w:top w:val="single" w:sz="4" w:space="0" w:color="auto"/>
              <w:left w:val="nil"/>
              <w:bottom w:val="single" w:sz="4" w:space="0" w:color="auto"/>
              <w:right w:val="nil"/>
            </w:tcBorders>
            <w:noWrap/>
            <w:vAlign w:val="center"/>
            <w:hideMark/>
          </w:tcPr>
          <w:p w14:paraId="2AE3DF2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0.75, (1-3)</w:t>
            </w:r>
          </w:p>
        </w:tc>
        <w:tc>
          <w:tcPr>
            <w:tcW w:w="1260" w:type="dxa"/>
            <w:tcBorders>
              <w:top w:val="single" w:sz="4" w:space="0" w:color="auto"/>
              <w:left w:val="nil"/>
              <w:bottom w:val="single" w:sz="4" w:space="0" w:color="auto"/>
              <w:right w:val="nil"/>
            </w:tcBorders>
            <w:noWrap/>
            <w:vAlign w:val="center"/>
            <w:hideMark/>
          </w:tcPr>
          <w:p w14:paraId="02F455D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260" w:type="dxa"/>
            <w:tcBorders>
              <w:top w:val="single" w:sz="4" w:space="0" w:color="auto"/>
              <w:left w:val="nil"/>
              <w:bottom w:val="single" w:sz="4" w:space="0" w:color="auto"/>
              <w:right w:val="nil"/>
            </w:tcBorders>
            <w:noWrap/>
            <w:vAlign w:val="center"/>
            <w:hideMark/>
          </w:tcPr>
          <w:p w14:paraId="728E43A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166" w:type="dxa"/>
            <w:tcBorders>
              <w:top w:val="single" w:sz="4" w:space="0" w:color="auto"/>
              <w:left w:val="nil"/>
              <w:bottom w:val="single" w:sz="4" w:space="0" w:color="auto"/>
              <w:right w:val="nil"/>
            </w:tcBorders>
            <w:noWrap/>
            <w:vAlign w:val="center"/>
            <w:hideMark/>
          </w:tcPr>
          <w:p w14:paraId="56C5D44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1.18, (1-4)</w:t>
            </w:r>
          </w:p>
        </w:tc>
        <w:tc>
          <w:tcPr>
            <w:tcW w:w="1354" w:type="dxa"/>
            <w:tcBorders>
              <w:top w:val="single" w:sz="4" w:space="0" w:color="auto"/>
              <w:left w:val="nil"/>
              <w:bottom w:val="single" w:sz="4" w:space="0" w:color="auto"/>
              <w:right w:val="nil"/>
            </w:tcBorders>
            <w:noWrap/>
            <w:vAlign w:val="center"/>
            <w:hideMark/>
          </w:tcPr>
          <w:p w14:paraId="7E6E8A2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2.59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0.52, (1-3)</w:t>
            </w:r>
          </w:p>
        </w:tc>
        <w:tc>
          <w:tcPr>
            <w:tcW w:w="1486" w:type="dxa"/>
            <w:tcBorders>
              <w:top w:val="single" w:sz="4" w:space="0" w:color="auto"/>
              <w:left w:val="nil"/>
              <w:bottom w:val="single" w:sz="4" w:space="0" w:color="auto"/>
              <w:right w:val="nil"/>
            </w:tcBorders>
            <w:noWrap/>
            <w:vAlign w:val="center"/>
            <w:hideMark/>
          </w:tcPr>
          <w:p w14:paraId="71B5ED0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0.71, (1-3)</w:t>
            </w:r>
          </w:p>
        </w:tc>
        <w:tc>
          <w:tcPr>
            <w:tcW w:w="1266" w:type="dxa"/>
            <w:tcBorders>
              <w:top w:val="single" w:sz="4" w:space="0" w:color="auto"/>
              <w:left w:val="nil"/>
              <w:bottom w:val="single" w:sz="4" w:space="0" w:color="auto"/>
              <w:right w:val="nil"/>
            </w:tcBorders>
            <w:noWrap/>
            <w:vAlign w:val="center"/>
            <w:hideMark/>
          </w:tcPr>
          <w:p w14:paraId="6B52111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2.43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0.51, (2-3)</w:t>
            </w:r>
          </w:p>
        </w:tc>
        <w:tc>
          <w:tcPr>
            <w:tcW w:w="1350" w:type="dxa"/>
            <w:tcBorders>
              <w:top w:val="single" w:sz="4" w:space="0" w:color="auto"/>
              <w:left w:val="nil"/>
              <w:bottom w:val="single" w:sz="4" w:space="0" w:color="auto"/>
              <w:right w:val="nil"/>
            </w:tcBorders>
            <w:noWrap/>
            <w:vAlign w:val="center"/>
            <w:hideMark/>
          </w:tcPr>
          <w:p w14:paraId="46673F9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0.88, (1-3)</w:t>
            </w:r>
          </w:p>
        </w:tc>
      </w:tr>
      <w:tr w:rsidR="00C171AF" w14:paraId="1526AD4F" w14:textId="77777777" w:rsidTr="003B0468">
        <w:trPr>
          <w:trHeight w:val="20"/>
        </w:trPr>
        <w:tc>
          <w:tcPr>
            <w:tcW w:w="882" w:type="dxa"/>
            <w:vMerge/>
            <w:tcBorders>
              <w:top w:val="nil"/>
              <w:left w:val="nil"/>
              <w:bottom w:val="nil"/>
              <w:right w:val="nil"/>
            </w:tcBorders>
            <w:vAlign w:val="center"/>
            <w:hideMark/>
          </w:tcPr>
          <w:p w14:paraId="526BCD7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single" w:sz="4" w:space="0" w:color="auto"/>
              <w:right w:val="nil"/>
            </w:tcBorders>
            <w:vAlign w:val="center"/>
            <w:hideMark/>
          </w:tcPr>
          <w:p w14:paraId="0CB6AC6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Sev</w:t>
            </w:r>
          </w:p>
        </w:tc>
        <w:tc>
          <w:tcPr>
            <w:tcW w:w="1166" w:type="dxa"/>
            <w:tcBorders>
              <w:top w:val="nil"/>
              <w:left w:val="nil"/>
              <w:bottom w:val="single" w:sz="4" w:space="0" w:color="auto"/>
              <w:right w:val="nil"/>
            </w:tcBorders>
            <w:noWrap/>
            <w:vAlign w:val="center"/>
            <w:hideMark/>
          </w:tcPr>
          <w:p w14:paraId="57007ED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0.55, (1-2)</w:t>
            </w:r>
          </w:p>
        </w:tc>
        <w:tc>
          <w:tcPr>
            <w:tcW w:w="1190" w:type="dxa"/>
            <w:tcBorders>
              <w:top w:val="nil"/>
              <w:left w:val="nil"/>
              <w:bottom w:val="single" w:sz="4" w:space="0" w:color="auto"/>
              <w:right w:val="nil"/>
            </w:tcBorders>
            <w:noWrap/>
            <w:vAlign w:val="center"/>
            <w:hideMark/>
          </w:tcPr>
          <w:p w14:paraId="490E403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0.47, (1-2)</w:t>
            </w:r>
          </w:p>
        </w:tc>
        <w:tc>
          <w:tcPr>
            <w:tcW w:w="1154" w:type="dxa"/>
            <w:tcBorders>
              <w:top w:val="nil"/>
              <w:left w:val="nil"/>
              <w:bottom w:val="single" w:sz="4" w:space="0" w:color="auto"/>
              <w:right w:val="nil"/>
            </w:tcBorders>
            <w:noWrap/>
            <w:vAlign w:val="center"/>
            <w:hideMark/>
          </w:tcPr>
          <w:p w14:paraId="42C2567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0.75, (1-4)</w:t>
            </w:r>
          </w:p>
        </w:tc>
        <w:tc>
          <w:tcPr>
            <w:tcW w:w="1271" w:type="dxa"/>
            <w:tcBorders>
              <w:top w:val="nil"/>
              <w:left w:val="nil"/>
              <w:bottom w:val="single" w:sz="4" w:space="0" w:color="auto"/>
              <w:right w:val="nil"/>
            </w:tcBorders>
            <w:noWrap/>
            <w:vAlign w:val="center"/>
            <w:hideMark/>
          </w:tcPr>
          <w:p w14:paraId="347C274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0.69, (1-3)</w:t>
            </w:r>
          </w:p>
        </w:tc>
        <w:tc>
          <w:tcPr>
            <w:tcW w:w="1260" w:type="dxa"/>
            <w:tcBorders>
              <w:top w:val="nil"/>
              <w:left w:val="nil"/>
              <w:bottom w:val="single" w:sz="4" w:space="0" w:color="auto"/>
              <w:right w:val="nil"/>
            </w:tcBorders>
            <w:noWrap/>
            <w:vAlign w:val="center"/>
            <w:hideMark/>
          </w:tcPr>
          <w:p w14:paraId="19FC18B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260" w:type="dxa"/>
            <w:tcBorders>
              <w:top w:val="nil"/>
              <w:left w:val="nil"/>
              <w:bottom w:val="single" w:sz="4" w:space="0" w:color="auto"/>
              <w:right w:val="nil"/>
            </w:tcBorders>
            <w:noWrap/>
            <w:vAlign w:val="center"/>
            <w:hideMark/>
          </w:tcPr>
          <w:p w14:paraId="774D5F0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166" w:type="dxa"/>
            <w:tcBorders>
              <w:top w:val="nil"/>
              <w:left w:val="nil"/>
              <w:bottom w:val="single" w:sz="4" w:space="0" w:color="auto"/>
              <w:right w:val="nil"/>
            </w:tcBorders>
            <w:noWrap/>
            <w:vAlign w:val="center"/>
            <w:hideMark/>
          </w:tcPr>
          <w:p w14:paraId="6E445A8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0.77, (1-3)</w:t>
            </w:r>
          </w:p>
        </w:tc>
        <w:tc>
          <w:tcPr>
            <w:tcW w:w="1354" w:type="dxa"/>
            <w:tcBorders>
              <w:top w:val="nil"/>
              <w:left w:val="nil"/>
              <w:bottom w:val="single" w:sz="4" w:space="0" w:color="auto"/>
              <w:right w:val="nil"/>
            </w:tcBorders>
            <w:noWrap/>
            <w:vAlign w:val="center"/>
            <w:hideMark/>
          </w:tcPr>
          <w:p w14:paraId="4F50C62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0.77, (1-3)</w:t>
            </w:r>
          </w:p>
        </w:tc>
        <w:tc>
          <w:tcPr>
            <w:tcW w:w="1486" w:type="dxa"/>
            <w:tcBorders>
              <w:top w:val="nil"/>
              <w:left w:val="nil"/>
              <w:bottom w:val="single" w:sz="4" w:space="0" w:color="auto"/>
              <w:right w:val="nil"/>
            </w:tcBorders>
            <w:noWrap/>
            <w:vAlign w:val="center"/>
            <w:hideMark/>
          </w:tcPr>
          <w:p w14:paraId="68CF98E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0.85, (1-3)</w:t>
            </w:r>
          </w:p>
        </w:tc>
        <w:tc>
          <w:tcPr>
            <w:tcW w:w="1266" w:type="dxa"/>
            <w:tcBorders>
              <w:top w:val="nil"/>
              <w:left w:val="nil"/>
              <w:bottom w:val="single" w:sz="4" w:space="0" w:color="auto"/>
              <w:right w:val="nil"/>
            </w:tcBorders>
            <w:noWrap/>
            <w:vAlign w:val="center"/>
            <w:hideMark/>
          </w:tcPr>
          <w:p w14:paraId="7F2A50C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0.43, (1-2)</w:t>
            </w:r>
          </w:p>
        </w:tc>
        <w:tc>
          <w:tcPr>
            <w:tcW w:w="1350" w:type="dxa"/>
            <w:tcBorders>
              <w:top w:val="nil"/>
              <w:left w:val="nil"/>
              <w:bottom w:val="single" w:sz="4" w:space="0" w:color="auto"/>
              <w:right w:val="nil"/>
            </w:tcBorders>
            <w:noWrap/>
            <w:vAlign w:val="center"/>
            <w:hideMark/>
          </w:tcPr>
          <w:p w14:paraId="1569C13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0.85, (1-3)</w:t>
            </w:r>
          </w:p>
        </w:tc>
      </w:tr>
      <w:tr w:rsidR="00C171AF" w14:paraId="57CB8853" w14:textId="77777777" w:rsidTr="003B0468">
        <w:trPr>
          <w:trHeight w:val="20"/>
        </w:trPr>
        <w:tc>
          <w:tcPr>
            <w:tcW w:w="882" w:type="dxa"/>
            <w:vMerge/>
            <w:tcBorders>
              <w:top w:val="nil"/>
              <w:left w:val="nil"/>
              <w:bottom w:val="nil"/>
              <w:right w:val="nil"/>
            </w:tcBorders>
            <w:vAlign w:val="center"/>
            <w:hideMark/>
          </w:tcPr>
          <w:p w14:paraId="07D35E0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nil"/>
              <w:right w:val="nil"/>
            </w:tcBorders>
            <w:vAlign w:val="center"/>
            <w:hideMark/>
          </w:tcPr>
          <w:p w14:paraId="52CA2FF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Dis</w:t>
            </w:r>
          </w:p>
        </w:tc>
        <w:tc>
          <w:tcPr>
            <w:tcW w:w="1166" w:type="dxa"/>
            <w:tcBorders>
              <w:top w:val="nil"/>
              <w:left w:val="nil"/>
              <w:bottom w:val="nil"/>
              <w:right w:val="nil"/>
            </w:tcBorders>
            <w:noWrap/>
            <w:vAlign w:val="center"/>
            <w:hideMark/>
          </w:tcPr>
          <w:p w14:paraId="319E19C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0.55, (1-2)</w:t>
            </w:r>
          </w:p>
        </w:tc>
        <w:tc>
          <w:tcPr>
            <w:tcW w:w="1190" w:type="dxa"/>
            <w:tcBorders>
              <w:top w:val="nil"/>
              <w:left w:val="nil"/>
              <w:bottom w:val="nil"/>
              <w:right w:val="nil"/>
            </w:tcBorders>
            <w:noWrap/>
            <w:vAlign w:val="center"/>
            <w:hideMark/>
          </w:tcPr>
          <w:p w14:paraId="194EB57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0.86, (1-4)</w:t>
            </w:r>
          </w:p>
        </w:tc>
        <w:tc>
          <w:tcPr>
            <w:tcW w:w="1154" w:type="dxa"/>
            <w:tcBorders>
              <w:top w:val="nil"/>
              <w:left w:val="nil"/>
              <w:bottom w:val="nil"/>
              <w:right w:val="nil"/>
            </w:tcBorders>
            <w:noWrap/>
            <w:vAlign w:val="center"/>
            <w:hideMark/>
          </w:tcPr>
          <w:p w14:paraId="7B9554F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0.83, (1-4)</w:t>
            </w:r>
          </w:p>
        </w:tc>
        <w:tc>
          <w:tcPr>
            <w:tcW w:w="1271" w:type="dxa"/>
            <w:tcBorders>
              <w:top w:val="nil"/>
              <w:left w:val="nil"/>
              <w:bottom w:val="nil"/>
              <w:right w:val="nil"/>
            </w:tcBorders>
            <w:noWrap/>
            <w:vAlign w:val="center"/>
            <w:hideMark/>
          </w:tcPr>
          <w:p w14:paraId="2AE9C91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1.11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0.96, (0-3)</w:t>
            </w:r>
          </w:p>
        </w:tc>
        <w:tc>
          <w:tcPr>
            <w:tcW w:w="1260" w:type="dxa"/>
            <w:tcBorders>
              <w:top w:val="nil"/>
              <w:left w:val="nil"/>
              <w:bottom w:val="nil"/>
              <w:right w:val="nil"/>
            </w:tcBorders>
            <w:noWrap/>
            <w:vAlign w:val="center"/>
            <w:hideMark/>
          </w:tcPr>
          <w:p w14:paraId="65D57D0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260" w:type="dxa"/>
            <w:tcBorders>
              <w:top w:val="nil"/>
              <w:left w:val="nil"/>
              <w:bottom w:val="nil"/>
              <w:right w:val="nil"/>
            </w:tcBorders>
            <w:noWrap/>
            <w:vAlign w:val="center"/>
            <w:hideMark/>
          </w:tcPr>
          <w:p w14:paraId="4A2B774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166" w:type="dxa"/>
            <w:tcBorders>
              <w:top w:val="nil"/>
              <w:left w:val="nil"/>
              <w:bottom w:val="nil"/>
              <w:right w:val="nil"/>
            </w:tcBorders>
            <w:noWrap/>
            <w:vAlign w:val="center"/>
            <w:hideMark/>
          </w:tcPr>
          <w:p w14:paraId="008B959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1.87, (1-4)</w:t>
            </w:r>
          </w:p>
        </w:tc>
        <w:tc>
          <w:tcPr>
            <w:tcW w:w="1354" w:type="dxa"/>
            <w:tcBorders>
              <w:top w:val="nil"/>
              <w:left w:val="nil"/>
              <w:bottom w:val="nil"/>
              <w:right w:val="nil"/>
            </w:tcBorders>
            <w:noWrap/>
            <w:vAlign w:val="center"/>
            <w:hideMark/>
          </w:tcPr>
          <w:p w14:paraId="05F5AD0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0.63, (1-3)</w:t>
            </w:r>
          </w:p>
        </w:tc>
        <w:tc>
          <w:tcPr>
            <w:tcW w:w="1486" w:type="dxa"/>
            <w:tcBorders>
              <w:top w:val="nil"/>
              <w:left w:val="nil"/>
              <w:bottom w:val="nil"/>
              <w:right w:val="nil"/>
            </w:tcBorders>
            <w:noWrap/>
            <w:vAlign w:val="center"/>
            <w:hideMark/>
          </w:tcPr>
          <w:p w14:paraId="3CFC893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0.94, (1-3)</w:t>
            </w:r>
          </w:p>
        </w:tc>
        <w:tc>
          <w:tcPr>
            <w:tcW w:w="1266" w:type="dxa"/>
            <w:tcBorders>
              <w:top w:val="nil"/>
              <w:left w:val="nil"/>
              <w:bottom w:val="nil"/>
              <w:right w:val="nil"/>
            </w:tcBorders>
            <w:noWrap/>
            <w:vAlign w:val="center"/>
            <w:hideMark/>
          </w:tcPr>
          <w:p w14:paraId="3F29D35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0.43, (1-2)</w:t>
            </w:r>
          </w:p>
        </w:tc>
        <w:tc>
          <w:tcPr>
            <w:tcW w:w="1350" w:type="dxa"/>
            <w:tcBorders>
              <w:top w:val="nil"/>
              <w:left w:val="nil"/>
              <w:bottom w:val="nil"/>
              <w:right w:val="nil"/>
            </w:tcBorders>
            <w:noWrap/>
            <w:vAlign w:val="center"/>
            <w:hideMark/>
          </w:tcPr>
          <w:p w14:paraId="429E8E7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1.16, (0-4)</w:t>
            </w:r>
          </w:p>
        </w:tc>
      </w:tr>
      <w:tr w:rsidR="00C171AF" w14:paraId="4B1A9A7F" w14:textId="77777777" w:rsidTr="003B0468">
        <w:trPr>
          <w:trHeight w:val="107"/>
        </w:trPr>
        <w:tc>
          <w:tcPr>
            <w:tcW w:w="882" w:type="dxa"/>
            <w:vMerge w:val="restart"/>
            <w:tcBorders>
              <w:top w:val="single" w:sz="4" w:space="0" w:color="auto"/>
              <w:left w:val="nil"/>
              <w:bottom w:val="single" w:sz="4" w:space="0" w:color="000000"/>
              <w:right w:val="nil"/>
            </w:tcBorders>
            <w:vAlign w:val="center"/>
            <w:hideMark/>
          </w:tcPr>
          <w:p w14:paraId="3639BAF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Nausea</w:t>
            </w:r>
          </w:p>
        </w:tc>
        <w:tc>
          <w:tcPr>
            <w:tcW w:w="619" w:type="dxa"/>
            <w:tcBorders>
              <w:top w:val="single" w:sz="4" w:space="0" w:color="auto"/>
              <w:left w:val="nil"/>
              <w:bottom w:val="nil"/>
              <w:right w:val="nil"/>
            </w:tcBorders>
            <w:vAlign w:val="center"/>
            <w:hideMark/>
          </w:tcPr>
          <w:p w14:paraId="5FC71F6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 (%)</w:t>
            </w:r>
          </w:p>
        </w:tc>
        <w:tc>
          <w:tcPr>
            <w:tcW w:w="1166" w:type="dxa"/>
            <w:tcBorders>
              <w:top w:val="single" w:sz="4" w:space="0" w:color="auto"/>
              <w:left w:val="nil"/>
              <w:bottom w:val="nil"/>
              <w:right w:val="nil"/>
            </w:tcBorders>
            <w:noWrap/>
            <w:vAlign w:val="center"/>
            <w:hideMark/>
          </w:tcPr>
          <w:p w14:paraId="750D762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 (4.6%)</w:t>
            </w:r>
          </w:p>
        </w:tc>
        <w:tc>
          <w:tcPr>
            <w:tcW w:w="1190" w:type="dxa"/>
            <w:tcBorders>
              <w:top w:val="single" w:sz="4" w:space="0" w:color="auto"/>
              <w:left w:val="nil"/>
              <w:bottom w:val="nil"/>
              <w:right w:val="nil"/>
            </w:tcBorders>
            <w:noWrap/>
            <w:vAlign w:val="center"/>
            <w:hideMark/>
          </w:tcPr>
          <w:p w14:paraId="207BBDE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11 (16.9%)</w:t>
            </w:r>
          </w:p>
        </w:tc>
        <w:tc>
          <w:tcPr>
            <w:tcW w:w="1154" w:type="dxa"/>
            <w:tcBorders>
              <w:top w:val="single" w:sz="4" w:space="0" w:color="auto"/>
              <w:left w:val="nil"/>
              <w:bottom w:val="nil"/>
              <w:right w:val="nil"/>
            </w:tcBorders>
            <w:vAlign w:val="center"/>
            <w:hideMark/>
          </w:tcPr>
          <w:p w14:paraId="4630C55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bookmarkStart w:id="17" w:name="_Hlk182110470"/>
            <w:r w:rsidRPr="002F2BEA">
              <w:rPr>
                <w:rFonts w:asciiTheme="majorBidi" w:eastAsia="Times New Roman" w:hAnsiTheme="majorBidi" w:cstheme="majorBidi"/>
                <w:sz w:val="14"/>
                <w:szCs w:val="14"/>
                <w:lang w:eastAsia="en-US"/>
              </w:rPr>
              <w:t>48 (</w:t>
            </w:r>
            <w:r w:rsidRPr="002F2BEA">
              <w:rPr>
                <w:rFonts w:asciiTheme="majorBidi" w:eastAsia="Times New Roman" w:hAnsiTheme="majorBidi" w:cstheme="majorBidi"/>
                <w:b/>
                <w:bCs/>
                <w:sz w:val="14"/>
                <w:szCs w:val="14"/>
                <w:lang w:eastAsia="en-US"/>
              </w:rPr>
              <w:t>36.4%)</w:t>
            </w:r>
            <w:bookmarkEnd w:id="17"/>
          </w:p>
        </w:tc>
        <w:tc>
          <w:tcPr>
            <w:tcW w:w="1271" w:type="dxa"/>
            <w:tcBorders>
              <w:top w:val="single" w:sz="4" w:space="0" w:color="auto"/>
              <w:left w:val="nil"/>
              <w:bottom w:val="nil"/>
              <w:right w:val="nil"/>
            </w:tcBorders>
            <w:noWrap/>
            <w:vAlign w:val="center"/>
            <w:hideMark/>
          </w:tcPr>
          <w:p w14:paraId="580FA1E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33 (24.3%)</w:t>
            </w:r>
          </w:p>
        </w:tc>
        <w:tc>
          <w:tcPr>
            <w:tcW w:w="1260" w:type="dxa"/>
            <w:tcBorders>
              <w:top w:val="single" w:sz="4" w:space="0" w:color="auto"/>
              <w:left w:val="nil"/>
              <w:bottom w:val="nil"/>
              <w:right w:val="nil"/>
            </w:tcBorders>
            <w:noWrap/>
            <w:vAlign w:val="center"/>
            <w:hideMark/>
          </w:tcPr>
          <w:p w14:paraId="6AC3DC9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 (7.69%)</w:t>
            </w:r>
          </w:p>
        </w:tc>
        <w:tc>
          <w:tcPr>
            <w:tcW w:w="1260" w:type="dxa"/>
            <w:tcBorders>
              <w:top w:val="single" w:sz="4" w:space="0" w:color="auto"/>
              <w:left w:val="nil"/>
              <w:bottom w:val="nil"/>
              <w:right w:val="nil"/>
            </w:tcBorders>
            <w:noWrap/>
            <w:vAlign w:val="center"/>
            <w:hideMark/>
          </w:tcPr>
          <w:p w14:paraId="76F2380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0, (0%)</w:t>
            </w:r>
          </w:p>
        </w:tc>
        <w:tc>
          <w:tcPr>
            <w:tcW w:w="1166" w:type="dxa"/>
            <w:tcBorders>
              <w:top w:val="single" w:sz="4" w:space="0" w:color="auto"/>
              <w:left w:val="nil"/>
              <w:bottom w:val="nil"/>
              <w:right w:val="nil"/>
            </w:tcBorders>
            <w:noWrap/>
            <w:vAlign w:val="center"/>
            <w:hideMark/>
          </w:tcPr>
          <w:p w14:paraId="455BBCE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4 (9.3%)</w:t>
            </w:r>
          </w:p>
        </w:tc>
        <w:tc>
          <w:tcPr>
            <w:tcW w:w="1354" w:type="dxa"/>
            <w:tcBorders>
              <w:top w:val="single" w:sz="4" w:space="0" w:color="auto"/>
              <w:left w:val="nil"/>
              <w:bottom w:val="nil"/>
              <w:right w:val="nil"/>
            </w:tcBorders>
            <w:noWrap/>
            <w:vAlign w:val="center"/>
            <w:hideMark/>
          </w:tcPr>
          <w:p w14:paraId="6B6AE6D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10 (10%)</w:t>
            </w:r>
          </w:p>
        </w:tc>
        <w:tc>
          <w:tcPr>
            <w:tcW w:w="1486" w:type="dxa"/>
            <w:tcBorders>
              <w:top w:val="single" w:sz="4" w:space="0" w:color="auto"/>
              <w:left w:val="nil"/>
              <w:bottom w:val="nil"/>
              <w:right w:val="nil"/>
            </w:tcBorders>
            <w:noWrap/>
            <w:vAlign w:val="center"/>
            <w:hideMark/>
          </w:tcPr>
          <w:p w14:paraId="7F25FE9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 (15%)</w:t>
            </w:r>
          </w:p>
        </w:tc>
        <w:tc>
          <w:tcPr>
            <w:tcW w:w="1266" w:type="dxa"/>
            <w:tcBorders>
              <w:top w:val="single" w:sz="4" w:space="0" w:color="auto"/>
              <w:left w:val="nil"/>
              <w:bottom w:val="nil"/>
              <w:right w:val="nil"/>
            </w:tcBorders>
            <w:noWrap/>
            <w:vAlign w:val="center"/>
            <w:hideMark/>
          </w:tcPr>
          <w:p w14:paraId="6FA60F2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 (6%)</w:t>
            </w:r>
          </w:p>
        </w:tc>
        <w:tc>
          <w:tcPr>
            <w:tcW w:w="1350" w:type="dxa"/>
            <w:tcBorders>
              <w:top w:val="single" w:sz="4" w:space="0" w:color="auto"/>
              <w:left w:val="nil"/>
              <w:bottom w:val="nil"/>
              <w:right w:val="nil"/>
            </w:tcBorders>
            <w:noWrap/>
            <w:vAlign w:val="center"/>
            <w:hideMark/>
          </w:tcPr>
          <w:p w14:paraId="50A0FD1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19 (33.9%)</w:t>
            </w:r>
          </w:p>
        </w:tc>
      </w:tr>
      <w:tr w:rsidR="00C171AF" w14:paraId="0162287F" w14:textId="77777777" w:rsidTr="003B0468">
        <w:trPr>
          <w:trHeight w:val="20"/>
        </w:trPr>
        <w:tc>
          <w:tcPr>
            <w:tcW w:w="882" w:type="dxa"/>
            <w:vMerge/>
            <w:tcBorders>
              <w:top w:val="single" w:sz="4" w:space="0" w:color="auto"/>
              <w:left w:val="nil"/>
              <w:bottom w:val="single" w:sz="4" w:space="0" w:color="000000"/>
              <w:right w:val="nil"/>
            </w:tcBorders>
            <w:vAlign w:val="center"/>
            <w:hideMark/>
          </w:tcPr>
          <w:p w14:paraId="56A5E1F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single" w:sz="4" w:space="0" w:color="auto"/>
              <w:left w:val="nil"/>
              <w:bottom w:val="single" w:sz="4" w:space="0" w:color="auto"/>
              <w:right w:val="nil"/>
            </w:tcBorders>
            <w:vAlign w:val="center"/>
            <w:hideMark/>
          </w:tcPr>
          <w:p w14:paraId="34DB774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Freq</w:t>
            </w:r>
          </w:p>
        </w:tc>
        <w:tc>
          <w:tcPr>
            <w:tcW w:w="1166" w:type="dxa"/>
            <w:tcBorders>
              <w:top w:val="single" w:sz="4" w:space="0" w:color="auto"/>
              <w:left w:val="nil"/>
              <w:bottom w:val="single" w:sz="4" w:space="0" w:color="auto"/>
              <w:right w:val="nil"/>
            </w:tcBorders>
            <w:noWrap/>
            <w:vAlign w:val="center"/>
            <w:hideMark/>
          </w:tcPr>
          <w:p w14:paraId="627CE7B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190" w:type="dxa"/>
            <w:tcBorders>
              <w:top w:val="single" w:sz="4" w:space="0" w:color="auto"/>
              <w:left w:val="nil"/>
              <w:bottom w:val="single" w:sz="4" w:space="0" w:color="auto"/>
              <w:right w:val="nil"/>
            </w:tcBorders>
            <w:noWrap/>
            <w:vAlign w:val="center"/>
            <w:hideMark/>
          </w:tcPr>
          <w:p w14:paraId="6CD2456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(2-2)</w:t>
            </w:r>
          </w:p>
        </w:tc>
        <w:tc>
          <w:tcPr>
            <w:tcW w:w="1154" w:type="dxa"/>
            <w:tcBorders>
              <w:top w:val="single" w:sz="4" w:space="0" w:color="auto"/>
              <w:left w:val="nil"/>
              <w:bottom w:val="single" w:sz="4" w:space="0" w:color="auto"/>
              <w:right w:val="nil"/>
            </w:tcBorders>
            <w:noWrap/>
            <w:vAlign w:val="center"/>
            <w:hideMark/>
          </w:tcPr>
          <w:p w14:paraId="59BD45C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0.61, (1-3)</w:t>
            </w:r>
          </w:p>
        </w:tc>
        <w:tc>
          <w:tcPr>
            <w:tcW w:w="1271" w:type="dxa"/>
            <w:tcBorders>
              <w:top w:val="single" w:sz="4" w:space="0" w:color="auto"/>
              <w:left w:val="nil"/>
              <w:bottom w:val="single" w:sz="4" w:space="0" w:color="auto"/>
              <w:right w:val="nil"/>
            </w:tcBorders>
            <w:noWrap/>
            <w:vAlign w:val="center"/>
            <w:hideMark/>
          </w:tcPr>
          <w:p w14:paraId="4D2BAB1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0.93, (1-3)</w:t>
            </w:r>
          </w:p>
        </w:tc>
        <w:tc>
          <w:tcPr>
            <w:tcW w:w="1260" w:type="dxa"/>
            <w:tcBorders>
              <w:top w:val="single" w:sz="4" w:space="0" w:color="auto"/>
              <w:left w:val="nil"/>
              <w:bottom w:val="single" w:sz="4" w:space="0" w:color="auto"/>
              <w:right w:val="nil"/>
            </w:tcBorders>
            <w:vAlign w:val="center"/>
          </w:tcPr>
          <w:p w14:paraId="1F4FF84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260" w:type="dxa"/>
            <w:tcBorders>
              <w:top w:val="single" w:sz="4" w:space="0" w:color="auto"/>
              <w:left w:val="nil"/>
              <w:bottom w:val="single" w:sz="4" w:space="0" w:color="auto"/>
              <w:right w:val="nil"/>
            </w:tcBorders>
            <w:noWrap/>
            <w:vAlign w:val="center"/>
            <w:hideMark/>
          </w:tcPr>
          <w:p w14:paraId="59F4DB5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166" w:type="dxa"/>
            <w:tcBorders>
              <w:top w:val="single" w:sz="4" w:space="0" w:color="auto"/>
              <w:left w:val="nil"/>
              <w:bottom w:val="single" w:sz="4" w:space="0" w:color="auto"/>
              <w:right w:val="nil"/>
            </w:tcBorders>
            <w:noWrap/>
            <w:vAlign w:val="center"/>
            <w:hideMark/>
          </w:tcPr>
          <w:p w14:paraId="218E814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354" w:type="dxa"/>
            <w:tcBorders>
              <w:top w:val="single" w:sz="4" w:space="0" w:color="auto"/>
              <w:left w:val="nil"/>
              <w:bottom w:val="single" w:sz="4" w:space="0" w:color="auto"/>
              <w:right w:val="nil"/>
            </w:tcBorders>
            <w:noWrap/>
            <w:vAlign w:val="center"/>
            <w:hideMark/>
          </w:tcPr>
          <w:p w14:paraId="7301516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(2-2)</w:t>
            </w:r>
          </w:p>
        </w:tc>
        <w:tc>
          <w:tcPr>
            <w:tcW w:w="1486" w:type="dxa"/>
            <w:tcBorders>
              <w:top w:val="single" w:sz="4" w:space="0" w:color="auto"/>
              <w:left w:val="nil"/>
              <w:bottom w:val="single" w:sz="4" w:space="0" w:color="auto"/>
              <w:right w:val="nil"/>
            </w:tcBorders>
            <w:noWrap/>
            <w:vAlign w:val="center"/>
            <w:hideMark/>
          </w:tcPr>
          <w:p w14:paraId="149C145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266" w:type="dxa"/>
            <w:tcBorders>
              <w:top w:val="single" w:sz="4" w:space="0" w:color="auto"/>
              <w:left w:val="nil"/>
              <w:bottom w:val="single" w:sz="4" w:space="0" w:color="auto"/>
              <w:right w:val="nil"/>
            </w:tcBorders>
            <w:noWrap/>
            <w:vAlign w:val="center"/>
            <w:hideMark/>
          </w:tcPr>
          <w:p w14:paraId="42C50B4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2.33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0.59, (2-3)</w:t>
            </w:r>
          </w:p>
        </w:tc>
        <w:tc>
          <w:tcPr>
            <w:tcW w:w="1350" w:type="dxa"/>
            <w:tcBorders>
              <w:top w:val="single" w:sz="4" w:space="0" w:color="auto"/>
              <w:left w:val="nil"/>
              <w:bottom w:val="single" w:sz="4" w:space="0" w:color="auto"/>
              <w:right w:val="nil"/>
            </w:tcBorders>
            <w:noWrap/>
            <w:vAlign w:val="center"/>
            <w:hideMark/>
          </w:tcPr>
          <w:p w14:paraId="1C4E42B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r>
      <w:tr w:rsidR="00C171AF" w14:paraId="4041243D" w14:textId="77777777" w:rsidTr="003B0468">
        <w:trPr>
          <w:trHeight w:val="20"/>
        </w:trPr>
        <w:tc>
          <w:tcPr>
            <w:tcW w:w="882" w:type="dxa"/>
            <w:vMerge/>
            <w:tcBorders>
              <w:top w:val="single" w:sz="4" w:space="0" w:color="auto"/>
              <w:left w:val="nil"/>
              <w:bottom w:val="single" w:sz="4" w:space="0" w:color="000000"/>
              <w:right w:val="nil"/>
            </w:tcBorders>
            <w:vAlign w:val="center"/>
            <w:hideMark/>
          </w:tcPr>
          <w:p w14:paraId="2DB8449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single" w:sz="4" w:space="0" w:color="auto"/>
              <w:right w:val="nil"/>
            </w:tcBorders>
            <w:vAlign w:val="center"/>
            <w:hideMark/>
          </w:tcPr>
          <w:p w14:paraId="112C0E0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Sev</w:t>
            </w:r>
          </w:p>
        </w:tc>
        <w:tc>
          <w:tcPr>
            <w:tcW w:w="1166" w:type="dxa"/>
            <w:tcBorders>
              <w:top w:val="nil"/>
              <w:left w:val="nil"/>
              <w:bottom w:val="single" w:sz="4" w:space="0" w:color="auto"/>
              <w:right w:val="nil"/>
            </w:tcBorders>
            <w:noWrap/>
            <w:vAlign w:val="center"/>
            <w:hideMark/>
          </w:tcPr>
          <w:p w14:paraId="6222F83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(2-2)</w:t>
            </w:r>
          </w:p>
        </w:tc>
        <w:tc>
          <w:tcPr>
            <w:tcW w:w="1190" w:type="dxa"/>
            <w:tcBorders>
              <w:top w:val="nil"/>
              <w:left w:val="nil"/>
              <w:bottom w:val="single" w:sz="4" w:space="0" w:color="auto"/>
              <w:right w:val="nil"/>
            </w:tcBorders>
            <w:noWrap/>
            <w:vAlign w:val="center"/>
            <w:hideMark/>
          </w:tcPr>
          <w:p w14:paraId="7299847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0.52, (1-2)</w:t>
            </w:r>
          </w:p>
        </w:tc>
        <w:tc>
          <w:tcPr>
            <w:tcW w:w="1154" w:type="dxa"/>
            <w:tcBorders>
              <w:top w:val="nil"/>
              <w:left w:val="nil"/>
              <w:bottom w:val="single" w:sz="4" w:space="0" w:color="auto"/>
              <w:right w:val="nil"/>
            </w:tcBorders>
            <w:noWrap/>
            <w:vAlign w:val="center"/>
            <w:hideMark/>
          </w:tcPr>
          <w:p w14:paraId="067B1AE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0.59, (1-3)</w:t>
            </w:r>
          </w:p>
        </w:tc>
        <w:tc>
          <w:tcPr>
            <w:tcW w:w="1271" w:type="dxa"/>
            <w:tcBorders>
              <w:top w:val="nil"/>
              <w:left w:val="nil"/>
              <w:bottom w:val="single" w:sz="4" w:space="0" w:color="auto"/>
              <w:right w:val="nil"/>
            </w:tcBorders>
            <w:noWrap/>
            <w:vAlign w:val="center"/>
            <w:hideMark/>
          </w:tcPr>
          <w:p w14:paraId="3BC4C65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1.0, (1-4)</w:t>
            </w:r>
          </w:p>
        </w:tc>
        <w:tc>
          <w:tcPr>
            <w:tcW w:w="1260" w:type="dxa"/>
            <w:tcBorders>
              <w:top w:val="nil"/>
              <w:left w:val="nil"/>
              <w:bottom w:val="single" w:sz="4" w:space="0" w:color="auto"/>
              <w:right w:val="nil"/>
            </w:tcBorders>
            <w:noWrap/>
            <w:vAlign w:val="center"/>
            <w:hideMark/>
          </w:tcPr>
          <w:p w14:paraId="06FA0C6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260" w:type="dxa"/>
            <w:tcBorders>
              <w:top w:val="nil"/>
              <w:left w:val="nil"/>
              <w:bottom w:val="single" w:sz="4" w:space="0" w:color="auto"/>
              <w:right w:val="nil"/>
            </w:tcBorders>
            <w:noWrap/>
            <w:vAlign w:val="center"/>
            <w:hideMark/>
          </w:tcPr>
          <w:p w14:paraId="41BB0E4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166" w:type="dxa"/>
            <w:tcBorders>
              <w:top w:val="nil"/>
              <w:left w:val="nil"/>
              <w:bottom w:val="single" w:sz="4" w:space="0" w:color="auto"/>
              <w:right w:val="nil"/>
            </w:tcBorders>
            <w:noWrap/>
            <w:vAlign w:val="center"/>
            <w:hideMark/>
          </w:tcPr>
          <w:p w14:paraId="4020B15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354" w:type="dxa"/>
            <w:tcBorders>
              <w:top w:val="nil"/>
              <w:left w:val="nil"/>
              <w:bottom w:val="single" w:sz="4" w:space="0" w:color="auto"/>
              <w:right w:val="nil"/>
            </w:tcBorders>
            <w:noWrap/>
            <w:vAlign w:val="center"/>
            <w:hideMark/>
          </w:tcPr>
          <w:p w14:paraId="413FF26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0.48, (1-2)</w:t>
            </w:r>
          </w:p>
        </w:tc>
        <w:tc>
          <w:tcPr>
            <w:tcW w:w="1486" w:type="dxa"/>
            <w:tcBorders>
              <w:top w:val="nil"/>
              <w:left w:val="nil"/>
              <w:bottom w:val="single" w:sz="4" w:space="0" w:color="auto"/>
              <w:right w:val="nil"/>
            </w:tcBorders>
            <w:noWrap/>
            <w:vAlign w:val="center"/>
            <w:hideMark/>
          </w:tcPr>
          <w:p w14:paraId="4D43422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1.27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0.46, (1-2)</w:t>
            </w:r>
          </w:p>
        </w:tc>
        <w:tc>
          <w:tcPr>
            <w:tcW w:w="1266" w:type="dxa"/>
            <w:tcBorders>
              <w:top w:val="nil"/>
              <w:left w:val="nil"/>
              <w:bottom w:val="single" w:sz="4" w:space="0" w:color="auto"/>
              <w:right w:val="nil"/>
            </w:tcBorders>
            <w:noWrap/>
            <w:vAlign w:val="center"/>
            <w:hideMark/>
          </w:tcPr>
          <w:p w14:paraId="284E42E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0.58, (1-2)</w:t>
            </w:r>
          </w:p>
        </w:tc>
        <w:tc>
          <w:tcPr>
            <w:tcW w:w="1350" w:type="dxa"/>
            <w:tcBorders>
              <w:top w:val="nil"/>
              <w:left w:val="nil"/>
              <w:bottom w:val="single" w:sz="4" w:space="0" w:color="auto"/>
              <w:right w:val="nil"/>
            </w:tcBorders>
            <w:noWrap/>
            <w:vAlign w:val="center"/>
            <w:hideMark/>
          </w:tcPr>
          <w:p w14:paraId="5D69D5E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1.26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0.45, (1-2)</w:t>
            </w:r>
          </w:p>
        </w:tc>
      </w:tr>
      <w:tr w:rsidR="00C171AF" w14:paraId="76F83B1E" w14:textId="77777777" w:rsidTr="003B0468">
        <w:trPr>
          <w:trHeight w:val="20"/>
        </w:trPr>
        <w:tc>
          <w:tcPr>
            <w:tcW w:w="882" w:type="dxa"/>
            <w:vMerge/>
            <w:tcBorders>
              <w:top w:val="single" w:sz="4" w:space="0" w:color="auto"/>
              <w:left w:val="nil"/>
              <w:bottom w:val="single" w:sz="4" w:space="0" w:color="000000"/>
              <w:right w:val="nil"/>
            </w:tcBorders>
            <w:vAlign w:val="center"/>
            <w:hideMark/>
          </w:tcPr>
          <w:p w14:paraId="1E18200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single" w:sz="4" w:space="0" w:color="auto"/>
              <w:right w:val="nil"/>
            </w:tcBorders>
            <w:vAlign w:val="center"/>
            <w:hideMark/>
          </w:tcPr>
          <w:p w14:paraId="1E90E37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Dis</w:t>
            </w:r>
          </w:p>
        </w:tc>
        <w:tc>
          <w:tcPr>
            <w:tcW w:w="1166" w:type="dxa"/>
            <w:tcBorders>
              <w:top w:val="nil"/>
              <w:left w:val="nil"/>
              <w:bottom w:val="single" w:sz="4" w:space="0" w:color="auto"/>
              <w:right w:val="nil"/>
            </w:tcBorders>
            <w:noWrap/>
            <w:vAlign w:val="center"/>
            <w:hideMark/>
          </w:tcPr>
          <w:p w14:paraId="3774086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(2-2)</w:t>
            </w:r>
          </w:p>
        </w:tc>
        <w:tc>
          <w:tcPr>
            <w:tcW w:w="1190" w:type="dxa"/>
            <w:tcBorders>
              <w:top w:val="nil"/>
              <w:left w:val="nil"/>
              <w:bottom w:val="single" w:sz="4" w:space="0" w:color="auto"/>
              <w:right w:val="nil"/>
            </w:tcBorders>
            <w:noWrap/>
            <w:vAlign w:val="center"/>
            <w:hideMark/>
          </w:tcPr>
          <w:p w14:paraId="79742B8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154" w:type="dxa"/>
            <w:tcBorders>
              <w:top w:val="nil"/>
              <w:left w:val="nil"/>
              <w:bottom w:val="single" w:sz="4" w:space="0" w:color="auto"/>
              <w:right w:val="nil"/>
            </w:tcBorders>
            <w:noWrap/>
            <w:vAlign w:val="center"/>
            <w:hideMark/>
          </w:tcPr>
          <w:p w14:paraId="78B652B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1.80</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0.76, (1-4)</w:t>
            </w:r>
          </w:p>
        </w:tc>
        <w:tc>
          <w:tcPr>
            <w:tcW w:w="1271" w:type="dxa"/>
            <w:tcBorders>
              <w:top w:val="nil"/>
              <w:left w:val="nil"/>
              <w:bottom w:val="single" w:sz="4" w:space="0" w:color="auto"/>
              <w:right w:val="nil"/>
            </w:tcBorders>
            <w:noWrap/>
            <w:vAlign w:val="center"/>
            <w:hideMark/>
          </w:tcPr>
          <w:p w14:paraId="058F7EA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1.27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0.91, (0-3)</w:t>
            </w:r>
          </w:p>
        </w:tc>
        <w:tc>
          <w:tcPr>
            <w:tcW w:w="1260" w:type="dxa"/>
            <w:tcBorders>
              <w:top w:val="nil"/>
              <w:left w:val="nil"/>
              <w:bottom w:val="single" w:sz="4" w:space="0" w:color="auto"/>
              <w:right w:val="nil"/>
            </w:tcBorders>
            <w:vAlign w:val="center"/>
          </w:tcPr>
          <w:p w14:paraId="6CFAE6F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260" w:type="dxa"/>
            <w:tcBorders>
              <w:top w:val="nil"/>
              <w:left w:val="nil"/>
              <w:bottom w:val="single" w:sz="4" w:space="0" w:color="auto"/>
              <w:right w:val="nil"/>
            </w:tcBorders>
            <w:noWrap/>
            <w:vAlign w:val="center"/>
            <w:hideMark/>
          </w:tcPr>
          <w:p w14:paraId="707AABA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166" w:type="dxa"/>
            <w:tcBorders>
              <w:top w:val="nil"/>
              <w:left w:val="nil"/>
              <w:bottom w:val="single" w:sz="4" w:space="0" w:color="auto"/>
              <w:right w:val="nil"/>
            </w:tcBorders>
            <w:noWrap/>
            <w:vAlign w:val="center"/>
            <w:hideMark/>
          </w:tcPr>
          <w:p w14:paraId="2D18FD1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w:t>
            </w:r>
          </w:p>
        </w:tc>
        <w:tc>
          <w:tcPr>
            <w:tcW w:w="1354" w:type="dxa"/>
            <w:tcBorders>
              <w:top w:val="nil"/>
              <w:left w:val="nil"/>
              <w:bottom w:val="single" w:sz="4" w:space="0" w:color="auto"/>
              <w:right w:val="nil"/>
            </w:tcBorders>
            <w:noWrap/>
            <w:vAlign w:val="center"/>
            <w:hideMark/>
          </w:tcPr>
          <w:p w14:paraId="32B13A5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0.48, (1-2)</w:t>
            </w:r>
          </w:p>
        </w:tc>
        <w:tc>
          <w:tcPr>
            <w:tcW w:w="1486" w:type="dxa"/>
            <w:tcBorders>
              <w:top w:val="nil"/>
              <w:left w:val="nil"/>
              <w:bottom w:val="single" w:sz="4" w:space="0" w:color="auto"/>
              <w:right w:val="nil"/>
            </w:tcBorders>
            <w:noWrap/>
            <w:vAlign w:val="center"/>
            <w:hideMark/>
          </w:tcPr>
          <w:p w14:paraId="5417C1D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0.92, (1-3)</w:t>
            </w:r>
          </w:p>
        </w:tc>
        <w:tc>
          <w:tcPr>
            <w:tcW w:w="1266" w:type="dxa"/>
            <w:tcBorders>
              <w:top w:val="nil"/>
              <w:left w:val="nil"/>
              <w:bottom w:val="single" w:sz="4" w:space="0" w:color="auto"/>
              <w:right w:val="nil"/>
            </w:tcBorders>
            <w:noWrap/>
            <w:vAlign w:val="center"/>
            <w:hideMark/>
          </w:tcPr>
          <w:p w14:paraId="2E73613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0.58, (1-2)</w:t>
            </w:r>
          </w:p>
        </w:tc>
        <w:tc>
          <w:tcPr>
            <w:tcW w:w="1350" w:type="dxa"/>
            <w:tcBorders>
              <w:top w:val="nil"/>
              <w:left w:val="nil"/>
              <w:bottom w:val="single" w:sz="4" w:space="0" w:color="auto"/>
              <w:right w:val="nil"/>
            </w:tcBorders>
            <w:noWrap/>
            <w:vAlign w:val="center"/>
            <w:hideMark/>
          </w:tcPr>
          <w:p w14:paraId="1B646EB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0.9, (1-3)</w:t>
            </w:r>
          </w:p>
        </w:tc>
      </w:tr>
      <w:tr w:rsidR="00C171AF" w14:paraId="56E2AB6A" w14:textId="77777777" w:rsidTr="003B0468">
        <w:trPr>
          <w:trHeight w:val="20"/>
        </w:trPr>
        <w:tc>
          <w:tcPr>
            <w:tcW w:w="882" w:type="dxa"/>
            <w:vMerge w:val="restart"/>
            <w:tcBorders>
              <w:top w:val="single" w:sz="4" w:space="0" w:color="auto"/>
              <w:left w:val="nil"/>
              <w:bottom w:val="single" w:sz="4" w:space="0" w:color="auto"/>
              <w:right w:val="nil"/>
            </w:tcBorders>
            <w:vAlign w:val="center"/>
            <w:hideMark/>
          </w:tcPr>
          <w:p w14:paraId="2C00E98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Skin irritation</w:t>
            </w:r>
          </w:p>
        </w:tc>
        <w:tc>
          <w:tcPr>
            <w:tcW w:w="619" w:type="dxa"/>
            <w:tcBorders>
              <w:top w:val="single" w:sz="4" w:space="0" w:color="auto"/>
              <w:left w:val="nil"/>
              <w:bottom w:val="nil"/>
              <w:right w:val="nil"/>
            </w:tcBorders>
            <w:vAlign w:val="center"/>
            <w:hideMark/>
          </w:tcPr>
          <w:p w14:paraId="3A0BD52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 (%)</w:t>
            </w:r>
          </w:p>
        </w:tc>
        <w:tc>
          <w:tcPr>
            <w:tcW w:w="1166" w:type="dxa"/>
            <w:tcBorders>
              <w:top w:val="single" w:sz="4" w:space="0" w:color="auto"/>
              <w:left w:val="nil"/>
              <w:bottom w:val="nil"/>
              <w:right w:val="nil"/>
            </w:tcBorders>
            <w:noWrap/>
            <w:vAlign w:val="center"/>
            <w:hideMark/>
          </w:tcPr>
          <w:p w14:paraId="72FD35B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 (21.5%)</w:t>
            </w:r>
          </w:p>
        </w:tc>
        <w:tc>
          <w:tcPr>
            <w:tcW w:w="1190" w:type="dxa"/>
            <w:tcBorders>
              <w:top w:val="single" w:sz="4" w:space="0" w:color="auto"/>
              <w:left w:val="nil"/>
              <w:bottom w:val="nil"/>
              <w:right w:val="nil"/>
            </w:tcBorders>
            <w:noWrap/>
            <w:vAlign w:val="center"/>
            <w:hideMark/>
          </w:tcPr>
          <w:p w14:paraId="7701E98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 (30.8%)</w:t>
            </w:r>
          </w:p>
        </w:tc>
        <w:tc>
          <w:tcPr>
            <w:tcW w:w="1154" w:type="dxa"/>
            <w:tcBorders>
              <w:top w:val="single" w:sz="4" w:space="0" w:color="auto"/>
              <w:left w:val="nil"/>
              <w:bottom w:val="nil"/>
              <w:right w:val="nil"/>
            </w:tcBorders>
            <w:vAlign w:val="center"/>
            <w:hideMark/>
          </w:tcPr>
          <w:p w14:paraId="1F6876E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xml:space="preserve">51 </w:t>
            </w:r>
            <w:bookmarkStart w:id="18" w:name="_Hlk182110502"/>
            <w:r w:rsidRPr="002F2BEA">
              <w:rPr>
                <w:rFonts w:asciiTheme="majorBidi" w:eastAsia="Times New Roman" w:hAnsiTheme="majorBidi" w:cstheme="majorBidi"/>
                <w:sz w:val="14"/>
                <w:szCs w:val="14"/>
                <w:lang w:eastAsia="en-US"/>
              </w:rPr>
              <w:t>(</w:t>
            </w:r>
            <w:r w:rsidRPr="002F2BEA">
              <w:rPr>
                <w:rFonts w:asciiTheme="majorBidi" w:eastAsia="Times New Roman" w:hAnsiTheme="majorBidi" w:cstheme="majorBidi"/>
                <w:b/>
                <w:bCs/>
                <w:sz w:val="14"/>
                <w:szCs w:val="14"/>
                <w:lang w:eastAsia="en-US"/>
              </w:rPr>
              <w:t>96.2%)</w:t>
            </w:r>
            <w:bookmarkEnd w:id="18"/>
          </w:p>
        </w:tc>
        <w:tc>
          <w:tcPr>
            <w:tcW w:w="1271" w:type="dxa"/>
            <w:tcBorders>
              <w:top w:val="single" w:sz="4" w:space="0" w:color="auto"/>
              <w:left w:val="nil"/>
              <w:bottom w:val="nil"/>
              <w:right w:val="nil"/>
            </w:tcBorders>
            <w:noWrap/>
            <w:vAlign w:val="center"/>
            <w:hideMark/>
          </w:tcPr>
          <w:p w14:paraId="05A6187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35 (25.7%)</w:t>
            </w:r>
          </w:p>
        </w:tc>
        <w:tc>
          <w:tcPr>
            <w:tcW w:w="1260" w:type="dxa"/>
            <w:tcBorders>
              <w:top w:val="single" w:sz="4" w:space="0" w:color="auto"/>
              <w:left w:val="nil"/>
              <w:bottom w:val="nil"/>
              <w:right w:val="nil"/>
            </w:tcBorders>
            <w:noWrap/>
            <w:vAlign w:val="center"/>
            <w:hideMark/>
          </w:tcPr>
          <w:p w14:paraId="50056EF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 (15.38%)</w:t>
            </w:r>
          </w:p>
        </w:tc>
        <w:tc>
          <w:tcPr>
            <w:tcW w:w="1260" w:type="dxa"/>
            <w:tcBorders>
              <w:top w:val="single" w:sz="4" w:space="0" w:color="auto"/>
              <w:left w:val="nil"/>
              <w:bottom w:val="nil"/>
              <w:right w:val="nil"/>
            </w:tcBorders>
            <w:noWrap/>
            <w:vAlign w:val="center"/>
            <w:hideMark/>
          </w:tcPr>
          <w:p w14:paraId="7B7DC1A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 (15%)</w:t>
            </w:r>
          </w:p>
        </w:tc>
        <w:tc>
          <w:tcPr>
            <w:tcW w:w="1166" w:type="dxa"/>
            <w:tcBorders>
              <w:top w:val="single" w:sz="4" w:space="0" w:color="auto"/>
              <w:left w:val="nil"/>
              <w:bottom w:val="nil"/>
              <w:right w:val="nil"/>
            </w:tcBorders>
            <w:noWrap/>
            <w:vAlign w:val="center"/>
            <w:hideMark/>
          </w:tcPr>
          <w:p w14:paraId="227A328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4, (9.3%)</w:t>
            </w:r>
          </w:p>
        </w:tc>
        <w:tc>
          <w:tcPr>
            <w:tcW w:w="1354" w:type="dxa"/>
            <w:tcBorders>
              <w:top w:val="single" w:sz="4" w:space="0" w:color="auto"/>
              <w:left w:val="nil"/>
              <w:bottom w:val="nil"/>
              <w:right w:val="nil"/>
            </w:tcBorders>
            <w:noWrap/>
            <w:vAlign w:val="center"/>
            <w:hideMark/>
          </w:tcPr>
          <w:p w14:paraId="44F1346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11 (11%)</w:t>
            </w:r>
          </w:p>
        </w:tc>
        <w:tc>
          <w:tcPr>
            <w:tcW w:w="1486" w:type="dxa"/>
            <w:tcBorders>
              <w:top w:val="single" w:sz="4" w:space="0" w:color="auto"/>
              <w:left w:val="nil"/>
              <w:bottom w:val="nil"/>
              <w:right w:val="nil"/>
            </w:tcBorders>
            <w:noWrap/>
            <w:vAlign w:val="center"/>
            <w:hideMark/>
          </w:tcPr>
          <w:p w14:paraId="7473C7E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28 (28%)</w:t>
            </w:r>
          </w:p>
        </w:tc>
        <w:tc>
          <w:tcPr>
            <w:tcW w:w="1266" w:type="dxa"/>
            <w:tcBorders>
              <w:top w:val="single" w:sz="4" w:space="0" w:color="auto"/>
              <w:left w:val="nil"/>
              <w:bottom w:val="nil"/>
              <w:right w:val="nil"/>
            </w:tcBorders>
            <w:noWrap/>
            <w:vAlign w:val="center"/>
            <w:hideMark/>
          </w:tcPr>
          <w:p w14:paraId="18C7DDA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 (2%)</w:t>
            </w:r>
          </w:p>
        </w:tc>
        <w:tc>
          <w:tcPr>
            <w:tcW w:w="1350" w:type="dxa"/>
            <w:tcBorders>
              <w:top w:val="single" w:sz="4" w:space="0" w:color="auto"/>
              <w:left w:val="nil"/>
              <w:bottom w:val="nil"/>
              <w:right w:val="nil"/>
            </w:tcBorders>
            <w:noWrap/>
            <w:vAlign w:val="center"/>
            <w:hideMark/>
          </w:tcPr>
          <w:p w14:paraId="468E29B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 (25%)</w:t>
            </w:r>
          </w:p>
        </w:tc>
      </w:tr>
      <w:tr w:rsidR="00C171AF" w14:paraId="3EC95C5B" w14:textId="77777777" w:rsidTr="003B0468">
        <w:trPr>
          <w:trHeight w:val="152"/>
        </w:trPr>
        <w:tc>
          <w:tcPr>
            <w:tcW w:w="882" w:type="dxa"/>
            <w:vMerge/>
            <w:tcBorders>
              <w:top w:val="nil"/>
              <w:left w:val="nil"/>
              <w:bottom w:val="single" w:sz="4" w:space="0" w:color="auto"/>
              <w:right w:val="nil"/>
            </w:tcBorders>
            <w:vAlign w:val="center"/>
            <w:hideMark/>
          </w:tcPr>
          <w:p w14:paraId="50D6F73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single" w:sz="4" w:space="0" w:color="auto"/>
              <w:left w:val="nil"/>
              <w:bottom w:val="single" w:sz="4" w:space="0" w:color="auto"/>
              <w:right w:val="nil"/>
            </w:tcBorders>
            <w:vAlign w:val="center"/>
            <w:hideMark/>
          </w:tcPr>
          <w:p w14:paraId="61D706E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Freq</w:t>
            </w:r>
          </w:p>
        </w:tc>
        <w:tc>
          <w:tcPr>
            <w:tcW w:w="1166" w:type="dxa"/>
            <w:tcBorders>
              <w:top w:val="single" w:sz="4" w:space="0" w:color="auto"/>
              <w:left w:val="nil"/>
              <w:bottom w:val="single" w:sz="4" w:space="0" w:color="auto"/>
              <w:right w:val="nil"/>
            </w:tcBorders>
            <w:noWrap/>
            <w:vAlign w:val="center"/>
            <w:hideMark/>
          </w:tcPr>
          <w:p w14:paraId="11305A1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2.86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0.36, (2-3)</w:t>
            </w:r>
          </w:p>
        </w:tc>
        <w:tc>
          <w:tcPr>
            <w:tcW w:w="1190" w:type="dxa"/>
            <w:tcBorders>
              <w:top w:val="single" w:sz="4" w:space="0" w:color="auto"/>
              <w:left w:val="nil"/>
              <w:bottom w:val="single" w:sz="4" w:space="0" w:color="auto"/>
              <w:right w:val="nil"/>
            </w:tcBorders>
            <w:noWrap/>
            <w:vAlign w:val="center"/>
            <w:hideMark/>
          </w:tcPr>
          <w:p w14:paraId="06FC97C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0.51, (1-2)</w:t>
            </w:r>
          </w:p>
        </w:tc>
        <w:tc>
          <w:tcPr>
            <w:tcW w:w="1154" w:type="dxa"/>
            <w:tcBorders>
              <w:top w:val="single" w:sz="4" w:space="0" w:color="auto"/>
              <w:left w:val="nil"/>
              <w:bottom w:val="single" w:sz="4" w:space="0" w:color="auto"/>
              <w:right w:val="nil"/>
            </w:tcBorders>
            <w:noWrap/>
            <w:vAlign w:val="center"/>
            <w:hideMark/>
          </w:tcPr>
          <w:p w14:paraId="235726A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2.20</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0.69, (1-3)</w:t>
            </w:r>
          </w:p>
        </w:tc>
        <w:tc>
          <w:tcPr>
            <w:tcW w:w="1271" w:type="dxa"/>
            <w:tcBorders>
              <w:top w:val="single" w:sz="4" w:space="0" w:color="auto"/>
              <w:left w:val="nil"/>
              <w:bottom w:val="single" w:sz="4" w:space="0" w:color="auto"/>
              <w:right w:val="nil"/>
            </w:tcBorders>
            <w:noWrap/>
            <w:vAlign w:val="center"/>
            <w:hideMark/>
          </w:tcPr>
          <w:p w14:paraId="61719B9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0.44, (1-2)</w:t>
            </w:r>
          </w:p>
        </w:tc>
        <w:tc>
          <w:tcPr>
            <w:tcW w:w="1260" w:type="dxa"/>
            <w:tcBorders>
              <w:top w:val="single" w:sz="4" w:space="0" w:color="auto"/>
              <w:left w:val="nil"/>
              <w:bottom w:val="single" w:sz="4" w:space="0" w:color="auto"/>
              <w:right w:val="nil"/>
            </w:tcBorders>
            <w:noWrap/>
            <w:vAlign w:val="center"/>
            <w:hideMark/>
          </w:tcPr>
          <w:p w14:paraId="5E6AFD6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1.50</w:t>
            </w:r>
          </w:p>
        </w:tc>
        <w:tc>
          <w:tcPr>
            <w:tcW w:w="1260" w:type="dxa"/>
            <w:tcBorders>
              <w:top w:val="single" w:sz="4" w:space="0" w:color="auto"/>
              <w:left w:val="nil"/>
              <w:bottom w:val="single" w:sz="4" w:space="0" w:color="auto"/>
              <w:right w:val="nil"/>
            </w:tcBorders>
            <w:noWrap/>
            <w:vAlign w:val="center"/>
            <w:hideMark/>
          </w:tcPr>
          <w:p w14:paraId="4987EA1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2.33</w:t>
            </w:r>
          </w:p>
        </w:tc>
        <w:tc>
          <w:tcPr>
            <w:tcW w:w="1166" w:type="dxa"/>
            <w:tcBorders>
              <w:top w:val="single" w:sz="4" w:space="0" w:color="auto"/>
              <w:left w:val="nil"/>
              <w:bottom w:val="single" w:sz="4" w:space="0" w:color="auto"/>
              <w:right w:val="nil"/>
            </w:tcBorders>
            <w:noWrap/>
            <w:vAlign w:val="center"/>
            <w:hideMark/>
          </w:tcPr>
          <w:p w14:paraId="7E2CBC3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1.00</w:t>
            </w:r>
          </w:p>
        </w:tc>
        <w:tc>
          <w:tcPr>
            <w:tcW w:w="1354" w:type="dxa"/>
            <w:tcBorders>
              <w:top w:val="single" w:sz="4" w:space="0" w:color="auto"/>
              <w:left w:val="nil"/>
              <w:bottom w:val="single" w:sz="4" w:space="0" w:color="auto"/>
              <w:right w:val="nil"/>
            </w:tcBorders>
            <w:noWrap/>
            <w:vAlign w:val="center"/>
            <w:hideMark/>
          </w:tcPr>
          <w:p w14:paraId="153C67F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2.36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 (2-3)</w:t>
            </w:r>
          </w:p>
        </w:tc>
        <w:tc>
          <w:tcPr>
            <w:tcW w:w="1486" w:type="dxa"/>
            <w:tcBorders>
              <w:top w:val="single" w:sz="4" w:space="0" w:color="auto"/>
              <w:left w:val="nil"/>
              <w:bottom w:val="single" w:sz="4" w:space="0" w:color="auto"/>
              <w:right w:val="nil"/>
            </w:tcBorders>
            <w:noWrap/>
            <w:vAlign w:val="center"/>
            <w:hideMark/>
          </w:tcPr>
          <w:p w14:paraId="496E13C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0.48, (1-1)</w:t>
            </w:r>
          </w:p>
        </w:tc>
        <w:tc>
          <w:tcPr>
            <w:tcW w:w="1266" w:type="dxa"/>
            <w:tcBorders>
              <w:top w:val="single" w:sz="4" w:space="0" w:color="auto"/>
              <w:left w:val="nil"/>
              <w:bottom w:val="single" w:sz="4" w:space="0" w:color="auto"/>
              <w:right w:val="nil"/>
            </w:tcBorders>
            <w:vAlign w:val="center"/>
          </w:tcPr>
          <w:p w14:paraId="1EF97BF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350" w:type="dxa"/>
            <w:tcBorders>
              <w:top w:val="single" w:sz="4" w:space="0" w:color="auto"/>
              <w:left w:val="nil"/>
              <w:bottom w:val="single" w:sz="4" w:space="0" w:color="auto"/>
              <w:right w:val="nil"/>
            </w:tcBorders>
            <w:noWrap/>
            <w:vAlign w:val="center"/>
            <w:hideMark/>
          </w:tcPr>
          <w:p w14:paraId="641618F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 (1-2)</w:t>
            </w:r>
          </w:p>
        </w:tc>
      </w:tr>
      <w:tr w:rsidR="00C171AF" w14:paraId="398E9DB0" w14:textId="77777777" w:rsidTr="003B0468">
        <w:trPr>
          <w:trHeight w:val="76"/>
        </w:trPr>
        <w:tc>
          <w:tcPr>
            <w:tcW w:w="882" w:type="dxa"/>
            <w:vMerge/>
            <w:tcBorders>
              <w:top w:val="nil"/>
              <w:left w:val="nil"/>
              <w:bottom w:val="single" w:sz="4" w:space="0" w:color="auto"/>
              <w:right w:val="nil"/>
            </w:tcBorders>
            <w:vAlign w:val="center"/>
            <w:hideMark/>
          </w:tcPr>
          <w:p w14:paraId="4DE8DC9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single" w:sz="4" w:space="0" w:color="auto"/>
              <w:right w:val="nil"/>
            </w:tcBorders>
            <w:vAlign w:val="center"/>
            <w:hideMark/>
          </w:tcPr>
          <w:p w14:paraId="7964266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Sev</w:t>
            </w:r>
          </w:p>
        </w:tc>
        <w:tc>
          <w:tcPr>
            <w:tcW w:w="1166" w:type="dxa"/>
            <w:tcBorders>
              <w:top w:val="nil"/>
              <w:left w:val="nil"/>
              <w:bottom w:val="single" w:sz="4" w:space="0" w:color="auto"/>
              <w:right w:val="nil"/>
            </w:tcBorders>
            <w:noWrap/>
            <w:vAlign w:val="center"/>
            <w:hideMark/>
          </w:tcPr>
          <w:p w14:paraId="1223616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0.36, (1-2)</w:t>
            </w:r>
          </w:p>
        </w:tc>
        <w:tc>
          <w:tcPr>
            <w:tcW w:w="1190" w:type="dxa"/>
            <w:tcBorders>
              <w:top w:val="nil"/>
              <w:left w:val="nil"/>
              <w:bottom w:val="single" w:sz="4" w:space="0" w:color="auto"/>
              <w:right w:val="nil"/>
            </w:tcBorders>
            <w:noWrap/>
            <w:vAlign w:val="center"/>
            <w:hideMark/>
          </w:tcPr>
          <w:p w14:paraId="725C16E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0.81, (1-3)</w:t>
            </w:r>
          </w:p>
        </w:tc>
        <w:tc>
          <w:tcPr>
            <w:tcW w:w="1154" w:type="dxa"/>
            <w:tcBorders>
              <w:top w:val="nil"/>
              <w:left w:val="nil"/>
              <w:bottom w:val="single" w:sz="4" w:space="0" w:color="auto"/>
              <w:right w:val="nil"/>
            </w:tcBorders>
            <w:noWrap/>
            <w:vAlign w:val="center"/>
            <w:hideMark/>
          </w:tcPr>
          <w:p w14:paraId="51E7E3D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1.98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0.84, (1-4)</w:t>
            </w:r>
          </w:p>
        </w:tc>
        <w:tc>
          <w:tcPr>
            <w:tcW w:w="1271" w:type="dxa"/>
            <w:tcBorders>
              <w:top w:val="nil"/>
              <w:left w:val="nil"/>
              <w:bottom w:val="single" w:sz="4" w:space="0" w:color="auto"/>
              <w:right w:val="nil"/>
            </w:tcBorders>
            <w:noWrap/>
            <w:vAlign w:val="center"/>
            <w:hideMark/>
          </w:tcPr>
          <w:p w14:paraId="481C072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0.97, (1-4)</w:t>
            </w:r>
          </w:p>
        </w:tc>
        <w:tc>
          <w:tcPr>
            <w:tcW w:w="1260" w:type="dxa"/>
            <w:tcBorders>
              <w:top w:val="nil"/>
              <w:left w:val="nil"/>
              <w:bottom w:val="single" w:sz="4" w:space="0" w:color="auto"/>
              <w:right w:val="nil"/>
            </w:tcBorders>
            <w:noWrap/>
            <w:vAlign w:val="center"/>
            <w:hideMark/>
          </w:tcPr>
          <w:p w14:paraId="764BDD9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1.00</w:t>
            </w:r>
          </w:p>
        </w:tc>
        <w:tc>
          <w:tcPr>
            <w:tcW w:w="1260" w:type="dxa"/>
            <w:tcBorders>
              <w:top w:val="nil"/>
              <w:left w:val="nil"/>
              <w:bottom w:val="single" w:sz="4" w:space="0" w:color="auto"/>
              <w:right w:val="nil"/>
            </w:tcBorders>
            <w:noWrap/>
            <w:vAlign w:val="center"/>
            <w:hideMark/>
          </w:tcPr>
          <w:p w14:paraId="5780524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1.67</w:t>
            </w:r>
          </w:p>
        </w:tc>
        <w:tc>
          <w:tcPr>
            <w:tcW w:w="1166" w:type="dxa"/>
            <w:tcBorders>
              <w:top w:val="nil"/>
              <w:left w:val="nil"/>
              <w:bottom w:val="single" w:sz="4" w:space="0" w:color="auto"/>
              <w:right w:val="nil"/>
            </w:tcBorders>
            <w:noWrap/>
            <w:vAlign w:val="center"/>
            <w:hideMark/>
          </w:tcPr>
          <w:p w14:paraId="70E0593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1.00</w:t>
            </w:r>
          </w:p>
        </w:tc>
        <w:tc>
          <w:tcPr>
            <w:tcW w:w="1354" w:type="dxa"/>
            <w:tcBorders>
              <w:top w:val="nil"/>
              <w:left w:val="nil"/>
              <w:bottom w:val="single" w:sz="4" w:space="0" w:color="auto"/>
              <w:right w:val="nil"/>
            </w:tcBorders>
            <w:noWrap/>
            <w:vAlign w:val="center"/>
            <w:hideMark/>
          </w:tcPr>
          <w:p w14:paraId="69CB3F0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 (1-2)</w:t>
            </w:r>
          </w:p>
        </w:tc>
        <w:tc>
          <w:tcPr>
            <w:tcW w:w="1486" w:type="dxa"/>
            <w:tcBorders>
              <w:top w:val="nil"/>
              <w:left w:val="nil"/>
              <w:bottom w:val="single" w:sz="4" w:space="0" w:color="auto"/>
              <w:right w:val="nil"/>
            </w:tcBorders>
            <w:noWrap/>
            <w:vAlign w:val="center"/>
            <w:hideMark/>
          </w:tcPr>
          <w:p w14:paraId="353E34F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266" w:type="dxa"/>
            <w:tcBorders>
              <w:top w:val="nil"/>
              <w:left w:val="nil"/>
              <w:bottom w:val="single" w:sz="4" w:space="0" w:color="auto"/>
              <w:right w:val="nil"/>
            </w:tcBorders>
            <w:noWrap/>
            <w:vAlign w:val="center"/>
            <w:hideMark/>
          </w:tcPr>
          <w:p w14:paraId="2E834C9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350" w:type="dxa"/>
            <w:tcBorders>
              <w:top w:val="nil"/>
              <w:left w:val="nil"/>
              <w:bottom w:val="single" w:sz="4" w:space="0" w:color="auto"/>
              <w:right w:val="nil"/>
            </w:tcBorders>
            <w:noWrap/>
            <w:vAlign w:val="center"/>
            <w:hideMark/>
          </w:tcPr>
          <w:p w14:paraId="7E1CFFC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 (1-2)</w:t>
            </w:r>
          </w:p>
        </w:tc>
      </w:tr>
      <w:tr w:rsidR="00C171AF" w14:paraId="5C107681" w14:textId="77777777" w:rsidTr="003B0468">
        <w:trPr>
          <w:trHeight w:val="20"/>
        </w:trPr>
        <w:tc>
          <w:tcPr>
            <w:tcW w:w="882" w:type="dxa"/>
            <w:vMerge/>
            <w:tcBorders>
              <w:top w:val="nil"/>
              <w:left w:val="nil"/>
              <w:bottom w:val="single" w:sz="4" w:space="0" w:color="auto"/>
              <w:right w:val="nil"/>
            </w:tcBorders>
            <w:vAlign w:val="center"/>
            <w:hideMark/>
          </w:tcPr>
          <w:p w14:paraId="2F443B9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single" w:sz="4" w:space="0" w:color="auto"/>
              <w:left w:val="nil"/>
              <w:bottom w:val="single" w:sz="4" w:space="0" w:color="auto"/>
              <w:right w:val="nil"/>
            </w:tcBorders>
            <w:vAlign w:val="center"/>
            <w:hideMark/>
          </w:tcPr>
          <w:p w14:paraId="67AEAA6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Dis</w:t>
            </w:r>
          </w:p>
        </w:tc>
        <w:tc>
          <w:tcPr>
            <w:tcW w:w="1166" w:type="dxa"/>
            <w:tcBorders>
              <w:top w:val="single" w:sz="4" w:space="0" w:color="auto"/>
              <w:left w:val="nil"/>
              <w:bottom w:val="single" w:sz="4" w:space="0" w:color="auto"/>
              <w:right w:val="nil"/>
            </w:tcBorders>
            <w:noWrap/>
            <w:vAlign w:val="center"/>
            <w:hideMark/>
          </w:tcPr>
          <w:p w14:paraId="32CB309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0.76, (1-3)</w:t>
            </w:r>
          </w:p>
        </w:tc>
        <w:tc>
          <w:tcPr>
            <w:tcW w:w="1190" w:type="dxa"/>
            <w:tcBorders>
              <w:top w:val="single" w:sz="4" w:space="0" w:color="auto"/>
              <w:left w:val="nil"/>
              <w:bottom w:val="single" w:sz="4" w:space="0" w:color="auto"/>
              <w:right w:val="nil"/>
            </w:tcBorders>
            <w:noWrap/>
            <w:vAlign w:val="center"/>
            <w:hideMark/>
          </w:tcPr>
          <w:p w14:paraId="3814EE0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0.95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0.69, (0-2)</w:t>
            </w:r>
          </w:p>
        </w:tc>
        <w:tc>
          <w:tcPr>
            <w:tcW w:w="1154" w:type="dxa"/>
            <w:tcBorders>
              <w:top w:val="single" w:sz="4" w:space="0" w:color="auto"/>
              <w:left w:val="nil"/>
              <w:bottom w:val="single" w:sz="4" w:space="0" w:color="auto"/>
              <w:right w:val="nil"/>
            </w:tcBorders>
            <w:noWrap/>
            <w:vAlign w:val="center"/>
            <w:hideMark/>
          </w:tcPr>
          <w:p w14:paraId="15FC20B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0.71, (1-4)</w:t>
            </w:r>
          </w:p>
        </w:tc>
        <w:tc>
          <w:tcPr>
            <w:tcW w:w="1271" w:type="dxa"/>
            <w:tcBorders>
              <w:top w:val="single" w:sz="4" w:space="0" w:color="auto"/>
              <w:left w:val="nil"/>
              <w:bottom w:val="single" w:sz="4" w:space="0" w:color="auto"/>
              <w:right w:val="nil"/>
            </w:tcBorders>
            <w:noWrap/>
            <w:vAlign w:val="center"/>
            <w:hideMark/>
          </w:tcPr>
          <w:p w14:paraId="0480D43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1.37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1.11, (0-4)</w:t>
            </w:r>
          </w:p>
        </w:tc>
        <w:tc>
          <w:tcPr>
            <w:tcW w:w="1260" w:type="dxa"/>
            <w:tcBorders>
              <w:top w:val="single" w:sz="4" w:space="0" w:color="auto"/>
              <w:left w:val="nil"/>
              <w:bottom w:val="single" w:sz="4" w:space="0" w:color="auto"/>
              <w:right w:val="nil"/>
            </w:tcBorders>
            <w:noWrap/>
            <w:vAlign w:val="center"/>
            <w:hideMark/>
          </w:tcPr>
          <w:p w14:paraId="5D5A2ED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1.50</w:t>
            </w:r>
          </w:p>
        </w:tc>
        <w:tc>
          <w:tcPr>
            <w:tcW w:w="1260" w:type="dxa"/>
            <w:tcBorders>
              <w:top w:val="single" w:sz="4" w:space="0" w:color="auto"/>
              <w:left w:val="nil"/>
              <w:bottom w:val="single" w:sz="4" w:space="0" w:color="auto"/>
              <w:right w:val="nil"/>
            </w:tcBorders>
            <w:noWrap/>
            <w:vAlign w:val="center"/>
            <w:hideMark/>
          </w:tcPr>
          <w:p w14:paraId="67C4381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1.67</w:t>
            </w:r>
          </w:p>
        </w:tc>
        <w:tc>
          <w:tcPr>
            <w:tcW w:w="1166" w:type="dxa"/>
            <w:tcBorders>
              <w:top w:val="single" w:sz="4" w:space="0" w:color="auto"/>
              <w:left w:val="nil"/>
              <w:bottom w:val="single" w:sz="4" w:space="0" w:color="auto"/>
              <w:right w:val="nil"/>
            </w:tcBorders>
            <w:noWrap/>
            <w:vAlign w:val="center"/>
            <w:hideMark/>
          </w:tcPr>
          <w:p w14:paraId="6DA97EF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1.00</w:t>
            </w:r>
          </w:p>
        </w:tc>
        <w:tc>
          <w:tcPr>
            <w:tcW w:w="1354" w:type="dxa"/>
            <w:tcBorders>
              <w:top w:val="single" w:sz="4" w:space="0" w:color="auto"/>
              <w:left w:val="nil"/>
              <w:bottom w:val="single" w:sz="4" w:space="0" w:color="auto"/>
              <w:right w:val="nil"/>
            </w:tcBorders>
            <w:noWrap/>
            <w:vAlign w:val="center"/>
            <w:hideMark/>
          </w:tcPr>
          <w:p w14:paraId="1A796A3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1.09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 (1-2)</w:t>
            </w:r>
          </w:p>
        </w:tc>
        <w:tc>
          <w:tcPr>
            <w:tcW w:w="1486" w:type="dxa"/>
            <w:tcBorders>
              <w:top w:val="single" w:sz="4" w:space="0" w:color="auto"/>
              <w:left w:val="nil"/>
              <w:bottom w:val="single" w:sz="4" w:space="0" w:color="auto"/>
              <w:right w:val="nil"/>
            </w:tcBorders>
            <w:noWrap/>
            <w:vAlign w:val="center"/>
            <w:hideMark/>
          </w:tcPr>
          <w:p w14:paraId="3EEC330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0.86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0.36, (0-1)</w:t>
            </w:r>
          </w:p>
        </w:tc>
        <w:tc>
          <w:tcPr>
            <w:tcW w:w="1266" w:type="dxa"/>
            <w:tcBorders>
              <w:top w:val="single" w:sz="4" w:space="0" w:color="auto"/>
              <w:left w:val="nil"/>
              <w:bottom w:val="single" w:sz="4" w:space="0" w:color="auto"/>
              <w:right w:val="nil"/>
            </w:tcBorders>
            <w:vAlign w:val="center"/>
          </w:tcPr>
          <w:p w14:paraId="066E106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350" w:type="dxa"/>
            <w:tcBorders>
              <w:top w:val="single" w:sz="4" w:space="0" w:color="auto"/>
              <w:left w:val="nil"/>
              <w:bottom w:val="single" w:sz="4" w:space="0" w:color="auto"/>
              <w:right w:val="nil"/>
            </w:tcBorders>
            <w:noWrap/>
            <w:vAlign w:val="center"/>
            <w:hideMark/>
          </w:tcPr>
          <w:p w14:paraId="4777DAC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r>
      <w:tr w:rsidR="00C171AF" w14:paraId="177C5798" w14:textId="77777777" w:rsidTr="003B0468">
        <w:trPr>
          <w:trHeight w:val="20"/>
        </w:trPr>
        <w:tc>
          <w:tcPr>
            <w:tcW w:w="882" w:type="dxa"/>
            <w:vMerge w:val="restart"/>
            <w:tcBorders>
              <w:top w:val="nil"/>
              <w:left w:val="nil"/>
              <w:right w:val="nil"/>
            </w:tcBorders>
            <w:vAlign w:val="center"/>
          </w:tcPr>
          <w:p w14:paraId="7E9F22E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 xml:space="preserve">Ocular irritation </w:t>
            </w:r>
          </w:p>
        </w:tc>
        <w:tc>
          <w:tcPr>
            <w:tcW w:w="619" w:type="dxa"/>
            <w:tcBorders>
              <w:top w:val="single" w:sz="4" w:space="0" w:color="auto"/>
              <w:left w:val="nil"/>
              <w:bottom w:val="single" w:sz="4" w:space="0" w:color="auto"/>
              <w:right w:val="nil"/>
            </w:tcBorders>
            <w:vAlign w:val="center"/>
          </w:tcPr>
          <w:p w14:paraId="3A0A00C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f (%)</w:t>
            </w:r>
          </w:p>
        </w:tc>
        <w:tc>
          <w:tcPr>
            <w:tcW w:w="1166" w:type="dxa"/>
            <w:tcBorders>
              <w:top w:val="single" w:sz="4" w:space="0" w:color="auto"/>
              <w:left w:val="nil"/>
              <w:bottom w:val="single" w:sz="4" w:space="0" w:color="auto"/>
              <w:right w:val="nil"/>
            </w:tcBorders>
            <w:noWrap/>
            <w:vAlign w:val="center"/>
          </w:tcPr>
          <w:p w14:paraId="2CCCD9F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14 (21.5%)</w:t>
            </w:r>
          </w:p>
        </w:tc>
        <w:tc>
          <w:tcPr>
            <w:tcW w:w="1190" w:type="dxa"/>
            <w:tcBorders>
              <w:top w:val="single" w:sz="4" w:space="0" w:color="auto"/>
              <w:left w:val="nil"/>
              <w:bottom w:val="single" w:sz="4" w:space="0" w:color="auto"/>
              <w:right w:val="nil"/>
            </w:tcBorders>
            <w:noWrap/>
            <w:vAlign w:val="center"/>
          </w:tcPr>
          <w:p w14:paraId="49D396E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2 (3.1%)</w:t>
            </w:r>
          </w:p>
        </w:tc>
        <w:tc>
          <w:tcPr>
            <w:tcW w:w="1154" w:type="dxa"/>
            <w:tcBorders>
              <w:top w:val="single" w:sz="4" w:space="0" w:color="auto"/>
              <w:left w:val="nil"/>
              <w:bottom w:val="single" w:sz="4" w:space="0" w:color="auto"/>
              <w:right w:val="nil"/>
            </w:tcBorders>
            <w:noWrap/>
            <w:vAlign w:val="center"/>
          </w:tcPr>
          <w:p w14:paraId="554FF2A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 xml:space="preserve">49 </w:t>
            </w:r>
            <w:bookmarkStart w:id="19" w:name="_Hlk182110524"/>
            <w:r w:rsidRPr="002F2BEA">
              <w:rPr>
                <w:rFonts w:asciiTheme="majorBidi" w:hAnsiTheme="majorBidi" w:cstheme="majorBidi"/>
                <w:sz w:val="14"/>
                <w:szCs w:val="14"/>
              </w:rPr>
              <w:t>(37.1%)</w:t>
            </w:r>
            <w:bookmarkEnd w:id="19"/>
          </w:p>
        </w:tc>
        <w:tc>
          <w:tcPr>
            <w:tcW w:w="1271" w:type="dxa"/>
            <w:tcBorders>
              <w:top w:val="single" w:sz="4" w:space="0" w:color="auto"/>
              <w:left w:val="nil"/>
              <w:bottom w:val="single" w:sz="4" w:space="0" w:color="auto"/>
              <w:right w:val="nil"/>
            </w:tcBorders>
            <w:noWrap/>
            <w:vAlign w:val="center"/>
          </w:tcPr>
          <w:p w14:paraId="771CE45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10 (7.4%)</w:t>
            </w:r>
          </w:p>
        </w:tc>
        <w:tc>
          <w:tcPr>
            <w:tcW w:w="1260" w:type="dxa"/>
            <w:tcBorders>
              <w:top w:val="single" w:sz="4" w:space="0" w:color="auto"/>
              <w:left w:val="nil"/>
              <w:bottom w:val="single" w:sz="4" w:space="0" w:color="auto"/>
              <w:right w:val="nil"/>
            </w:tcBorders>
            <w:noWrap/>
            <w:vAlign w:val="center"/>
          </w:tcPr>
          <w:p w14:paraId="2A71624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5, (38.46%)</w:t>
            </w:r>
          </w:p>
        </w:tc>
        <w:tc>
          <w:tcPr>
            <w:tcW w:w="1260" w:type="dxa"/>
            <w:tcBorders>
              <w:top w:val="single" w:sz="4" w:space="0" w:color="auto"/>
              <w:left w:val="nil"/>
              <w:bottom w:val="single" w:sz="4" w:space="0" w:color="auto"/>
              <w:right w:val="nil"/>
            </w:tcBorders>
            <w:noWrap/>
            <w:vAlign w:val="center"/>
          </w:tcPr>
          <w:p w14:paraId="5AD43B4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 (5%)</w:t>
            </w:r>
          </w:p>
        </w:tc>
        <w:tc>
          <w:tcPr>
            <w:tcW w:w="1166" w:type="dxa"/>
            <w:tcBorders>
              <w:top w:val="single" w:sz="4" w:space="0" w:color="auto"/>
              <w:left w:val="nil"/>
              <w:bottom w:val="single" w:sz="4" w:space="0" w:color="auto"/>
              <w:right w:val="nil"/>
            </w:tcBorders>
            <w:noWrap/>
            <w:vAlign w:val="center"/>
          </w:tcPr>
          <w:p w14:paraId="1AF3B5F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4, (9.3%)</w:t>
            </w:r>
          </w:p>
        </w:tc>
        <w:tc>
          <w:tcPr>
            <w:tcW w:w="1354" w:type="dxa"/>
            <w:tcBorders>
              <w:top w:val="single" w:sz="4" w:space="0" w:color="auto"/>
              <w:left w:val="nil"/>
              <w:bottom w:val="single" w:sz="4" w:space="0" w:color="auto"/>
              <w:right w:val="nil"/>
            </w:tcBorders>
            <w:noWrap/>
            <w:vAlign w:val="center"/>
          </w:tcPr>
          <w:p w14:paraId="1298990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10 (10%)</w:t>
            </w:r>
          </w:p>
        </w:tc>
        <w:tc>
          <w:tcPr>
            <w:tcW w:w="1486" w:type="dxa"/>
            <w:tcBorders>
              <w:top w:val="single" w:sz="4" w:space="0" w:color="auto"/>
              <w:left w:val="nil"/>
              <w:bottom w:val="single" w:sz="4" w:space="0" w:color="auto"/>
              <w:right w:val="nil"/>
            </w:tcBorders>
            <w:noWrap/>
            <w:vAlign w:val="center"/>
          </w:tcPr>
          <w:p w14:paraId="0333624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4 (5.6%)</w:t>
            </w:r>
          </w:p>
        </w:tc>
        <w:tc>
          <w:tcPr>
            <w:tcW w:w="1266" w:type="dxa"/>
            <w:tcBorders>
              <w:top w:val="single" w:sz="4" w:space="0" w:color="auto"/>
              <w:left w:val="nil"/>
              <w:bottom w:val="single" w:sz="4" w:space="0" w:color="auto"/>
              <w:right w:val="nil"/>
            </w:tcBorders>
            <w:vAlign w:val="center"/>
          </w:tcPr>
          <w:p w14:paraId="654E3B9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350" w:type="dxa"/>
            <w:tcBorders>
              <w:top w:val="single" w:sz="4" w:space="0" w:color="auto"/>
              <w:left w:val="nil"/>
              <w:bottom w:val="single" w:sz="4" w:space="0" w:color="auto"/>
              <w:right w:val="nil"/>
            </w:tcBorders>
            <w:noWrap/>
            <w:vAlign w:val="center"/>
          </w:tcPr>
          <w:p w14:paraId="0551357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3 (6%)</w:t>
            </w:r>
          </w:p>
        </w:tc>
      </w:tr>
      <w:tr w:rsidR="00C171AF" w14:paraId="24BB0041" w14:textId="77777777" w:rsidTr="003B0468">
        <w:trPr>
          <w:trHeight w:val="377"/>
        </w:trPr>
        <w:tc>
          <w:tcPr>
            <w:tcW w:w="882" w:type="dxa"/>
            <w:vMerge/>
            <w:tcBorders>
              <w:left w:val="nil"/>
              <w:right w:val="nil"/>
            </w:tcBorders>
            <w:vAlign w:val="center"/>
          </w:tcPr>
          <w:p w14:paraId="18391B6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single" w:sz="4" w:space="0" w:color="auto"/>
              <w:left w:val="nil"/>
              <w:bottom w:val="single" w:sz="4" w:space="0" w:color="auto"/>
              <w:right w:val="nil"/>
            </w:tcBorders>
            <w:vAlign w:val="center"/>
          </w:tcPr>
          <w:p w14:paraId="61DC958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Freq</w:t>
            </w:r>
          </w:p>
        </w:tc>
        <w:tc>
          <w:tcPr>
            <w:tcW w:w="1166" w:type="dxa"/>
            <w:tcBorders>
              <w:top w:val="single" w:sz="4" w:space="0" w:color="auto"/>
              <w:left w:val="nil"/>
              <w:bottom w:val="single" w:sz="4" w:space="0" w:color="auto"/>
              <w:right w:val="nil"/>
            </w:tcBorders>
            <w:noWrap/>
            <w:vAlign w:val="center"/>
          </w:tcPr>
          <w:p w14:paraId="66606F5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3</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(3-3)</w:t>
            </w:r>
          </w:p>
        </w:tc>
        <w:tc>
          <w:tcPr>
            <w:tcW w:w="1190" w:type="dxa"/>
            <w:tcBorders>
              <w:top w:val="single" w:sz="4" w:space="0" w:color="auto"/>
              <w:left w:val="nil"/>
              <w:bottom w:val="single" w:sz="4" w:space="0" w:color="auto"/>
              <w:right w:val="nil"/>
            </w:tcBorders>
            <w:noWrap/>
            <w:vAlign w:val="center"/>
          </w:tcPr>
          <w:p w14:paraId="1C9B877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3</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(3-3)</w:t>
            </w:r>
          </w:p>
        </w:tc>
        <w:tc>
          <w:tcPr>
            <w:tcW w:w="1154" w:type="dxa"/>
            <w:tcBorders>
              <w:top w:val="single" w:sz="4" w:space="0" w:color="auto"/>
              <w:left w:val="nil"/>
              <w:bottom w:val="single" w:sz="4" w:space="0" w:color="auto"/>
              <w:right w:val="nil"/>
            </w:tcBorders>
            <w:noWrap/>
            <w:vAlign w:val="center"/>
          </w:tcPr>
          <w:p w14:paraId="15A9931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2.25</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0.69, (1-4)</w:t>
            </w:r>
          </w:p>
        </w:tc>
        <w:tc>
          <w:tcPr>
            <w:tcW w:w="1271" w:type="dxa"/>
            <w:tcBorders>
              <w:top w:val="single" w:sz="4" w:space="0" w:color="auto"/>
              <w:left w:val="nil"/>
              <w:bottom w:val="single" w:sz="4" w:space="0" w:color="auto"/>
              <w:right w:val="nil"/>
            </w:tcBorders>
            <w:noWrap/>
            <w:vAlign w:val="center"/>
          </w:tcPr>
          <w:p w14:paraId="257B9FA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(1-1)</w:t>
            </w:r>
          </w:p>
        </w:tc>
        <w:tc>
          <w:tcPr>
            <w:tcW w:w="1260" w:type="dxa"/>
            <w:tcBorders>
              <w:top w:val="single" w:sz="4" w:space="0" w:color="auto"/>
              <w:left w:val="nil"/>
              <w:bottom w:val="single" w:sz="4" w:space="0" w:color="auto"/>
              <w:right w:val="nil"/>
            </w:tcBorders>
            <w:noWrap/>
            <w:vAlign w:val="center"/>
          </w:tcPr>
          <w:p w14:paraId="12A9D25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2.4</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0.89, (1-3)</w:t>
            </w:r>
          </w:p>
        </w:tc>
        <w:tc>
          <w:tcPr>
            <w:tcW w:w="1260" w:type="dxa"/>
            <w:tcBorders>
              <w:top w:val="single" w:sz="4" w:space="0" w:color="auto"/>
              <w:left w:val="nil"/>
              <w:bottom w:val="single" w:sz="4" w:space="0" w:color="auto"/>
              <w:right w:val="nil"/>
            </w:tcBorders>
            <w:noWrap/>
            <w:vAlign w:val="center"/>
          </w:tcPr>
          <w:p w14:paraId="17F8392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166" w:type="dxa"/>
            <w:tcBorders>
              <w:top w:val="single" w:sz="4" w:space="0" w:color="auto"/>
              <w:left w:val="nil"/>
              <w:bottom w:val="single" w:sz="4" w:space="0" w:color="auto"/>
              <w:right w:val="nil"/>
            </w:tcBorders>
            <w:noWrap/>
            <w:vAlign w:val="center"/>
          </w:tcPr>
          <w:p w14:paraId="28B5D20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1.00</w:t>
            </w:r>
          </w:p>
        </w:tc>
        <w:tc>
          <w:tcPr>
            <w:tcW w:w="1354" w:type="dxa"/>
            <w:tcBorders>
              <w:top w:val="single" w:sz="4" w:space="0" w:color="auto"/>
              <w:left w:val="nil"/>
              <w:bottom w:val="single" w:sz="4" w:space="0" w:color="auto"/>
              <w:right w:val="nil"/>
            </w:tcBorders>
            <w:noWrap/>
            <w:vAlign w:val="center"/>
          </w:tcPr>
          <w:p w14:paraId="624650B8" w14:textId="77777777" w:rsidR="00C171AF" w:rsidRPr="002F2BEA" w:rsidRDefault="00C171AF" w:rsidP="003B0468">
            <w:pPr>
              <w:suppressAutoHyphens/>
              <w:spacing w:line="276" w:lineRule="auto"/>
              <w:ind w:right="-102"/>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2.2</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0.42, (2-3)</w:t>
            </w:r>
          </w:p>
        </w:tc>
        <w:tc>
          <w:tcPr>
            <w:tcW w:w="1486" w:type="dxa"/>
            <w:tcBorders>
              <w:top w:val="single" w:sz="4" w:space="0" w:color="auto"/>
              <w:left w:val="nil"/>
              <w:bottom w:val="single" w:sz="4" w:space="0" w:color="auto"/>
              <w:right w:val="nil"/>
            </w:tcBorders>
            <w:noWrap/>
            <w:vAlign w:val="center"/>
          </w:tcPr>
          <w:p w14:paraId="3E93935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(1-1)</w:t>
            </w:r>
          </w:p>
        </w:tc>
        <w:tc>
          <w:tcPr>
            <w:tcW w:w="1266" w:type="dxa"/>
            <w:tcBorders>
              <w:top w:val="single" w:sz="4" w:space="0" w:color="auto"/>
              <w:left w:val="nil"/>
              <w:bottom w:val="single" w:sz="4" w:space="0" w:color="auto"/>
              <w:right w:val="nil"/>
            </w:tcBorders>
            <w:vAlign w:val="center"/>
          </w:tcPr>
          <w:p w14:paraId="3E87303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350" w:type="dxa"/>
            <w:tcBorders>
              <w:top w:val="single" w:sz="4" w:space="0" w:color="auto"/>
              <w:left w:val="nil"/>
              <w:bottom w:val="single" w:sz="4" w:space="0" w:color="auto"/>
              <w:right w:val="nil"/>
            </w:tcBorders>
            <w:noWrap/>
            <w:vAlign w:val="center"/>
          </w:tcPr>
          <w:p w14:paraId="6350904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3</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(3-3)</w:t>
            </w:r>
          </w:p>
        </w:tc>
      </w:tr>
      <w:tr w:rsidR="00C171AF" w14:paraId="6D8C0D04" w14:textId="77777777" w:rsidTr="003B0468">
        <w:trPr>
          <w:trHeight w:val="20"/>
        </w:trPr>
        <w:tc>
          <w:tcPr>
            <w:tcW w:w="882" w:type="dxa"/>
            <w:vMerge/>
            <w:tcBorders>
              <w:left w:val="nil"/>
              <w:right w:val="nil"/>
            </w:tcBorders>
            <w:vAlign w:val="center"/>
          </w:tcPr>
          <w:p w14:paraId="3505940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single" w:sz="4" w:space="0" w:color="auto"/>
              <w:left w:val="nil"/>
              <w:bottom w:val="single" w:sz="4" w:space="0" w:color="auto"/>
              <w:right w:val="nil"/>
            </w:tcBorders>
            <w:vAlign w:val="center"/>
          </w:tcPr>
          <w:p w14:paraId="320BD4C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Sev</w:t>
            </w:r>
          </w:p>
        </w:tc>
        <w:tc>
          <w:tcPr>
            <w:tcW w:w="1166" w:type="dxa"/>
            <w:tcBorders>
              <w:top w:val="single" w:sz="4" w:space="0" w:color="auto"/>
              <w:left w:val="nil"/>
              <w:bottom w:val="single" w:sz="4" w:space="0" w:color="auto"/>
              <w:right w:val="nil"/>
            </w:tcBorders>
            <w:noWrap/>
            <w:vAlign w:val="center"/>
          </w:tcPr>
          <w:p w14:paraId="0AEE13F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2</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(2-2)</w:t>
            </w:r>
          </w:p>
        </w:tc>
        <w:tc>
          <w:tcPr>
            <w:tcW w:w="1190" w:type="dxa"/>
            <w:tcBorders>
              <w:top w:val="single" w:sz="4" w:space="0" w:color="auto"/>
              <w:left w:val="nil"/>
              <w:bottom w:val="single" w:sz="4" w:space="0" w:color="auto"/>
              <w:right w:val="nil"/>
            </w:tcBorders>
            <w:noWrap/>
            <w:vAlign w:val="center"/>
          </w:tcPr>
          <w:p w14:paraId="6A816789"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2</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(2-2)</w:t>
            </w:r>
          </w:p>
        </w:tc>
        <w:tc>
          <w:tcPr>
            <w:tcW w:w="1154" w:type="dxa"/>
            <w:tcBorders>
              <w:top w:val="single" w:sz="4" w:space="0" w:color="auto"/>
              <w:left w:val="nil"/>
              <w:bottom w:val="single" w:sz="4" w:space="0" w:color="auto"/>
              <w:right w:val="nil"/>
            </w:tcBorders>
            <w:noWrap/>
            <w:vAlign w:val="center"/>
          </w:tcPr>
          <w:p w14:paraId="016DED6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1.92</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0.88, (1-4)</w:t>
            </w:r>
          </w:p>
        </w:tc>
        <w:tc>
          <w:tcPr>
            <w:tcW w:w="1271" w:type="dxa"/>
            <w:tcBorders>
              <w:top w:val="single" w:sz="4" w:space="0" w:color="auto"/>
              <w:left w:val="nil"/>
              <w:bottom w:val="single" w:sz="4" w:space="0" w:color="auto"/>
              <w:right w:val="nil"/>
            </w:tcBorders>
            <w:noWrap/>
            <w:vAlign w:val="center"/>
          </w:tcPr>
          <w:p w14:paraId="713A55B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(1-1)</w:t>
            </w:r>
          </w:p>
        </w:tc>
        <w:tc>
          <w:tcPr>
            <w:tcW w:w="1260" w:type="dxa"/>
            <w:tcBorders>
              <w:top w:val="single" w:sz="4" w:space="0" w:color="auto"/>
              <w:left w:val="nil"/>
              <w:bottom w:val="single" w:sz="4" w:space="0" w:color="auto"/>
              <w:right w:val="nil"/>
            </w:tcBorders>
            <w:noWrap/>
            <w:vAlign w:val="center"/>
          </w:tcPr>
          <w:p w14:paraId="65F68B7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1.2</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0.45, (1-2)</w:t>
            </w:r>
          </w:p>
        </w:tc>
        <w:tc>
          <w:tcPr>
            <w:tcW w:w="1260" w:type="dxa"/>
            <w:tcBorders>
              <w:top w:val="single" w:sz="4" w:space="0" w:color="auto"/>
              <w:left w:val="nil"/>
              <w:bottom w:val="single" w:sz="4" w:space="0" w:color="auto"/>
              <w:right w:val="nil"/>
            </w:tcBorders>
            <w:noWrap/>
            <w:vAlign w:val="center"/>
          </w:tcPr>
          <w:p w14:paraId="3E515F1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166" w:type="dxa"/>
            <w:tcBorders>
              <w:top w:val="single" w:sz="4" w:space="0" w:color="auto"/>
              <w:left w:val="nil"/>
              <w:bottom w:val="single" w:sz="4" w:space="0" w:color="auto"/>
              <w:right w:val="nil"/>
            </w:tcBorders>
            <w:noWrap/>
            <w:vAlign w:val="center"/>
          </w:tcPr>
          <w:p w14:paraId="52B925A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1.00</w:t>
            </w:r>
          </w:p>
        </w:tc>
        <w:tc>
          <w:tcPr>
            <w:tcW w:w="1354" w:type="dxa"/>
            <w:tcBorders>
              <w:top w:val="single" w:sz="4" w:space="0" w:color="auto"/>
              <w:left w:val="nil"/>
              <w:bottom w:val="single" w:sz="4" w:space="0" w:color="auto"/>
              <w:right w:val="nil"/>
            </w:tcBorders>
            <w:noWrap/>
            <w:vAlign w:val="center"/>
          </w:tcPr>
          <w:p w14:paraId="23E5878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(1-1)</w:t>
            </w:r>
          </w:p>
        </w:tc>
        <w:tc>
          <w:tcPr>
            <w:tcW w:w="1486" w:type="dxa"/>
            <w:tcBorders>
              <w:top w:val="single" w:sz="4" w:space="0" w:color="auto"/>
              <w:left w:val="nil"/>
              <w:bottom w:val="single" w:sz="4" w:space="0" w:color="auto"/>
              <w:right w:val="nil"/>
            </w:tcBorders>
            <w:noWrap/>
            <w:vAlign w:val="center"/>
          </w:tcPr>
          <w:p w14:paraId="378C169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(1-1)</w:t>
            </w:r>
          </w:p>
        </w:tc>
        <w:tc>
          <w:tcPr>
            <w:tcW w:w="1266" w:type="dxa"/>
            <w:tcBorders>
              <w:top w:val="single" w:sz="4" w:space="0" w:color="auto"/>
              <w:left w:val="nil"/>
              <w:bottom w:val="single" w:sz="4" w:space="0" w:color="auto"/>
              <w:right w:val="nil"/>
            </w:tcBorders>
            <w:vAlign w:val="center"/>
          </w:tcPr>
          <w:p w14:paraId="144A5CB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350" w:type="dxa"/>
            <w:tcBorders>
              <w:top w:val="single" w:sz="4" w:space="0" w:color="auto"/>
              <w:left w:val="nil"/>
              <w:bottom w:val="single" w:sz="4" w:space="0" w:color="auto"/>
              <w:right w:val="nil"/>
            </w:tcBorders>
            <w:noWrap/>
            <w:vAlign w:val="center"/>
          </w:tcPr>
          <w:p w14:paraId="03D3C07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2</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(2-2)</w:t>
            </w:r>
          </w:p>
        </w:tc>
      </w:tr>
      <w:tr w:rsidR="00C171AF" w14:paraId="6F5355D6" w14:textId="77777777" w:rsidTr="003B0468">
        <w:trPr>
          <w:trHeight w:val="152"/>
        </w:trPr>
        <w:tc>
          <w:tcPr>
            <w:tcW w:w="882" w:type="dxa"/>
            <w:vMerge/>
            <w:tcBorders>
              <w:left w:val="nil"/>
              <w:bottom w:val="single" w:sz="4" w:space="0" w:color="auto"/>
              <w:right w:val="nil"/>
            </w:tcBorders>
            <w:vAlign w:val="center"/>
          </w:tcPr>
          <w:p w14:paraId="30DC469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single" w:sz="4" w:space="0" w:color="auto"/>
              <w:left w:val="nil"/>
              <w:bottom w:val="single" w:sz="4" w:space="0" w:color="auto"/>
              <w:right w:val="nil"/>
            </w:tcBorders>
            <w:vAlign w:val="center"/>
          </w:tcPr>
          <w:p w14:paraId="0D8CFDA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Dis</w:t>
            </w:r>
          </w:p>
        </w:tc>
        <w:tc>
          <w:tcPr>
            <w:tcW w:w="1166" w:type="dxa"/>
            <w:tcBorders>
              <w:top w:val="single" w:sz="4" w:space="0" w:color="auto"/>
              <w:left w:val="nil"/>
              <w:bottom w:val="single" w:sz="4" w:space="0" w:color="auto"/>
              <w:right w:val="nil"/>
            </w:tcBorders>
            <w:noWrap/>
            <w:vAlign w:val="center"/>
          </w:tcPr>
          <w:p w14:paraId="74ECA21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2.5</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0.76, (1-3)</w:t>
            </w:r>
          </w:p>
        </w:tc>
        <w:tc>
          <w:tcPr>
            <w:tcW w:w="1190" w:type="dxa"/>
            <w:tcBorders>
              <w:top w:val="single" w:sz="4" w:space="0" w:color="auto"/>
              <w:left w:val="nil"/>
              <w:bottom w:val="single" w:sz="4" w:space="0" w:color="auto"/>
              <w:right w:val="nil"/>
            </w:tcBorders>
            <w:noWrap/>
            <w:vAlign w:val="center"/>
          </w:tcPr>
          <w:p w14:paraId="35147C0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(1-1)</w:t>
            </w:r>
          </w:p>
        </w:tc>
        <w:tc>
          <w:tcPr>
            <w:tcW w:w="1154" w:type="dxa"/>
            <w:tcBorders>
              <w:top w:val="single" w:sz="4" w:space="0" w:color="auto"/>
              <w:left w:val="nil"/>
              <w:bottom w:val="single" w:sz="4" w:space="0" w:color="auto"/>
              <w:right w:val="nil"/>
            </w:tcBorders>
            <w:noWrap/>
            <w:vAlign w:val="center"/>
          </w:tcPr>
          <w:p w14:paraId="6DE68FE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1.63</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0.74, (1-4)</w:t>
            </w:r>
          </w:p>
        </w:tc>
        <w:tc>
          <w:tcPr>
            <w:tcW w:w="1271" w:type="dxa"/>
            <w:tcBorders>
              <w:top w:val="single" w:sz="4" w:space="0" w:color="auto"/>
              <w:left w:val="nil"/>
              <w:bottom w:val="single" w:sz="4" w:space="0" w:color="auto"/>
              <w:right w:val="nil"/>
            </w:tcBorders>
            <w:noWrap/>
            <w:vAlign w:val="center"/>
          </w:tcPr>
          <w:p w14:paraId="412C5535" w14:textId="77777777" w:rsidR="00C171AF" w:rsidRPr="002F2BEA" w:rsidRDefault="00C171AF" w:rsidP="003B0468">
            <w:pPr>
              <w:suppressAutoHyphens/>
              <w:spacing w:line="276" w:lineRule="auto"/>
              <w:ind w:right="-102"/>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0.6</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0.52, (1-2)</w:t>
            </w:r>
          </w:p>
        </w:tc>
        <w:tc>
          <w:tcPr>
            <w:tcW w:w="1260" w:type="dxa"/>
            <w:tcBorders>
              <w:top w:val="single" w:sz="4" w:space="0" w:color="auto"/>
              <w:left w:val="nil"/>
              <w:bottom w:val="single" w:sz="4" w:space="0" w:color="auto"/>
              <w:right w:val="nil"/>
            </w:tcBorders>
            <w:noWrap/>
            <w:vAlign w:val="center"/>
          </w:tcPr>
          <w:p w14:paraId="5CCDB17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1.4</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0.55, (1-2)</w:t>
            </w:r>
          </w:p>
        </w:tc>
        <w:tc>
          <w:tcPr>
            <w:tcW w:w="1260" w:type="dxa"/>
            <w:tcBorders>
              <w:top w:val="single" w:sz="4" w:space="0" w:color="auto"/>
              <w:left w:val="nil"/>
              <w:bottom w:val="single" w:sz="4" w:space="0" w:color="auto"/>
              <w:right w:val="nil"/>
            </w:tcBorders>
            <w:noWrap/>
            <w:vAlign w:val="center"/>
          </w:tcPr>
          <w:p w14:paraId="5A1EDD1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166" w:type="dxa"/>
            <w:tcBorders>
              <w:top w:val="single" w:sz="4" w:space="0" w:color="auto"/>
              <w:left w:val="nil"/>
              <w:bottom w:val="single" w:sz="4" w:space="0" w:color="auto"/>
              <w:right w:val="nil"/>
            </w:tcBorders>
            <w:noWrap/>
            <w:vAlign w:val="center"/>
          </w:tcPr>
          <w:p w14:paraId="6D142BD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1.00</w:t>
            </w:r>
          </w:p>
        </w:tc>
        <w:tc>
          <w:tcPr>
            <w:tcW w:w="1354" w:type="dxa"/>
            <w:tcBorders>
              <w:top w:val="single" w:sz="4" w:space="0" w:color="auto"/>
              <w:left w:val="nil"/>
              <w:bottom w:val="single" w:sz="4" w:space="0" w:color="auto"/>
              <w:right w:val="nil"/>
            </w:tcBorders>
            <w:noWrap/>
            <w:vAlign w:val="center"/>
          </w:tcPr>
          <w:p w14:paraId="39E2E6A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(1-1)</w:t>
            </w:r>
          </w:p>
        </w:tc>
        <w:tc>
          <w:tcPr>
            <w:tcW w:w="1486" w:type="dxa"/>
            <w:tcBorders>
              <w:top w:val="single" w:sz="4" w:space="0" w:color="auto"/>
              <w:left w:val="nil"/>
              <w:bottom w:val="single" w:sz="4" w:space="0" w:color="auto"/>
              <w:right w:val="nil"/>
            </w:tcBorders>
            <w:noWrap/>
            <w:vAlign w:val="center"/>
          </w:tcPr>
          <w:p w14:paraId="50B808D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(1-1)</w:t>
            </w:r>
          </w:p>
        </w:tc>
        <w:tc>
          <w:tcPr>
            <w:tcW w:w="1266" w:type="dxa"/>
            <w:tcBorders>
              <w:top w:val="single" w:sz="4" w:space="0" w:color="auto"/>
              <w:left w:val="nil"/>
              <w:bottom w:val="single" w:sz="4" w:space="0" w:color="auto"/>
              <w:right w:val="nil"/>
            </w:tcBorders>
            <w:vAlign w:val="center"/>
          </w:tcPr>
          <w:p w14:paraId="3F38B87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w:t>
            </w:r>
          </w:p>
        </w:tc>
        <w:tc>
          <w:tcPr>
            <w:tcW w:w="1350" w:type="dxa"/>
            <w:tcBorders>
              <w:top w:val="single" w:sz="4" w:space="0" w:color="auto"/>
              <w:left w:val="nil"/>
              <w:bottom w:val="single" w:sz="4" w:space="0" w:color="auto"/>
              <w:right w:val="nil"/>
            </w:tcBorders>
            <w:noWrap/>
            <w:vAlign w:val="center"/>
          </w:tcPr>
          <w:p w14:paraId="7E0A61B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hAnsiTheme="majorBidi" w:cstheme="majorBidi"/>
                <w:sz w:val="14"/>
                <w:szCs w:val="14"/>
              </w:rPr>
              <w:t>1</w:t>
            </w:r>
            <w:r w:rsidRPr="002F2BEA">
              <w:rPr>
                <w:rFonts w:asciiTheme="majorBidi" w:eastAsia="Times New Roman" w:hAnsiTheme="majorBidi" w:cstheme="majorBidi"/>
                <w:sz w:val="14"/>
                <w:szCs w:val="14"/>
                <w:u w:val="single"/>
                <w:lang w:eastAsia="en-US"/>
              </w:rPr>
              <w:t>+</w:t>
            </w:r>
            <w:r w:rsidRPr="002F2BEA">
              <w:rPr>
                <w:rFonts w:asciiTheme="majorBidi" w:hAnsiTheme="majorBidi" w:cstheme="majorBidi"/>
                <w:sz w:val="14"/>
                <w:szCs w:val="14"/>
              </w:rPr>
              <w:t>0, (1-1)</w:t>
            </w:r>
          </w:p>
        </w:tc>
      </w:tr>
      <w:tr w:rsidR="00C171AF" w14:paraId="6E7D6284" w14:textId="77777777" w:rsidTr="003B0468">
        <w:trPr>
          <w:trHeight w:val="20"/>
        </w:trPr>
        <w:tc>
          <w:tcPr>
            <w:tcW w:w="882" w:type="dxa"/>
            <w:vMerge w:val="restart"/>
            <w:tcBorders>
              <w:top w:val="nil"/>
              <w:left w:val="nil"/>
              <w:bottom w:val="single" w:sz="4" w:space="0" w:color="000000"/>
              <w:right w:val="nil"/>
            </w:tcBorders>
            <w:vAlign w:val="center"/>
            <w:hideMark/>
          </w:tcPr>
          <w:p w14:paraId="6B10E0F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Hair loss</w:t>
            </w:r>
          </w:p>
        </w:tc>
        <w:tc>
          <w:tcPr>
            <w:tcW w:w="619" w:type="dxa"/>
            <w:tcBorders>
              <w:top w:val="single" w:sz="4" w:space="0" w:color="auto"/>
              <w:left w:val="nil"/>
              <w:bottom w:val="nil"/>
              <w:right w:val="nil"/>
            </w:tcBorders>
            <w:vAlign w:val="center"/>
            <w:hideMark/>
          </w:tcPr>
          <w:p w14:paraId="01931EB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 (%)</w:t>
            </w:r>
          </w:p>
        </w:tc>
        <w:tc>
          <w:tcPr>
            <w:tcW w:w="1166" w:type="dxa"/>
            <w:tcBorders>
              <w:top w:val="single" w:sz="4" w:space="0" w:color="auto"/>
              <w:left w:val="nil"/>
              <w:bottom w:val="nil"/>
              <w:right w:val="nil"/>
            </w:tcBorders>
            <w:noWrap/>
            <w:vAlign w:val="center"/>
            <w:hideMark/>
          </w:tcPr>
          <w:p w14:paraId="040D911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5 (7.7%)</w:t>
            </w:r>
          </w:p>
        </w:tc>
        <w:tc>
          <w:tcPr>
            <w:tcW w:w="1190" w:type="dxa"/>
            <w:tcBorders>
              <w:top w:val="single" w:sz="4" w:space="0" w:color="auto"/>
              <w:left w:val="nil"/>
              <w:bottom w:val="nil"/>
              <w:right w:val="nil"/>
            </w:tcBorders>
            <w:noWrap/>
            <w:vAlign w:val="center"/>
            <w:hideMark/>
          </w:tcPr>
          <w:p w14:paraId="1783236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29 (44.6%)</w:t>
            </w:r>
          </w:p>
        </w:tc>
        <w:tc>
          <w:tcPr>
            <w:tcW w:w="1154" w:type="dxa"/>
            <w:tcBorders>
              <w:top w:val="single" w:sz="4" w:space="0" w:color="auto"/>
              <w:left w:val="nil"/>
              <w:bottom w:val="nil"/>
              <w:right w:val="nil"/>
            </w:tcBorders>
            <w:vAlign w:val="center"/>
            <w:hideMark/>
          </w:tcPr>
          <w:p w14:paraId="1CF2E14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 xml:space="preserve">78 </w:t>
            </w:r>
            <w:bookmarkStart w:id="20" w:name="_Hlk182110548"/>
            <w:r w:rsidRPr="002F2BEA">
              <w:rPr>
                <w:rFonts w:asciiTheme="majorBidi" w:eastAsia="Times New Roman" w:hAnsiTheme="majorBidi" w:cstheme="majorBidi"/>
                <w:sz w:val="14"/>
                <w:szCs w:val="14"/>
                <w:lang w:eastAsia="en-US"/>
              </w:rPr>
              <w:t>(</w:t>
            </w:r>
            <w:r w:rsidRPr="002F2BEA">
              <w:rPr>
                <w:rFonts w:asciiTheme="majorBidi" w:eastAsia="Times New Roman" w:hAnsiTheme="majorBidi" w:cstheme="majorBidi"/>
                <w:b/>
                <w:bCs/>
                <w:sz w:val="14"/>
                <w:szCs w:val="14"/>
                <w:lang w:eastAsia="en-US"/>
              </w:rPr>
              <w:t>59.1</w:t>
            </w:r>
            <w:r w:rsidRPr="002F2BEA">
              <w:rPr>
                <w:rFonts w:asciiTheme="majorBidi" w:eastAsia="Times New Roman" w:hAnsiTheme="majorBidi" w:cstheme="majorBidi"/>
                <w:sz w:val="14"/>
                <w:szCs w:val="14"/>
                <w:lang w:eastAsia="en-US"/>
              </w:rPr>
              <w:t>%)</w:t>
            </w:r>
            <w:bookmarkEnd w:id="20"/>
          </w:p>
        </w:tc>
        <w:tc>
          <w:tcPr>
            <w:tcW w:w="1271" w:type="dxa"/>
            <w:tcBorders>
              <w:top w:val="single" w:sz="4" w:space="0" w:color="auto"/>
              <w:left w:val="nil"/>
              <w:bottom w:val="nil"/>
              <w:right w:val="nil"/>
            </w:tcBorders>
            <w:noWrap/>
            <w:vAlign w:val="center"/>
            <w:hideMark/>
          </w:tcPr>
          <w:p w14:paraId="2CBA133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65 (47.8%)</w:t>
            </w:r>
          </w:p>
        </w:tc>
        <w:tc>
          <w:tcPr>
            <w:tcW w:w="1260" w:type="dxa"/>
            <w:tcBorders>
              <w:top w:val="single" w:sz="4" w:space="0" w:color="auto"/>
              <w:left w:val="nil"/>
              <w:bottom w:val="nil"/>
              <w:right w:val="nil"/>
            </w:tcBorders>
            <w:noWrap/>
            <w:vAlign w:val="center"/>
            <w:hideMark/>
          </w:tcPr>
          <w:p w14:paraId="79809CB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4, (30.77%)</w:t>
            </w:r>
          </w:p>
        </w:tc>
        <w:tc>
          <w:tcPr>
            <w:tcW w:w="1260" w:type="dxa"/>
            <w:tcBorders>
              <w:top w:val="single" w:sz="4" w:space="0" w:color="auto"/>
              <w:left w:val="nil"/>
              <w:bottom w:val="nil"/>
              <w:right w:val="nil"/>
            </w:tcBorders>
            <w:noWrap/>
            <w:vAlign w:val="center"/>
            <w:hideMark/>
          </w:tcPr>
          <w:p w14:paraId="56081F7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4, (20%)</w:t>
            </w:r>
          </w:p>
        </w:tc>
        <w:tc>
          <w:tcPr>
            <w:tcW w:w="1166" w:type="dxa"/>
            <w:tcBorders>
              <w:top w:val="single" w:sz="4" w:space="0" w:color="auto"/>
              <w:left w:val="nil"/>
              <w:bottom w:val="nil"/>
              <w:right w:val="nil"/>
            </w:tcBorders>
            <w:noWrap/>
            <w:vAlign w:val="center"/>
            <w:hideMark/>
          </w:tcPr>
          <w:p w14:paraId="10AC317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23, (53.49%)</w:t>
            </w:r>
          </w:p>
        </w:tc>
        <w:tc>
          <w:tcPr>
            <w:tcW w:w="1354" w:type="dxa"/>
            <w:tcBorders>
              <w:top w:val="single" w:sz="4" w:space="0" w:color="auto"/>
              <w:left w:val="nil"/>
              <w:bottom w:val="nil"/>
              <w:right w:val="nil"/>
            </w:tcBorders>
            <w:noWrap/>
            <w:vAlign w:val="center"/>
            <w:hideMark/>
          </w:tcPr>
          <w:p w14:paraId="38F240C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37 (37%)</w:t>
            </w:r>
          </w:p>
        </w:tc>
        <w:tc>
          <w:tcPr>
            <w:tcW w:w="1486" w:type="dxa"/>
            <w:tcBorders>
              <w:top w:val="single" w:sz="4" w:space="0" w:color="auto"/>
              <w:left w:val="nil"/>
              <w:bottom w:val="nil"/>
              <w:right w:val="nil"/>
            </w:tcBorders>
            <w:noWrap/>
            <w:vAlign w:val="center"/>
            <w:hideMark/>
          </w:tcPr>
          <w:p w14:paraId="40ACD68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59 (59%)</w:t>
            </w:r>
          </w:p>
        </w:tc>
        <w:tc>
          <w:tcPr>
            <w:tcW w:w="1266" w:type="dxa"/>
            <w:tcBorders>
              <w:top w:val="single" w:sz="4" w:space="0" w:color="auto"/>
              <w:left w:val="nil"/>
              <w:bottom w:val="nil"/>
              <w:right w:val="nil"/>
            </w:tcBorders>
            <w:noWrap/>
            <w:vAlign w:val="center"/>
            <w:hideMark/>
          </w:tcPr>
          <w:p w14:paraId="41AE117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5 (10%)</w:t>
            </w:r>
          </w:p>
        </w:tc>
        <w:tc>
          <w:tcPr>
            <w:tcW w:w="1350" w:type="dxa"/>
            <w:tcBorders>
              <w:top w:val="single" w:sz="4" w:space="0" w:color="auto"/>
              <w:left w:val="nil"/>
              <w:bottom w:val="nil"/>
              <w:right w:val="nil"/>
            </w:tcBorders>
            <w:noWrap/>
            <w:vAlign w:val="center"/>
            <w:hideMark/>
          </w:tcPr>
          <w:p w14:paraId="4DE1E79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29 (51.8%)</w:t>
            </w:r>
          </w:p>
        </w:tc>
      </w:tr>
      <w:tr w:rsidR="00C171AF" w14:paraId="1F901672" w14:textId="77777777" w:rsidTr="003B0468">
        <w:trPr>
          <w:trHeight w:val="20"/>
        </w:trPr>
        <w:tc>
          <w:tcPr>
            <w:tcW w:w="882" w:type="dxa"/>
            <w:vMerge/>
            <w:tcBorders>
              <w:top w:val="nil"/>
              <w:left w:val="nil"/>
              <w:bottom w:val="single" w:sz="4" w:space="0" w:color="000000"/>
              <w:right w:val="nil"/>
            </w:tcBorders>
            <w:vAlign w:val="center"/>
            <w:hideMark/>
          </w:tcPr>
          <w:p w14:paraId="5B394EA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single" w:sz="4" w:space="0" w:color="auto"/>
              <w:left w:val="nil"/>
              <w:bottom w:val="single" w:sz="4" w:space="0" w:color="auto"/>
              <w:right w:val="nil"/>
            </w:tcBorders>
            <w:vAlign w:val="center"/>
            <w:hideMark/>
          </w:tcPr>
          <w:p w14:paraId="408C0BE7"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Freq</w:t>
            </w:r>
          </w:p>
        </w:tc>
        <w:tc>
          <w:tcPr>
            <w:tcW w:w="1166" w:type="dxa"/>
            <w:tcBorders>
              <w:top w:val="single" w:sz="4" w:space="0" w:color="auto"/>
              <w:left w:val="nil"/>
              <w:bottom w:val="single" w:sz="4" w:space="0" w:color="auto"/>
              <w:right w:val="nil"/>
            </w:tcBorders>
            <w:noWrap/>
            <w:vAlign w:val="center"/>
            <w:hideMark/>
          </w:tcPr>
          <w:p w14:paraId="57B17A9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0.55, (3-4)</w:t>
            </w:r>
          </w:p>
        </w:tc>
        <w:tc>
          <w:tcPr>
            <w:tcW w:w="1190" w:type="dxa"/>
            <w:tcBorders>
              <w:top w:val="single" w:sz="4" w:space="0" w:color="auto"/>
              <w:left w:val="nil"/>
              <w:bottom w:val="single" w:sz="4" w:space="0" w:color="auto"/>
              <w:right w:val="nil"/>
            </w:tcBorders>
            <w:noWrap/>
            <w:vAlign w:val="center"/>
            <w:hideMark/>
          </w:tcPr>
          <w:p w14:paraId="4EB85B8D"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2.79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0.41, (2-3)</w:t>
            </w:r>
          </w:p>
        </w:tc>
        <w:tc>
          <w:tcPr>
            <w:tcW w:w="1154" w:type="dxa"/>
            <w:tcBorders>
              <w:top w:val="single" w:sz="4" w:space="0" w:color="auto"/>
              <w:left w:val="nil"/>
              <w:bottom w:val="single" w:sz="4" w:space="0" w:color="auto"/>
              <w:right w:val="nil"/>
            </w:tcBorders>
            <w:noWrap/>
            <w:vAlign w:val="center"/>
            <w:hideMark/>
          </w:tcPr>
          <w:p w14:paraId="119D1D9F"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2.81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0.56, (1-4)</w:t>
            </w:r>
          </w:p>
        </w:tc>
        <w:tc>
          <w:tcPr>
            <w:tcW w:w="1271" w:type="dxa"/>
            <w:tcBorders>
              <w:top w:val="single" w:sz="4" w:space="0" w:color="auto"/>
              <w:left w:val="nil"/>
              <w:bottom w:val="single" w:sz="4" w:space="0" w:color="auto"/>
              <w:right w:val="nil"/>
            </w:tcBorders>
            <w:noWrap/>
            <w:vAlign w:val="center"/>
            <w:hideMark/>
          </w:tcPr>
          <w:p w14:paraId="538617B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2.06</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0.85, (1-3)</w:t>
            </w:r>
          </w:p>
        </w:tc>
        <w:tc>
          <w:tcPr>
            <w:tcW w:w="1260" w:type="dxa"/>
            <w:tcBorders>
              <w:top w:val="single" w:sz="4" w:space="0" w:color="auto"/>
              <w:left w:val="nil"/>
              <w:bottom w:val="single" w:sz="4" w:space="0" w:color="auto"/>
              <w:right w:val="nil"/>
            </w:tcBorders>
            <w:noWrap/>
            <w:vAlign w:val="center"/>
            <w:hideMark/>
          </w:tcPr>
          <w:p w14:paraId="5A4938E6" w14:textId="77777777" w:rsidR="00C171AF" w:rsidRPr="002F2BEA" w:rsidRDefault="00C171AF" w:rsidP="003B0468">
            <w:pPr>
              <w:suppressAutoHyphens/>
              <w:spacing w:line="276" w:lineRule="auto"/>
              <w:jc w:val="left"/>
              <w:rPr>
                <w:rFonts w:asciiTheme="majorBidi" w:eastAsia="Times New Roman" w:hAnsiTheme="majorBidi" w:cstheme="majorBidi"/>
                <w:b/>
                <w:bCs/>
                <w:sz w:val="14"/>
                <w:szCs w:val="14"/>
                <w:lang w:eastAsia="en-US"/>
              </w:rPr>
            </w:pPr>
            <w:r w:rsidRPr="002F2BEA">
              <w:rPr>
                <w:rFonts w:asciiTheme="majorBidi" w:eastAsia="Times New Roman" w:hAnsiTheme="majorBidi" w:cstheme="majorBidi"/>
                <w:b/>
                <w:bCs/>
                <w:sz w:val="14"/>
                <w:szCs w:val="14"/>
                <w:lang w:eastAsia="en-US"/>
              </w:rPr>
              <w:t>3.00</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b/>
                <w:bCs/>
                <w:sz w:val="14"/>
                <w:szCs w:val="14"/>
                <w:lang w:eastAsia="en-US"/>
              </w:rPr>
              <w:t>0, (3-3)</w:t>
            </w:r>
          </w:p>
        </w:tc>
        <w:tc>
          <w:tcPr>
            <w:tcW w:w="1260" w:type="dxa"/>
            <w:tcBorders>
              <w:top w:val="single" w:sz="4" w:space="0" w:color="auto"/>
              <w:left w:val="nil"/>
              <w:bottom w:val="single" w:sz="4" w:space="0" w:color="auto"/>
              <w:right w:val="nil"/>
            </w:tcBorders>
            <w:noWrap/>
            <w:vAlign w:val="center"/>
            <w:hideMark/>
          </w:tcPr>
          <w:p w14:paraId="4618B2D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(3-3)</w:t>
            </w:r>
          </w:p>
        </w:tc>
        <w:tc>
          <w:tcPr>
            <w:tcW w:w="1166" w:type="dxa"/>
            <w:tcBorders>
              <w:top w:val="single" w:sz="4" w:space="0" w:color="auto"/>
              <w:left w:val="nil"/>
              <w:bottom w:val="single" w:sz="4" w:space="0" w:color="auto"/>
              <w:right w:val="nil"/>
            </w:tcBorders>
            <w:noWrap/>
            <w:vAlign w:val="center"/>
            <w:hideMark/>
          </w:tcPr>
          <w:p w14:paraId="3C91891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2.00</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0.60, (1-3)</w:t>
            </w:r>
          </w:p>
        </w:tc>
        <w:tc>
          <w:tcPr>
            <w:tcW w:w="1354" w:type="dxa"/>
            <w:tcBorders>
              <w:top w:val="single" w:sz="4" w:space="0" w:color="auto"/>
              <w:left w:val="nil"/>
              <w:bottom w:val="single" w:sz="4" w:space="0" w:color="auto"/>
              <w:right w:val="nil"/>
            </w:tcBorders>
            <w:noWrap/>
            <w:vAlign w:val="center"/>
            <w:hideMark/>
          </w:tcPr>
          <w:p w14:paraId="36443C6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2.88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0.33, (2-3)</w:t>
            </w:r>
          </w:p>
        </w:tc>
        <w:tc>
          <w:tcPr>
            <w:tcW w:w="1486" w:type="dxa"/>
            <w:tcBorders>
              <w:top w:val="single" w:sz="4" w:space="0" w:color="auto"/>
              <w:left w:val="nil"/>
              <w:bottom w:val="single" w:sz="4" w:space="0" w:color="auto"/>
              <w:right w:val="nil"/>
            </w:tcBorders>
            <w:noWrap/>
            <w:vAlign w:val="center"/>
            <w:hideMark/>
          </w:tcPr>
          <w:p w14:paraId="72CDEC1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2.29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0.87, (1-4)</w:t>
            </w:r>
          </w:p>
        </w:tc>
        <w:tc>
          <w:tcPr>
            <w:tcW w:w="1266" w:type="dxa"/>
            <w:tcBorders>
              <w:top w:val="single" w:sz="4" w:space="0" w:color="auto"/>
              <w:left w:val="nil"/>
              <w:bottom w:val="single" w:sz="4" w:space="0" w:color="auto"/>
              <w:right w:val="nil"/>
            </w:tcBorders>
            <w:noWrap/>
            <w:vAlign w:val="center"/>
            <w:hideMark/>
          </w:tcPr>
          <w:p w14:paraId="60E83DA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(3-3)</w:t>
            </w:r>
          </w:p>
        </w:tc>
        <w:tc>
          <w:tcPr>
            <w:tcW w:w="1350" w:type="dxa"/>
            <w:tcBorders>
              <w:top w:val="single" w:sz="4" w:space="0" w:color="auto"/>
              <w:left w:val="nil"/>
              <w:bottom w:val="single" w:sz="4" w:space="0" w:color="auto"/>
              <w:right w:val="nil"/>
            </w:tcBorders>
            <w:noWrap/>
            <w:vAlign w:val="center"/>
            <w:hideMark/>
          </w:tcPr>
          <w:p w14:paraId="4891E1C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0.85, (2-4)</w:t>
            </w:r>
          </w:p>
        </w:tc>
      </w:tr>
      <w:tr w:rsidR="00C171AF" w14:paraId="6D7E1828" w14:textId="77777777" w:rsidTr="003B0468">
        <w:trPr>
          <w:trHeight w:val="20"/>
        </w:trPr>
        <w:tc>
          <w:tcPr>
            <w:tcW w:w="882" w:type="dxa"/>
            <w:vMerge/>
            <w:tcBorders>
              <w:top w:val="nil"/>
              <w:left w:val="nil"/>
              <w:bottom w:val="single" w:sz="4" w:space="0" w:color="000000"/>
              <w:right w:val="nil"/>
            </w:tcBorders>
            <w:vAlign w:val="center"/>
            <w:hideMark/>
          </w:tcPr>
          <w:p w14:paraId="75B9C3E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single" w:sz="4" w:space="0" w:color="auto"/>
              <w:right w:val="nil"/>
            </w:tcBorders>
            <w:vAlign w:val="center"/>
            <w:hideMark/>
          </w:tcPr>
          <w:p w14:paraId="729CEFA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Sev</w:t>
            </w:r>
          </w:p>
        </w:tc>
        <w:tc>
          <w:tcPr>
            <w:tcW w:w="1166" w:type="dxa"/>
            <w:tcBorders>
              <w:top w:val="nil"/>
              <w:left w:val="nil"/>
              <w:bottom w:val="single" w:sz="4" w:space="0" w:color="auto"/>
              <w:right w:val="nil"/>
            </w:tcBorders>
            <w:noWrap/>
            <w:vAlign w:val="center"/>
            <w:hideMark/>
          </w:tcPr>
          <w:p w14:paraId="09A37E6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3.2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1.1, (2-4)</w:t>
            </w:r>
          </w:p>
        </w:tc>
        <w:tc>
          <w:tcPr>
            <w:tcW w:w="1190" w:type="dxa"/>
            <w:tcBorders>
              <w:top w:val="nil"/>
              <w:left w:val="nil"/>
              <w:bottom w:val="single" w:sz="4" w:space="0" w:color="auto"/>
              <w:right w:val="nil"/>
            </w:tcBorders>
            <w:noWrap/>
            <w:vAlign w:val="center"/>
            <w:hideMark/>
          </w:tcPr>
          <w:p w14:paraId="603575C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0.69, (1-3)</w:t>
            </w:r>
          </w:p>
        </w:tc>
        <w:tc>
          <w:tcPr>
            <w:tcW w:w="1154" w:type="dxa"/>
            <w:tcBorders>
              <w:top w:val="nil"/>
              <w:left w:val="nil"/>
              <w:bottom w:val="single" w:sz="4" w:space="0" w:color="auto"/>
              <w:right w:val="nil"/>
            </w:tcBorders>
            <w:noWrap/>
            <w:vAlign w:val="center"/>
            <w:hideMark/>
          </w:tcPr>
          <w:p w14:paraId="7DF377BA"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2.18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0.64, (1-4)</w:t>
            </w:r>
          </w:p>
        </w:tc>
        <w:tc>
          <w:tcPr>
            <w:tcW w:w="1271" w:type="dxa"/>
            <w:tcBorders>
              <w:top w:val="nil"/>
              <w:left w:val="nil"/>
              <w:bottom w:val="single" w:sz="4" w:space="0" w:color="auto"/>
              <w:right w:val="nil"/>
            </w:tcBorders>
            <w:noWrap/>
            <w:vAlign w:val="center"/>
            <w:hideMark/>
          </w:tcPr>
          <w:p w14:paraId="00451C20"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2.03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0.9, (1-4)</w:t>
            </w:r>
          </w:p>
        </w:tc>
        <w:tc>
          <w:tcPr>
            <w:tcW w:w="1260" w:type="dxa"/>
            <w:tcBorders>
              <w:top w:val="nil"/>
              <w:left w:val="nil"/>
              <w:bottom w:val="single" w:sz="4" w:space="0" w:color="auto"/>
              <w:right w:val="nil"/>
            </w:tcBorders>
            <w:noWrap/>
            <w:vAlign w:val="center"/>
            <w:hideMark/>
          </w:tcPr>
          <w:p w14:paraId="7654AD5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 (1-2)</w:t>
            </w:r>
          </w:p>
        </w:tc>
        <w:tc>
          <w:tcPr>
            <w:tcW w:w="1260" w:type="dxa"/>
            <w:tcBorders>
              <w:top w:val="nil"/>
              <w:left w:val="nil"/>
              <w:bottom w:val="single" w:sz="4" w:space="0" w:color="auto"/>
              <w:right w:val="nil"/>
            </w:tcBorders>
            <w:noWrap/>
            <w:vAlign w:val="center"/>
            <w:hideMark/>
          </w:tcPr>
          <w:p w14:paraId="298B123E"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166" w:type="dxa"/>
            <w:tcBorders>
              <w:top w:val="nil"/>
              <w:left w:val="nil"/>
              <w:bottom w:val="single" w:sz="4" w:space="0" w:color="auto"/>
              <w:right w:val="nil"/>
            </w:tcBorders>
            <w:noWrap/>
            <w:vAlign w:val="center"/>
            <w:hideMark/>
          </w:tcPr>
          <w:p w14:paraId="57478D6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1.83</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0.72, (1-4)</w:t>
            </w:r>
          </w:p>
        </w:tc>
        <w:tc>
          <w:tcPr>
            <w:tcW w:w="1354" w:type="dxa"/>
            <w:tcBorders>
              <w:top w:val="nil"/>
              <w:left w:val="nil"/>
              <w:bottom w:val="single" w:sz="4" w:space="0" w:color="auto"/>
              <w:right w:val="nil"/>
            </w:tcBorders>
            <w:noWrap/>
            <w:vAlign w:val="center"/>
            <w:hideMark/>
          </w:tcPr>
          <w:p w14:paraId="6F08305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1.19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0.46, (1-3)</w:t>
            </w:r>
          </w:p>
        </w:tc>
        <w:tc>
          <w:tcPr>
            <w:tcW w:w="1486" w:type="dxa"/>
            <w:tcBorders>
              <w:top w:val="nil"/>
              <w:left w:val="nil"/>
              <w:bottom w:val="single" w:sz="4" w:space="0" w:color="auto"/>
              <w:right w:val="nil"/>
            </w:tcBorders>
            <w:noWrap/>
            <w:vAlign w:val="center"/>
            <w:hideMark/>
          </w:tcPr>
          <w:p w14:paraId="28341D01"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0.71, (1-3)</w:t>
            </w:r>
          </w:p>
        </w:tc>
        <w:tc>
          <w:tcPr>
            <w:tcW w:w="1266" w:type="dxa"/>
            <w:tcBorders>
              <w:top w:val="nil"/>
              <w:left w:val="nil"/>
              <w:bottom w:val="single" w:sz="4" w:space="0" w:color="auto"/>
              <w:right w:val="nil"/>
            </w:tcBorders>
            <w:noWrap/>
            <w:vAlign w:val="center"/>
            <w:hideMark/>
          </w:tcPr>
          <w:p w14:paraId="72497246"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0.55, (1-2)</w:t>
            </w:r>
          </w:p>
        </w:tc>
        <w:tc>
          <w:tcPr>
            <w:tcW w:w="1350" w:type="dxa"/>
            <w:tcBorders>
              <w:top w:val="nil"/>
              <w:left w:val="nil"/>
              <w:bottom w:val="single" w:sz="4" w:space="0" w:color="auto"/>
              <w:right w:val="nil"/>
            </w:tcBorders>
            <w:noWrap/>
            <w:vAlign w:val="center"/>
            <w:hideMark/>
          </w:tcPr>
          <w:p w14:paraId="06B1C92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2.69</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1.14, (1-4)</w:t>
            </w:r>
          </w:p>
        </w:tc>
      </w:tr>
      <w:tr w:rsidR="00C171AF" w14:paraId="03E1E630" w14:textId="77777777" w:rsidTr="003B0468">
        <w:trPr>
          <w:trHeight w:val="20"/>
        </w:trPr>
        <w:tc>
          <w:tcPr>
            <w:tcW w:w="882" w:type="dxa"/>
            <w:vMerge/>
            <w:tcBorders>
              <w:top w:val="nil"/>
              <w:left w:val="nil"/>
              <w:bottom w:val="single" w:sz="4" w:space="0" w:color="000000"/>
              <w:right w:val="nil"/>
            </w:tcBorders>
            <w:vAlign w:val="center"/>
            <w:hideMark/>
          </w:tcPr>
          <w:p w14:paraId="1971AB9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p>
        </w:tc>
        <w:tc>
          <w:tcPr>
            <w:tcW w:w="619" w:type="dxa"/>
            <w:tcBorders>
              <w:top w:val="nil"/>
              <w:left w:val="nil"/>
              <w:bottom w:val="single" w:sz="4" w:space="0" w:color="auto"/>
              <w:right w:val="nil"/>
            </w:tcBorders>
            <w:vAlign w:val="center"/>
            <w:hideMark/>
          </w:tcPr>
          <w:p w14:paraId="38CFCF64"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Dis</w:t>
            </w:r>
          </w:p>
        </w:tc>
        <w:tc>
          <w:tcPr>
            <w:tcW w:w="1166" w:type="dxa"/>
            <w:tcBorders>
              <w:top w:val="nil"/>
              <w:left w:val="nil"/>
              <w:bottom w:val="single" w:sz="4" w:space="0" w:color="auto"/>
              <w:right w:val="nil"/>
            </w:tcBorders>
            <w:noWrap/>
            <w:vAlign w:val="center"/>
            <w:hideMark/>
          </w:tcPr>
          <w:p w14:paraId="1753F08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1.64, (1-4)</w:t>
            </w:r>
          </w:p>
        </w:tc>
        <w:tc>
          <w:tcPr>
            <w:tcW w:w="1190" w:type="dxa"/>
            <w:tcBorders>
              <w:top w:val="nil"/>
              <w:left w:val="nil"/>
              <w:bottom w:val="single" w:sz="4" w:space="0" w:color="auto"/>
              <w:right w:val="nil"/>
            </w:tcBorders>
            <w:noWrap/>
            <w:vAlign w:val="center"/>
            <w:hideMark/>
          </w:tcPr>
          <w:p w14:paraId="0A3ED2D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0.73, (1-3)</w:t>
            </w:r>
          </w:p>
        </w:tc>
        <w:tc>
          <w:tcPr>
            <w:tcW w:w="1154" w:type="dxa"/>
            <w:tcBorders>
              <w:top w:val="nil"/>
              <w:left w:val="nil"/>
              <w:bottom w:val="single" w:sz="4" w:space="0" w:color="auto"/>
              <w:right w:val="nil"/>
            </w:tcBorders>
            <w:noWrap/>
            <w:vAlign w:val="center"/>
            <w:hideMark/>
          </w:tcPr>
          <w:p w14:paraId="272B689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2.10</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0.89, (1-4)</w:t>
            </w:r>
          </w:p>
        </w:tc>
        <w:tc>
          <w:tcPr>
            <w:tcW w:w="1271" w:type="dxa"/>
            <w:tcBorders>
              <w:top w:val="nil"/>
              <w:left w:val="nil"/>
              <w:bottom w:val="single" w:sz="4" w:space="0" w:color="auto"/>
              <w:right w:val="nil"/>
            </w:tcBorders>
            <w:noWrap/>
            <w:vAlign w:val="center"/>
            <w:hideMark/>
          </w:tcPr>
          <w:p w14:paraId="4758EEBB"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1.85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1.16, (0-4)</w:t>
            </w:r>
          </w:p>
        </w:tc>
        <w:tc>
          <w:tcPr>
            <w:tcW w:w="1260" w:type="dxa"/>
            <w:tcBorders>
              <w:top w:val="nil"/>
              <w:left w:val="nil"/>
              <w:bottom w:val="single" w:sz="4" w:space="0" w:color="auto"/>
              <w:right w:val="nil"/>
            </w:tcBorders>
            <w:noWrap/>
            <w:vAlign w:val="center"/>
            <w:hideMark/>
          </w:tcPr>
          <w:p w14:paraId="39CB4F6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1.75</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 (1-2)</w:t>
            </w:r>
          </w:p>
        </w:tc>
        <w:tc>
          <w:tcPr>
            <w:tcW w:w="1260" w:type="dxa"/>
            <w:tcBorders>
              <w:top w:val="nil"/>
              <w:left w:val="nil"/>
              <w:bottom w:val="single" w:sz="4" w:space="0" w:color="auto"/>
              <w:right w:val="nil"/>
            </w:tcBorders>
            <w:noWrap/>
            <w:vAlign w:val="center"/>
            <w:hideMark/>
          </w:tcPr>
          <w:p w14:paraId="47B20998"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 (1-1)</w:t>
            </w:r>
          </w:p>
        </w:tc>
        <w:tc>
          <w:tcPr>
            <w:tcW w:w="1166" w:type="dxa"/>
            <w:tcBorders>
              <w:top w:val="nil"/>
              <w:left w:val="nil"/>
              <w:bottom w:val="single" w:sz="4" w:space="0" w:color="auto"/>
              <w:right w:val="nil"/>
            </w:tcBorders>
            <w:noWrap/>
            <w:vAlign w:val="center"/>
            <w:hideMark/>
          </w:tcPr>
          <w:p w14:paraId="1426EAA2"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1.58</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1.31, (0-4)</w:t>
            </w:r>
          </w:p>
        </w:tc>
        <w:tc>
          <w:tcPr>
            <w:tcW w:w="1354" w:type="dxa"/>
            <w:tcBorders>
              <w:top w:val="nil"/>
              <w:left w:val="nil"/>
              <w:bottom w:val="single" w:sz="4" w:space="0" w:color="auto"/>
              <w:right w:val="nil"/>
            </w:tcBorders>
            <w:noWrap/>
            <w:vAlign w:val="center"/>
            <w:hideMark/>
          </w:tcPr>
          <w:p w14:paraId="3403F73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0.47, (1-3)</w:t>
            </w:r>
          </w:p>
        </w:tc>
        <w:tc>
          <w:tcPr>
            <w:tcW w:w="1486" w:type="dxa"/>
            <w:tcBorders>
              <w:top w:val="nil"/>
              <w:left w:val="nil"/>
              <w:bottom w:val="single" w:sz="4" w:space="0" w:color="auto"/>
              <w:right w:val="nil"/>
            </w:tcBorders>
            <w:noWrap/>
            <w:vAlign w:val="center"/>
            <w:hideMark/>
          </w:tcPr>
          <w:p w14:paraId="17307CFC"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1.77</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1.02, (1-4)</w:t>
            </w:r>
          </w:p>
        </w:tc>
        <w:tc>
          <w:tcPr>
            <w:tcW w:w="1266" w:type="dxa"/>
            <w:tcBorders>
              <w:top w:val="nil"/>
              <w:left w:val="nil"/>
              <w:bottom w:val="single" w:sz="4" w:space="0" w:color="auto"/>
              <w:right w:val="nil"/>
            </w:tcBorders>
            <w:noWrap/>
            <w:vAlign w:val="center"/>
            <w:hideMark/>
          </w:tcPr>
          <w:p w14:paraId="3A378E43"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1.4</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0.55, (1-2)</w:t>
            </w:r>
          </w:p>
        </w:tc>
        <w:tc>
          <w:tcPr>
            <w:tcW w:w="1350" w:type="dxa"/>
            <w:tcBorders>
              <w:top w:val="nil"/>
              <w:left w:val="nil"/>
              <w:bottom w:val="single" w:sz="4" w:space="0" w:color="auto"/>
              <w:right w:val="nil"/>
            </w:tcBorders>
            <w:noWrap/>
            <w:vAlign w:val="center"/>
            <w:hideMark/>
          </w:tcPr>
          <w:p w14:paraId="00597B75" w14:textId="77777777" w:rsidR="00C171AF" w:rsidRPr="002F2BEA" w:rsidRDefault="00C171AF" w:rsidP="003B0468">
            <w:pPr>
              <w:suppressAutoHyphens/>
              <w:spacing w:line="276" w:lineRule="auto"/>
              <w:jc w:val="left"/>
              <w:rPr>
                <w:rFonts w:asciiTheme="majorBidi" w:eastAsia="Times New Roman" w:hAnsiTheme="majorBidi" w:cstheme="majorBidi"/>
                <w:sz w:val="14"/>
                <w:szCs w:val="14"/>
                <w:lang w:eastAsia="en-US"/>
              </w:rPr>
            </w:pPr>
            <w:r w:rsidRPr="002F2BEA">
              <w:rPr>
                <w:rFonts w:asciiTheme="majorBidi" w:eastAsia="Times New Roman" w:hAnsiTheme="majorBidi" w:cstheme="majorBidi"/>
                <w:sz w:val="14"/>
                <w:szCs w:val="14"/>
                <w:lang w:eastAsia="en-US"/>
              </w:rPr>
              <w:t>2.52</w:t>
            </w:r>
            <w:r w:rsidRPr="002F2BEA">
              <w:rPr>
                <w:rFonts w:asciiTheme="majorBidi" w:eastAsia="Times New Roman" w:hAnsiTheme="majorBidi" w:cstheme="majorBidi"/>
                <w:sz w:val="14"/>
                <w:szCs w:val="14"/>
                <w:u w:val="single"/>
                <w:lang w:eastAsia="en-US"/>
              </w:rPr>
              <w:t>+</w:t>
            </w:r>
            <w:r w:rsidRPr="002F2BEA">
              <w:rPr>
                <w:rFonts w:asciiTheme="majorBidi" w:eastAsia="Times New Roman" w:hAnsiTheme="majorBidi" w:cstheme="majorBidi"/>
                <w:sz w:val="14"/>
                <w:szCs w:val="14"/>
                <w:lang w:eastAsia="en-US"/>
              </w:rPr>
              <w:t>1.3, (1-4)</w:t>
            </w:r>
          </w:p>
        </w:tc>
      </w:tr>
    </w:tbl>
    <w:p w14:paraId="0C487923" w14:textId="77777777" w:rsidR="00C171AF" w:rsidRPr="002F2BEA" w:rsidRDefault="00C171AF" w:rsidP="00C171AF">
      <w:pPr>
        <w:widowControl w:val="0"/>
        <w:suppressAutoHyphens/>
        <w:spacing w:line="240" w:lineRule="auto"/>
        <w:jc w:val="left"/>
        <w:rPr>
          <w:rFonts w:asciiTheme="majorBidi" w:eastAsia="Times New Roman" w:hAnsiTheme="majorBidi" w:cstheme="majorBidi"/>
          <w:sz w:val="18"/>
          <w:szCs w:val="18"/>
        </w:rPr>
      </w:pPr>
    </w:p>
    <w:p w14:paraId="0CDCD15C"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0253767"/>
      <w:docPartObj>
        <w:docPartGallery w:val="Page Numbers (Bottom of Page)"/>
        <w:docPartUnique/>
      </w:docPartObj>
    </w:sdtPr>
    <w:sdtEndPr>
      <w:rPr>
        <w:noProof/>
      </w:rPr>
    </w:sdtEndPr>
    <w:sdtContent>
      <w:p w14:paraId="6FD6FA92" w14:textId="77777777" w:rsidR="00C171AF" w:rsidRDefault="00C171A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557AF46" w14:textId="77777777" w:rsidR="00C171AF" w:rsidRPr="00676729" w:rsidRDefault="00C171AF" w:rsidP="00983354">
    <w:pPr>
      <w:pStyle w:val="Footer"/>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51753"/>
      <w:docPartObj>
        <w:docPartGallery w:val="Page Numbers (Bottom of Page)"/>
        <w:docPartUnique/>
      </w:docPartObj>
    </w:sdtPr>
    <w:sdtEndPr>
      <w:rPr>
        <w:noProof/>
      </w:rPr>
    </w:sdtEndPr>
    <w:sdtContent>
      <w:p w14:paraId="03B8E218" w14:textId="77777777" w:rsidR="00C171AF" w:rsidRDefault="00C171A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6C664D8" w14:textId="77777777" w:rsidR="00C171AF" w:rsidRPr="00372FCD" w:rsidRDefault="00C171AF" w:rsidP="009F2C3A">
    <w:pPr>
      <w:tabs>
        <w:tab w:val="right" w:pos="10466"/>
      </w:tabs>
      <w:adjustRightInd w:val="0"/>
      <w:snapToGrid w:val="0"/>
      <w:spacing w:line="240" w:lineRule="auto"/>
      <w:rPr>
        <w:sz w:val="16"/>
        <w:szCs w:val="16"/>
        <w:lang w:val="fr-CH"/>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BF051" w14:textId="77777777" w:rsidR="00C171AF" w:rsidRDefault="00C171AF" w:rsidP="00983354">
    <w:pPr>
      <w:pStyle w:val="Header"/>
      <w:pBdr>
        <w:bottom w:val="none" w:sz="0" w:space="0" w:color="auto"/>
      </w:pBdr>
    </w:pPr>
  </w:p>
  <w:p w14:paraId="091F3AB8" w14:textId="77777777" w:rsidR="00C171AF" w:rsidRDefault="00C171A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66E45"/>
    <w:multiLevelType w:val="hybridMultilevel"/>
    <w:tmpl w:val="09881792"/>
    <w:lvl w:ilvl="0" w:tplc="E96C8276">
      <w:start w:val="1"/>
      <w:numFmt w:val="decimal"/>
      <w:pStyle w:val="MDPI37itemize"/>
      <w:lvlText w:val="%1."/>
      <w:lvlJc w:val="left"/>
      <w:pPr>
        <w:ind w:left="3033" w:hanging="425"/>
      </w:pPr>
      <w:rPr>
        <w:b w:val="0"/>
        <w:i w:val="0"/>
        <w:sz w:val="20"/>
        <w:vertAlign w:val="baseline"/>
      </w:rPr>
    </w:lvl>
    <w:lvl w:ilvl="1" w:tplc="7554753C" w:tentative="1">
      <w:start w:val="1"/>
      <w:numFmt w:val="lowerLetter"/>
      <w:lvlText w:val="%2."/>
      <w:lvlJc w:val="left"/>
      <w:pPr>
        <w:ind w:left="4048" w:hanging="360"/>
      </w:pPr>
    </w:lvl>
    <w:lvl w:ilvl="2" w:tplc="F3C0B9E2" w:tentative="1">
      <w:start w:val="1"/>
      <w:numFmt w:val="lowerRoman"/>
      <w:lvlText w:val="%3."/>
      <w:lvlJc w:val="right"/>
      <w:pPr>
        <w:ind w:left="4768" w:hanging="180"/>
      </w:pPr>
    </w:lvl>
    <w:lvl w:ilvl="3" w:tplc="AD26F88E" w:tentative="1">
      <w:start w:val="1"/>
      <w:numFmt w:val="decimal"/>
      <w:lvlText w:val="%4."/>
      <w:lvlJc w:val="left"/>
      <w:pPr>
        <w:ind w:left="5488" w:hanging="360"/>
      </w:pPr>
    </w:lvl>
    <w:lvl w:ilvl="4" w:tplc="F1F60BAC" w:tentative="1">
      <w:start w:val="1"/>
      <w:numFmt w:val="lowerLetter"/>
      <w:lvlText w:val="%5."/>
      <w:lvlJc w:val="left"/>
      <w:pPr>
        <w:ind w:left="6208" w:hanging="360"/>
      </w:pPr>
    </w:lvl>
    <w:lvl w:ilvl="5" w:tplc="32E28BCA" w:tentative="1">
      <w:start w:val="1"/>
      <w:numFmt w:val="lowerRoman"/>
      <w:lvlText w:val="%6."/>
      <w:lvlJc w:val="right"/>
      <w:pPr>
        <w:ind w:left="6928" w:hanging="180"/>
      </w:pPr>
    </w:lvl>
    <w:lvl w:ilvl="6" w:tplc="6F4AECC0" w:tentative="1">
      <w:start w:val="1"/>
      <w:numFmt w:val="decimal"/>
      <w:lvlText w:val="%7."/>
      <w:lvlJc w:val="left"/>
      <w:pPr>
        <w:ind w:left="7648" w:hanging="360"/>
      </w:pPr>
    </w:lvl>
    <w:lvl w:ilvl="7" w:tplc="2D383DAC" w:tentative="1">
      <w:start w:val="1"/>
      <w:numFmt w:val="lowerLetter"/>
      <w:lvlText w:val="%8."/>
      <w:lvlJc w:val="left"/>
      <w:pPr>
        <w:ind w:left="8368" w:hanging="360"/>
      </w:pPr>
    </w:lvl>
    <w:lvl w:ilvl="8" w:tplc="7756BB50" w:tentative="1">
      <w:start w:val="1"/>
      <w:numFmt w:val="lowerRoman"/>
      <w:lvlText w:val="%9."/>
      <w:lvlJc w:val="right"/>
      <w:pPr>
        <w:ind w:left="9088" w:hanging="180"/>
      </w:pPr>
    </w:lvl>
  </w:abstractNum>
  <w:abstractNum w:abstractNumId="1" w15:restartNumberingAfterBreak="0">
    <w:nsid w:val="18B468F5"/>
    <w:multiLevelType w:val="hybridMultilevel"/>
    <w:tmpl w:val="C39A5CB0"/>
    <w:lvl w:ilvl="0" w:tplc="4504F756">
      <w:start w:val="1"/>
      <w:numFmt w:val="bullet"/>
      <w:pStyle w:val="MDPI38bullet"/>
      <w:lvlText w:val=""/>
      <w:lvlJc w:val="left"/>
      <w:pPr>
        <w:ind w:left="3033" w:hanging="425"/>
      </w:pPr>
      <w:rPr>
        <w:rFonts w:ascii="Symbol" w:hAnsi="Symbol" w:hint="default"/>
        <w:b w:val="0"/>
        <w:i w:val="0"/>
        <w:sz w:val="20"/>
        <w:vertAlign w:val="baseline"/>
      </w:rPr>
    </w:lvl>
    <w:lvl w:ilvl="1" w:tplc="3132D93C" w:tentative="1">
      <w:start w:val="1"/>
      <w:numFmt w:val="lowerLetter"/>
      <w:lvlText w:val="%2."/>
      <w:lvlJc w:val="left"/>
      <w:pPr>
        <w:ind w:left="1440" w:hanging="360"/>
      </w:pPr>
    </w:lvl>
    <w:lvl w:ilvl="2" w:tplc="503C6E28" w:tentative="1">
      <w:start w:val="1"/>
      <w:numFmt w:val="lowerRoman"/>
      <w:lvlText w:val="%3."/>
      <w:lvlJc w:val="right"/>
      <w:pPr>
        <w:ind w:left="2160" w:hanging="180"/>
      </w:pPr>
    </w:lvl>
    <w:lvl w:ilvl="3" w:tplc="4EFEE05C" w:tentative="1">
      <w:start w:val="1"/>
      <w:numFmt w:val="decimal"/>
      <w:lvlText w:val="%4."/>
      <w:lvlJc w:val="left"/>
      <w:pPr>
        <w:ind w:left="2880" w:hanging="360"/>
      </w:pPr>
    </w:lvl>
    <w:lvl w:ilvl="4" w:tplc="A6940A56" w:tentative="1">
      <w:start w:val="1"/>
      <w:numFmt w:val="lowerLetter"/>
      <w:lvlText w:val="%5."/>
      <w:lvlJc w:val="left"/>
      <w:pPr>
        <w:ind w:left="3600" w:hanging="360"/>
      </w:pPr>
    </w:lvl>
    <w:lvl w:ilvl="5" w:tplc="C0BC615A" w:tentative="1">
      <w:start w:val="1"/>
      <w:numFmt w:val="lowerRoman"/>
      <w:lvlText w:val="%6."/>
      <w:lvlJc w:val="right"/>
      <w:pPr>
        <w:ind w:left="4320" w:hanging="180"/>
      </w:pPr>
    </w:lvl>
    <w:lvl w:ilvl="6" w:tplc="0D548F74" w:tentative="1">
      <w:start w:val="1"/>
      <w:numFmt w:val="decimal"/>
      <w:lvlText w:val="%7."/>
      <w:lvlJc w:val="left"/>
      <w:pPr>
        <w:ind w:left="5040" w:hanging="360"/>
      </w:pPr>
    </w:lvl>
    <w:lvl w:ilvl="7" w:tplc="D848B998" w:tentative="1">
      <w:start w:val="1"/>
      <w:numFmt w:val="lowerLetter"/>
      <w:lvlText w:val="%8."/>
      <w:lvlJc w:val="left"/>
      <w:pPr>
        <w:ind w:left="5760" w:hanging="360"/>
      </w:pPr>
    </w:lvl>
    <w:lvl w:ilvl="8" w:tplc="6A301826" w:tentative="1">
      <w:start w:val="1"/>
      <w:numFmt w:val="lowerRoman"/>
      <w:lvlText w:val="%9."/>
      <w:lvlJc w:val="right"/>
      <w:pPr>
        <w:ind w:left="6480" w:hanging="180"/>
      </w:pPr>
    </w:lvl>
  </w:abstractNum>
  <w:abstractNum w:abstractNumId="2" w15:restartNumberingAfterBreak="0">
    <w:nsid w:val="5097776E"/>
    <w:multiLevelType w:val="hybridMultilevel"/>
    <w:tmpl w:val="0322B0B2"/>
    <w:lvl w:ilvl="0" w:tplc="E128475A">
      <w:start w:val="1"/>
      <w:numFmt w:val="decimal"/>
      <w:pStyle w:val="MDPI71footnotes"/>
      <w:lvlText w:val="%1."/>
      <w:lvlJc w:val="left"/>
      <w:pPr>
        <w:ind w:left="425" w:hanging="425"/>
      </w:pPr>
      <w:rPr>
        <w:vertAlign w:val="superscript"/>
      </w:rPr>
    </w:lvl>
    <w:lvl w:ilvl="1" w:tplc="BC4889C2" w:tentative="1">
      <w:start w:val="1"/>
      <w:numFmt w:val="lowerLetter"/>
      <w:lvlText w:val="%2."/>
      <w:lvlJc w:val="left"/>
      <w:pPr>
        <w:ind w:left="1440" w:hanging="360"/>
      </w:pPr>
    </w:lvl>
    <w:lvl w:ilvl="2" w:tplc="7E400024" w:tentative="1">
      <w:start w:val="1"/>
      <w:numFmt w:val="lowerRoman"/>
      <w:lvlText w:val="%3."/>
      <w:lvlJc w:val="right"/>
      <w:pPr>
        <w:ind w:left="2160" w:hanging="180"/>
      </w:pPr>
    </w:lvl>
    <w:lvl w:ilvl="3" w:tplc="B6E06286" w:tentative="1">
      <w:start w:val="1"/>
      <w:numFmt w:val="decimal"/>
      <w:lvlText w:val="%4."/>
      <w:lvlJc w:val="left"/>
      <w:pPr>
        <w:ind w:left="2880" w:hanging="360"/>
      </w:pPr>
    </w:lvl>
    <w:lvl w:ilvl="4" w:tplc="0332F770" w:tentative="1">
      <w:start w:val="1"/>
      <w:numFmt w:val="lowerLetter"/>
      <w:lvlText w:val="%5."/>
      <w:lvlJc w:val="left"/>
      <w:pPr>
        <w:ind w:left="3600" w:hanging="360"/>
      </w:pPr>
    </w:lvl>
    <w:lvl w:ilvl="5" w:tplc="322E91AE" w:tentative="1">
      <w:start w:val="1"/>
      <w:numFmt w:val="lowerRoman"/>
      <w:lvlText w:val="%6."/>
      <w:lvlJc w:val="right"/>
      <w:pPr>
        <w:ind w:left="4320" w:hanging="180"/>
      </w:pPr>
    </w:lvl>
    <w:lvl w:ilvl="6" w:tplc="5D34EED6" w:tentative="1">
      <w:start w:val="1"/>
      <w:numFmt w:val="decimal"/>
      <w:lvlText w:val="%7."/>
      <w:lvlJc w:val="left"/>
      <w:pPr>
        <w:ind w:left="5040" w:hanging="360"/>
      </w:pPr>
    </w:lvl>
    <w:lvl w:ilvl="7" w:tplc="21A05948" w:tentative="1">
      <w:start w:val="1"/>
      <w:numFmt w:val="lowerLetter"/>
      <w:lvlText w:val="%8."/>
      <w:lvlJc w:val="left"/>
      <w:pPr>
        <w:ind w:left="5760" w:hanging="360"/>
      </w:pPr>
    </w:lvl>
    <w:lvl w:ilvl="8" w:tplc="955429C2" w:tentative="1">
      <w:start w:val="1"/>
      <w:numFmt w:val="lowerRoman"/>
      <w:lvlText w:val="%9."/>
      <w:lvlJc w:val="right"/>
      <w:pPr>
        <w:ind w:left="6480" w:hanging="180"/>
      </w:pPr>
    </w:lvl>
  </w:abstractNum>
  <w:abstractNum w:abstractNumId="3" w15:restartNumberingAfterBreak="0">
    <w:nsid w:val="7BE96AFC"/>
    <w:multiLevelType w:val="hybridMultilevel"/>
    <w:tmpl w:val="28826AD0"/>
    <w:lvl w:ilvl="0" w:tplc="E74ABA66">
      <w:start w:val="1"/>
      <w:numFmt w:val="decimal"/>
      <w:pStyle w:val="MDPI81references"/>
      <w:lvlText w:val="%1."/>
      <w:lvlJc w:val="left"/>
      <w:pPr>
        <w:ind w:left="425" w:hanging="425"/>
      </w:pPr>
      <w:rPr>
        <w:b w:val="0"/>
        <w:i w:val="0"/>
        <w:sz w:val="20"/>
        <w:vertAlign w:val="baseline"/>
      </w:rPr>
    </w:lvl>
    <w:lvl w:ilvl="1" w:tplc="825C61EE" w:tentative="1">
      <w:start w:val="1"/>
      <w:numFmt w:val="lowerLetter"/>
      <w:lvlText w:val="%2."/>
      <w:lvlJc w:val="left"/>
      <w:pPr>
        <w:ind w:left="1440" w:hanging="360"/>
      </w:pPr>
    </w:lvl>
    <w:lvl w:ilvl="2" w:tplc="6CB6E6FA" w:tentative="1">
      <w:start w:val="1"/>
      <w:numFmt w:val="lowerRoman"/>
      <w:lvlText w:val="%3."/>
      <w:lvlJc w:val="right"/>
      <w:pPr>
        <w:ind w:left="2160" w:hanging="180"/>
      </w:pPr>
    </w:lvl>
    <w:lvl w:ilvl="3" w:tplc="9B00BE36" w:tentative="1">
      <w:start w:val="1"/>
      <w:numFmt w:val="decimal"/>
      <w:lvlText w:val="%4."/>
      <w:lvlJc w:val="left"/>
      <w:pPr>
        <w:ind w:left="2880" w:hanging="360"/>
      </w:pPr>
    </w:lvl>
    <w:lvl w:ilvl="4" w:tplc="C9B47C10" w:tentative="1">
      <w:start w:val="1"/>
      <w:numFmt w:val="lowerLetter"/>
      <w:lvlText w:val="%5."/>
      <w:lvlJc w:val="left"/>
      <w:pPr>
        <w:ind w:left="3600" w:hanging="360"/>
      </w:pPr>
    </w:lvl>
    <w:lvl w:ilvl="5" w:tplc="D982F20A" w:tentative="1">
      <w:start w:val="1"/>
      <w:numFmt w:val="lowerRoman"/>
      <w:lvlText w:val="%6."/>
      <w:lvlJc w:val="right"/>
      <w:pPr>
        <w:ind w:left="4320" w:hanging="180"/>
      </w:pPr>
    </w:lvl>
    <w:lvl w:ilvl="6" w:tplc="E85808C6" w:tentative="1">
      <w:start w:val="1"/>
      <w:numFmt w:val="decimal"/>
      <w:lvlText w:val="%7."/>
      <w:lvlJc w:val="left"/>
      <w:pPr>
        <w:ind w:left="5040" w:hanging="360"/>
      </w:pPr>
    </w:lvl>
    <w:lvl w:ilvl="7" w:tplc="D73EE920" w:tentative="1">
      <w:start w:val="1"/>
      <w:numFmt w:val="lowerLetter"/>
      <w:lvlText w:val="%8."/>
      <w:lvlJc w:val="left"/>
      <w:pPr>
        <w:ind w:left="5760" w:hanging="360"/>
      </w:pPr>
    </w:lvl>
    <w:lvl w:ilvl="8" w:tplc="03A88F2E" w:tentative="1">
      <w:start w:val="1"/>
      <w:numFmt w:val="lowerRoman"/>
      <w:lvlText w:val="%9."/>
      <w:lvlJc w:val="right"/>
      <w:pPr>
        <w:ind w:left="6480" w:hanging="180"/>
      </w:pPr>
    </w:lvl>
  </w:abstractNum>
  <w:num w:numId="1" w16cid:durableId="2637098">
    <w:abstractNumId w:val="1"/>
  </w:num>
  <w:num w:numId="2" w16cid:durableId="2088644470">
    <w:abstractNumId w:val="2"/>
  </w:num>
  <w:num w:numId="3" w16cid:durableId="989865690">
    <w:abstractNumId w:val="0"/>
  </w:num>
  <w:num w:numId="4" w16cid:durableId="11043475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1AF"/>
    <w:rsid w:val="000C64A6"/>
    <w:rsid w:val="00195413"/>
    <w:rsid w:val="003D0186"/>
    <w:rsid w:val="007278E4"/>
    <w:rsid w:val="00A3738C"/>
    <w:rsid w:val="00BC6C35"/>
    <w:rsid w:val="00C171AF"/>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6E9B5"/>
  <w15:chartTrackingRefBased/>
  <w15:docId w15:val="{3109468F-ED46-4811-8EF4-B18303B8E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71AF"/>
    <w:pPr>
      <w:spacing w:after="0" w:line="280" w:lineRule="atLeast"/>
      <w:jc w:val="both"/>
    </w:pPr>
    <w:rPr>
      <w:rFonts w:ascii="Palatino Linotype" w:eastAsia="SimSun" w:hAnsi="Palatino Linotype" w:cs="Times New Roman"/>
      <w:color w:val="000000"/>
      <w:kern w:val="0"/>
      <w:sz w:val="20"/>
      <w:szCs w:val="20"/>
      <w:lang w:eastAsia="zh-CN"/>
      <w14:ligatures w14:val="none"/>
    </w:rPr>
  </w:style>
  <w:style w:type="paragraph" w:styleId="Heading1">
    <w:name w:val="heading 1"/>
    <w:basedOn w:val="Normal"/>
    <w:next w:val="Normal"/>
    <w:link w:val="Heading1Char"/>
    <w:uiPriority w:val="99"/>
    <w:qFormat/>
    <w:rsid w:val="00C171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171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171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171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C171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C171A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71A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71A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71A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C171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171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171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C171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C171AF"/>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C171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71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71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71AF"/>
    <w:rPr>
      <w:rFonts w:eastAsiaTheme="majorEastAsia" w:cstheme="majorBidi"/>
      <w:color w:val="272727" w:themeColor="text1" w:themeTint="D8"/>
    </w:rPr>
  </w:style>
  <w:style w:type="paragraph" w:styleId="Title">
    <w:name w:val="Title"/>
    <w:basedOn w:val="Normal"/>
    <w:next w:val="Normal"/>
    <w:link w:val="TitleChar"/>
    <w:uiPriority w:val="10"/>
    <w:qFormat/>
    <w:rsid w:val="00C171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71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71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71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71AF"/>
    <w:pPr>
      <w:spacing w:before="160"/>
      <w:jc w:val="center"/>
    </w:pPr>
    <w:rPr>
      <w:i/>
      <w:iCs/>
      <w:color w:val="404040" w:themeColor="text1" w:themeTint="BF"/>
    </w:rPr>
  </w:style>
  <w:style w:type="character" w:customStyle="1" w:styleId="QuoteChar">
    <w:name w:val="Quote Char"/>
    <w:basedOn w:val="DefaultParagraphFont"/>
    <w:link w:val="Quote"/>
    <w:uiPriority w:val="29"/>
    <w:rsid w:val="00C171AF"/>
    <w:rPr>
      <w:i/>
      <w:iCs/>
      <w:color w:val="404040" w:themeColor="text1" w:themeTint="BF"/>
    </w:rPr>
  </w:style>
  <w:style w:type="paragraph" w:styleId="ListParagraph">
    <w:name w:val="List Paragraph"/>
    <w:basedOn w:val="Normal"/>
    <w:uiPriority w:val="34"/>
    <w:qFormat/>
    <w:rsid w:val="00C171AF"/>
    <w:pPr>
      <w:ind w:left="720"/>
      <w:contextualSpacing/>
    </w:pPr>
  </w:style>
  <w:style w:type="character" w:styleId="IntenseEmphasis">
    <w:name w:val="Intense Emphasis"/>
    <w:basedOn w:val="DefaultParagraphFont"/>
    <w:uiPriority w:val="21"/>
    <w:qFormat/>
    <w:rsid w:val="00C171AF"/>
    <w:rPr>
      <w:i/>
      <w:iCs/>
      <w:color w:val="0F4761" w:themeColor="accent1" w:themeShade="BF"/>
    </w:rPr>
  </w:style>
  <w:style w:type="paragraph" w:styleId="IntenseQuote">
    <w:name w:val="Intense Quote"/>
    <w:basedOn w:val="Normal"/>
    <w:next w:val="Normal"/>
    <w:link w:val="IntenseQuoteChar"/>
    <w:uiPriority w:val="30"/>
    <w:qFormat/>
    <w:rsid w:val="00C171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71AF"/>
    <w:rPr>
      <w:i/>
      <w:iCs/>
      <w:color w:val="0F4761" w:themeColor="accent1" w:themeShade="BF"/>
    </w:rPr>
  </w:style>
  <w:style w:type="character" w:styleId="IntenseReference">
    <w:name w:val="Intense Reference"/>
    <w:basedOn w:val="DefaultParagraphFont"/>
    <w:uiPriority w:val="32"/>
    <w:qFormat/>
    <w:rsid w:val="00C171AF"/>
    <w:rPr>
      <w:b/>
      <w:bCs/>
      <w:smallCaps/>
      <w:color w:val="0F4761" w:themeColor="accent1" w:themeShade="BF"/>
      <w:spacing w:val="5"/>
    </w:rPr>
  </w:style>
  <w:style w:type="paragraph" w:customStyle="1" w:styleId="MDPI11articletype">
    <w:name w:val="MDPI_1.1_article_type"/>
    <w:next w:val="Normal"/>
    <w:qFormat/>
    <w:rsid w:val="00C171AF"/>
    <w:pPr>
      <w:adjustRightInd w:val="0"/>
      <w:snapToGrid w:val="0"/>
      <w:spacing w:before="240" w:after="0" w:line="240" w:lineRule="auto"/>
    </w:pPr>
    <w:rPr>
      <w:rFonts w:ascii="Palatino Linotype" w:eastAsia="Times New Roman" w:hAnsi="Palatino Linotype" w:cs="Times New Roman"/>
      <w:i/>
      <w:snapToGrid w:val="0"/>
      <w:color w:val="000000"/>
      <w:kern w:val="0"/>
      <w:sz w:val="20"/>
      <w:szCs w:val="22"/>
      <w:lang w:eastAsia="de-DE" w:bidi="en-US"/>
      <w14:ligatures w14:val="none"/>
    </w:rPr>
  </w:style>
  <w:style w:type="paragraph" w:customStyle="1" w:styleId="MDPI12title">
    <w:name w:val="MDPI_1.2_title"/>
    <w:next w:val="Normal"/>
    <w:qFormat/>
    <w:rsid w:val="00C171AF"/>
    <w:pPr>
      <w:adjustRightInd w:val="0"/>
      <w:snapToGrid w:val="0"/>
      <w:spacing w:after="240" w:line="240" w:lineRule="atLeast"/>
    </w:pPr>
    <w:rPr>
      <w:rFonts w:ascii="Palatino Linotype" w:eastAsia="Times New Roman" w:hAnsi="Palatino Linotype" w:cs="Times New Roman"/>
      <w:b/>
      <w:snapToGrid w:val="0"/>
      <w:color w:val="000000"/>
      <w:kern w:val="0"/>
      <w:sz w:val="36"/>
      <w:szCs w:val="20"/>
      <w:lang w:eastAsia="de-DE" w:bidi="en-US"/>
      <w14:ligatures w14:val="none"/>
    </w:rPr>
  </w:style>
  <w:style w:type="paragraph" w:customStyle="1" w:styleId="MDPI13authornames">
    <w:name w:val="MDPI_1.3_authornames"/>
    <w:next w:val="Normal"/>
    <w:qFormat/>
    <w:rsid w:val="00C171AF"/>
    <w:pPr>
      <w:adjustRightInd w:val="0"/>
      <w:snapToGrid w:val="0"/>
      <w:spacing w:after="360" w:line="260" w:lineRule="atLeast"/>
    </w:pPr>
    <w:rPr>
      <w:rFonts w:ascii="Palatino Linotype" w:eastAsia="Times New Roman" w:hAnsi="Palatino Linotype" w:cs="Times New Roman"/>
      <w:b/>
      <w:color w:val="000000"/>
      <w:kern w:val="0"/>
      <w:sz w:val="20"/>
      <w:szCs w:val="22"/>
      <w:lang w:eastAsia="de-DE" w:bidi="en-US"/>
      <w14:ligatures w14:val="none"/>
    </w:rPr>
  </w:style>
  <w:style w:type="paragraph" w:customStyle="1" w:styleId="MDPI14history">
    <w:name w:val="MDPI_1.4_history"/>
    <w:basedOn w:val="Normal"/>
    <w:next w:val="Normal"/>
    <w:qFormat/>
    <w:rsid w:val="00C171AF"/>
    <w:pPr>
      <w:adjustRightInd w:val="0"/>
      <w:snapToGrid w:val="0"/>
      <w:spacing w:line="240" w:lineRule="atLeast"/>
      <w:ind w:right="113"/>
      <w:jc w:val="left"/>
    </w:pPr>
    <w:rPr>
      <w:rFonts w:eastAsia="Times New Roman"/>
      <w:sz w:val="14"/>
      <w:lang w:eastAsia="de-DE" w:bidi="en-US"/>
    </w:rPr>
  </w:style>
  <w:style w:type="paragraph" w:customStyle="1" w:styleId="MDPI16affiliation">
    <w:name w:val="MDPI_1.6_affiliation"/>
    <w:qFormat/>
    <w:rsid w:val="00C171AF"/>
    <w:pPr>
      <w:adjustRightInd w:val="0"/>
      <w:snapToGrid w:val="0"/>
      <w:spacing w:after="0" w:line="200" w:lineRule="atLeast"/>
      <w:ind w:left="2806" w:hanging="198"/>
    </w:pPr>
    <w:rPr>
      <w:rFonts w:ascii="Palatino Linotype" w:eastAsia="Times New Roman" w:hAnsi="Palatino Linotype" w:cs="Times New Roman"/>
      <w:color w:val="000000"/>
      <w:kern w:val="0"/>
      <w:sz w:val="16"/>
      <w:szCs w:val="18"/>
      <w:lang w:eastAsia="de-DE" w:bidi="en-US"/>
      <w14:ligatures w14:val="none"/>
    </w:rPr>
  </w:style>
  <w:style w:type="paragraph" w:customStyle="1" w:styleId="MDPI17abstract">
    <w:name w:val="MDPI_1.7_abstract"/>
    <w:next w:val="Normal"/>
    <w:qFormat/>
    <w:rsid w:val="00C171AF"/>
    <w:pPr>
      <w:adjustRightInd w:val="0"/>
      <w:snapToGrid w:val="0"/>
      <w:spacing w:before="240" w:after="0" w:line="280" w:lineRule="atLeast"/>
      <w:ind w:left="2608"/>
      <w:jc w:val="both"/>
    </w:pPr>
    <w:rPr>
      <w:rFonts w:ascii="Palatino Linotype" w:eastAsia="Times New Roman" w:hAnsi="Palatino Linotype" w:cs="Times New Roman"/>
      <w:color w:val="000000"/>
      <w:kern w:val="0"/>
      <w:sz w:val="20"/>
      <w:szCs w:val="22"/>
      <w:lang w:eastAsia="de-DE" w:bidi="en-US"/>
      <w14:ligatures w14:val="none"/>
    </w:rPr>
  </w:style>
  <w:style w:type="paragraph" w:customStyle="1" w:styleId="MDPI18keywords">
    <w:name w:val="MDPI_1.8_keywords"/>
    <w:next w:val="Normal"/>
    <w:qFormat/>
    <w:rsid w:val="00C171AF"/>
    <w:pPr>
      <w:adjustRightInd w:val="0"/>
      <w:snapToGrid w:val="0"/>
      <w:spacing w:before="240" w:after="0" w:line="280" w:lineRule="atLeast"/>
      <w:ind w:left="2608"/>
      <w:jc w:val="both"/>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19line">
    <w:name w:val="MDPI_1.9_line"/>
    <w:qFormat/>
    <w:rsid w:val="00C171AF"/>
    <w:pPr>
      <w:pBdr>
        <w:bottom w:val="single" w:sz="6" w:space="1" w:color="auto"/>
      </w:pBdr>
      <w:adjustRightInd w:val="0"/>
      <w:snapToGrid w:val="0"/>
      <w:spacing w:after="480" w:line="280" w:lineRule="atLeast"/>
      <w:ind w:left="2608"/>
      <w:jc w:val="both"/>
    </w:pPr>
    <w:rPr>
      <w:rFonts w:ascii="Palatino Linotype" w:eastAsia="Times New Roman" w:hAnsi="Palatino Linotype" w:cs="Cordia New"/>
      <w:color w:val="000000"/>
      <w:kern w:val="0"/>
      <w:sz w:val="20"/>
      <w:lang w:eastAsia="de-DE" w:bidi="en-US"/>
      <w14:ligatures w14:val="none"/>
    </w:rPr>
  </w:style>
  <w:style w:type="table" w:customStyle="1" w:styleId="Mdeck5tablebodythreelines">
    <w:name w:val="M_deck_5_table_body_three_lines"/>
    <w:basedOn w:val="TableNormal"/>
    <w:uiPriority w:val="99"/>
    <w:rsid w:val="00C171AF"/>
    <w:pPr>
      <w:adjustRightInd w:val="0"/>
      <w:snapToGrid w:val="0"/>
      <w:spacing w:after="0" w:line="300" w:lineRule="exact"/>
      <w:jc w:val="center"/>
    </w:pPr>
    <w:rPr>
      <w:rFonts w:ascii="Times New Roman" w:eastAsia="SimSun" w:hAnsi="Times New Roman" w:cs="Times New Roman"/>
      <w:kern w:val="0"/>
      <w:sz w:val="20"/>
      <w:szCs w:val="20"/>
      <w:lang w:val="de-DE" w:eastAsia="de-DE"/>
      <w14:ligatures w14:val="non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eGrid">
    <w:name w:val="Table Grid"/>
    <w:basedOn w:val="TableNormal"/>
    <w:uiPriority w:val="59"/>
    <w:rsid w:val="00C171AF"/>
    <w:pPr>
      <w:spacing w:after="0" w:line="260" w:lineRule="atLeast"/>
      <w:jc w:val="both"/>
    </w:pPr>
    <w:rPr>
      <w:rFonts w:ascii="Palatino Linotype" w:eastAsia="SimSun" w:hAnsi="Palatino Linotype" w:cs="Times New Roman"/>
      <w:color w:val="000000"/>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C171AF"/>
    <w:pPr>
      <w:tabs>
        <w:tab w:val="center" w:pos="4153"/>
        <w:tab w:val="right" w:pos="8306"/>
      </w:tabs>
      <w:snapToGrid w:val="0"/>
      <w:spacing w:line="240" w:lineRule="atLeast"/>
    </w:pPr>
    <w:rPr>
      <w:szCs w:val="18"/>
    </w:rPr>
  </w:style>
  <w:style w:type="character" w:customStyle="1" w:styleId="FooterChar">
    <w:name w:val="Footer Char"/>
    <w:basedOn w:val="DefaultParagraphFont"/>
    <w:link w:val="Footer"/>
    <w:uiPriority w:val="99"/>
    <w:rsid w:val="00C171AF"/>
    <w:rPr>
      <w:rFonts w:ascii="Palatino Linotype" w:eastAsia="SimSun" w:hAnsi="Palatino Linotype" w:cs="Times New Roman"/>
      <w:color w:val="000000"/>
      <w:kern w:val="0"/>
      <w:sz w:val="20"/>
      <w:szCs w:val="18"/>
      <w:lang w:eastAsia="zh-CN"/>
      <w14:ligatures w14:val="none"/>
    </w:rPr>
  </w:style>
  <w:style w:type="paragraph" w:styleId="Header">
    <w:name w:val="header"/>
    <w:basedOn w:val="Normal"/>
    <w:link w:val="HeaderChar"/>
    <w:uiPriority w:val="99"/>
    <w:rsid w:val="00C171AF"/>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basedOn w:val="DefaultParagraphFont"/>
    <w:link w:val="Header"/>
    <w:uiPriority w:val="99"/>
    <w:rsid w:val="00C171AF"/>
    <w:rPr>
      <w:rFonts w:ascii="Palatino Linotype" w:eastAsia="SimSun" w:hAnsi="Palatino Linotype" w:cs="Times New Roman"/>
      <w:color w:val="000000"/>
      <w:kern w:val="0"/>
      <w:sz w:val="20"/>
      <w:szCs w:val="18"/>
      <w:lang w:eastAsia="zh-CN"/>
      <w14:ligatures w14:val="none"/>
    </w:rPr>
  </w:style>
  <w:style w:type="paragraph" w:customStyle="1" w:styleId="MDPI32textnoindent">
    <w:name w:val="MDPI_3.2_text_no_indent"/>
    <w:basedOn w:val="MDPI31text"/>
    <w:qFormat/>
    <w:rsid w:val="00C171AF"/>
    <w:pPr>
      <w:ind w:firstLine="0"/>
    </w:pPr>
  </w:style>
  <w:style w:type="paragraph" w:customStyle="1" w:styleId="MDPI31text">
    <w:name w:val="MDPI_3.1_text"/>
    <w:qFormat/>
    <w:rsid w:val="00C171AF"/>
    <w:pPr>
      <w:adjustRightInd w:val="0"/>
      <w:snapToGrid w:val="0"/>
      <w:spacing w:after="0" w:line="280" w:lineRule="atLeast"/>
      <w:ind w:left="2608" w:firstLine="425"/>
      <w:jc w:val="both"/>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33textspaceafter">
    <w:name w:val="MDPI_3.3_text_space_after"/>
    <w:qFormat/>
    <w:rsid w:val="00C171AF"/>
    <w:pPr>
      <w:adjustRightInd w:val="0"/>
      <w:snapToGrid w:val="0"/>
      <w:spacing w:after="240" w:line="280" w:lineRule="atLeast"/>
      <w:ind w:left="2608"/>
      <w:jc w:val="both"/>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35textbeforelist">
    <w:name w:val="MDPI_3.5_text_before_list"/>
    <w:qFormat/>
    <w:rsid w:val="00C171AF"/>
    <w:pPr>
      <w:adjustRightInd w:val="0"/>
      <w:snapToGrid w:val="0"/>
      <w:spacing w:after="0" w:line="280" w:lineRule="atLeast"/>
      <w:ind w:left="2608" w:firstLine="425"/>
      <w:jc w:val="both"/>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36textafterlist">
    <w:name w:val="MDPI_3.6_text_after_list"/>
    <w:qFormat/>
    <w:rsid w:val="00C171AF"/>
    <w:pPr>
      <w:adjustRightInd w:val="0"/>
      <w:snapToGrid w:val="0"/>
      <w:spacing w:before="120" w:after="0" w:line="280" w:lineRule="atLeast"/>
      <w:ind w:left="2608"/>
      <w:jc w:val="both"/>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37itemize">
    <w:name w:val="MDPI_3.7_itemize"/>
    <w:qFormat/>
    <w:rsid w:val="00C171AF"/>
    <w:pPr>
      <w:numPr>
        <w:numId w:val="3"/>
      </w:numPr>
      <w:adjustRightInd w:val="0"/>
      <w:snapToGrid w:val="0"/>
      <w:spacing w:after="0" w:line="280" w:lineRule="atLeast"/>
      <w:jc w:val="both"/>
    </w:pPr>
    <w:rPr>
      <w:rFonts w:ascii="Palatino Linotype" w:eastAsia="Times New Roman" w:hAnsi="Palatino Linotype" w:cs="Times New Roman"/>
      <w:color w:val="000000"/>
      <w:kern w:val="0"/>
      <w:sz w:val="20"/>
      <w:szCs w:val="22"/>
      <w:lang w:eastAsia="de-DE" w:bidi="en-US"/>
      <w14:ligatures w14:val="none"/>
    </w:rPr>
  </w:style>
  <w:style w:type="paragraph" w:customStyle="1" w:styleId="MDPI38bullet">
    <w:name w:val="MDPI_3.8_bullet"/>
    <w:qFormat/>
    <w:rsid w:val="00C171AF"/>
    <w:pPr>
      <w:numPr>
        <w:numId w:val="1"/>
      </w:numPr>
      <w:adjustRightInd w:val="0"/>
      <w:snapToGrid w:val="0"/>
      <w:spacing w:after="0" w:line="280" w:lineRule="atLeast"/>
      <w:jc w:val="both"/>
    </w:pPr>
    <w:rPr>
      <w:rFonts w:ascii="Palatino Linotype" w:eastAsia="Times New Roman" w:hAnsi="Palatino Linotype" w:cs="Times New Roman"/>
      <w:color w:val="000000"/>
      <w:kern w:val="0"/>
      <w:sz w:val="20"/>
      <w:szCs w:val="22"/>
      <w:lang w:eastAsia="de-DE" w:bidi="en-US"/>
      <w14:ligatures w14:val="none"/>
    </w:rPr>
  </w:style>
  <w:style w:type="paragraph" w:customStyle="1" w:styleId="MDPI39equation">
    <w:name w:val="MDPI_3.9_equation"/>
    <w:qFormat/>
    <w:rsid w:val="00C171AF"/>
    <w:pPr>
      <w:adjustRightInd w:val="0"/>
      <w:snapToGrid w:val="0"/>
      <w:spacing w:before="120" w:after="120" w:line="280" w:lineRule="atLeast"/>
      <w:ind w:left="709"/>
      <w:jc w:val="center"/>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3aequationnumber">
    <w:name w:val="MDPI_3.a_equation_number"/>
    <w:qFormat/>
    <w:rsid w:val="00C171AF"/>
    <w:pPr>
      <w:spacing w:before="120" w:after="120" w:line="280" w:lineRule="atLeast"/>
      <w:jc w:val="right"/>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41tablecaption">
    <w:name w:val="MDPI_4.1_table_caption"/>
    <w:qFormat/>
    <w:rsid w:val="00C171AF"/>
    <w:pPr>
      <w:adjustRightInd w:val="0"/>
      <w:snapToGrid w:val="0"/>
      <w:spacing w:before="240" w:after="120" w:line="280" w:lineRule="atLeast"/>
      <w:ind w:left="2608"/>
      <w:jc w:val="both"/>
    </w:pPr>
    <w:rPr>
      <w:rFonts w:ascii="Palatino Linotype" w:eastAsia="Times New Roman" w:hAnsi="Palatino Linotype" w:cs="Cordia New"/>
      <w:color w:val="000000"/>
      <w:kern w:val="0"/>
      <w:sz w:val="18"/>
      <w:szCs w:val="22"/>
      <w:lang w:eastAsia="de-DE" w:bidi="en-US"/>
      <w14:ligatures w14:val="none"/>
    </w:rPr>
  </w:style>
  <w:style w:type="paragraph" w:customStyle="1" w:styleId="MDPI42tablebody">
    <w:name w:val="MDPI_4.2_table_body"/>
    <w:qFormat/>
    <w:rsid w:val="00C171AF"/>
    <w:pPr>
      <w:adjustRightInd w:val="0"/>
      <w:snapToGrid w:val="0"/>
      <w:spacing w:after="0" w:line="260" w:lineRule="atLeast"/>
      <w:jc w:val="center"/>
    </w:pPr>
    <w:rPr>
      <w:rFonts w:ascii="Palatino Linotype" w:eastAsia="Times New Roman" w:hAnsi="Palatino Linotype" w:cs="Times New Roman"/>
      <w:snapToGrid w:val="0"/>
      <w:color w:val="000000"/>
      <w:kern w:val="0"/>
      <w:sz w:val="20"/>
      <w:szCs w:val="20"/>
      <w:lang w:eastAsia="de-DE" w:bidi="en-US"/>
      <w14:ligatures w14:val="none"/>
    </w:rPr>
  </w:style>
  <w:style w:type="paragraph" w:customStyle="1" w:styleId="MDPI43tablefooter">
    <w:name w:val="MDPI_4.3_table_footer"/>
    <w:next w:val="MDPI31text"/>
    <w:qFormat/>
    <w:rsid w:val="00C171AF"/>
    <w:pPr>
      <w:adjustRightInd w:val="0"/>
      <w:snapToGrid w:val="0"/>
      <w:spacing w:after="0" w:line="280" w:lineRule="atLeast"/>
      <w:ind w:left="2608"/>
      <w:jc w:val="both"/>
    </w:pPr>
    <w:rPr>
      <w:rFonts w:ascii="Palatino Linotype" w:eastAsia="Times New Roman" w:hAnsi="Palatino Linotype" w:cs="Cordia New"/>
      <w:color w:val="000000"/>
      <w:kern w:val="0"/>
      <w:sz w:val="18"/>
      <w:szCs w:val="22"/>
      <w:lang w:eastAsia="de-DE" w:bidi="en-US"/>
      <w14:ligatures w14:val="none"/>
    </w:rPr>
  </w:style>
  <w:style w:type="paragraph" w:customStyle="1" w:styleId="MDPI51figurecaption">
    <w:name w:val="MDPI_5.1_figure_caption"/>
    <w:qFormat/>
    <w:rsid w:val="00C171AF"/>
    <w:pPr>
      <w:adjustRightInd w:val="0"/>
      <w:snapToGrid w:val="0"/>
      <w:spacing w:before="120" w:after="240" w:line="280" w:lineRule="atLeast"/>
      <w:ind w:left="2608"/>
      <w:jc w:val="both"/>
    </w:pPr>
    <w:rPr>
      <w:rFonts w:ascii="Palatino Linotype" w:eastAsia="Times New Roman" w:hAnsi="Palatino Linotype" w:cs="Times New Roman"/>
      <w:color w:val="000000"/>
      <w:kern w:val="0"/>
      <w:sz w:val="18"/>
      <w:szCs w:val="20"/>
      <w:lang w:eastAsia="de-DE" w:bidi="en-US"/>
      <w14:ligatures w14:val="none"/>
    </w:rPr>
  </w:style>
  <w:style w:type="paragraph" w:customStyle="1" w:styleId="MDPI52figure">
    <w:name w:val="MDPI_5.2_figure"/>
    <w:qFormat/>
    <w:rsid w:val="00C171AF"/>
    <w:pPr>
      <w:adjustRightInd w:val="0"/>
      <w:snapToGrid w:val="0"/>
      <w:spacing w:before="240" w:after="120" w:line="240" w:lineRule="auto"/>
      <w:jc w:val="center"/>
    </w:pPr>
    <w:rPr>
      <w:rFonts w:ascii="Palatino Linotype" w:eastAsia="Times New Roman" w:hAnsi="Palatino Linotype" w:cs="Times New Roman"/>
      <w:snapToGrid w:val="0"/>
      <w:color w:val="000000"/>
      <w:kern w:val="0"/>
      <w:sz w:val="20"/>
      <w:szCs w:val="20"/>
      <w:lang w:eastAsia="de-DE" w:bidi="en-US"/>
      <w14:ligatures w14:val="none"/>
    </w:rPr>
  </w:style>
  <w:style w:type="paragraph" w:customStyle="1" w:styleId="MDPI23heading3">
    <w:name w:val="MDPI_2.3_heading3"/>
    <w:qFormat/>
    <w:rsid w:val="00C171AF"/>
    <w:pPr>
      <w:adjustRightInd w:val="0"/>
      <w:snapToGrid w:val="0"/>
      <w:spacing w:before="60" w:after="60" w:line="280" w:lineRule="atLeast"/>
      <w:ind w:left="2608"/>
      <w:outlineLvl w:val="2"/>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21heading1">
    <w:name w:val="MDPI_2.1_heading1"/>
    <w:qFormat/>
    <w:rsid w:val="00C171AF"/>
    <w:pPr>
      <w:adjustRightInd w:val="0"/>
      <w:snapToGrid w:val="0"/>
      <w:spacing w:before="240" w:after="60" w:line="280" w:lineRule="atLeast"/>
      <w:ind w:left="2608"/>
      <w:outlineLvl w:val="0"/>
    </w:pPr>
    <w:rPr>
      <w:rFonts w:ascii="Palatino Linotype" w:eastAsia="Times New Roman" w:hAnsi="Palatino Linotype" w:cs="Times New Roman"/>
      <w:b/>
      <w:snapToGrid w:val="0"/>
      <w:color w:val="000000"/>
      <w:kern w:val="0"/>
      <w:szCs w:val="22"/>
      <w:lang w:eastAsia="de-DE" w:bidi="en-US"/>
      <w14:ligatures w14:val="none"/>
    </w:rPr>
  </w:style>
  <w:style w:type="paragraph" w:customStyle="1" w:styleId="MDPI22heading2">
    <w:name w:val="MDPI_2.2_heading2"/>
    <w:qFormat/>
    <w:rsid w:val="00C171AF"/>
    <w:pPr>
      <w:adjustRightInd w:val="0"/>
      <w:snapToGrid w:val="0"/>
      <w:spacing w:before="60" w:after="60" w:line="280" w:lineRule="atLeast"/>
      <w:ind w:left="2608"/>
      <w:outlineLvl w:val="1"/>
    </w:pPr>
    <w:rPr>
      <w:rFonts w:ascii="Palatino Linotype" w:eastAsia="Times New Roman" w:hAnsi="Palatino Linotype" w:cs="Times New Roman"/>
      <w:i/>
      <w:noProof/>
      <w:snapToGrid w:val="0"/>
      <w:color w:val="000000"/>
      <w:kern w:val="0"/>
      <w:sz w:val="20"/>
      <w:szCs w:val="22"/>
      <w:lang w:eastAsia="de-DE" w:bidi="en-US"/>
      <w14:ligatures w14:val="none"/>
    </w:rPr>
  </w:style>
  <w:style w:type="paragraph" w:customStyle="1" w:styleId="MDPI81references">
    <w:name w:val="MDPI_8.1_references"/>
    <w:qFormat/>
    <w:rsid w:val="00C171AF"/>
    <w:pPr>
      <w:numPr>
        <w:numId w:val="4"/>
      </w:numPr>
      <w:adjustRightInd w:val="0"/>
      <w:snapToGrid w:val="0"/>
      <w:spacing w:after="0" w:line="280" w:lineRule="atLeast"/>
      <w:jc w:val="both"/>
    </w:pPr>
    <w:rPr>
      <w:rFonts w:ascii="Palatino Linotype" w:eastAsia="Times New Roman" w:hAnsi="Palatino Linotype" w:cs="Times New Roman"/>
      <w:color w:val="000000"/>
      <w:kern w:val="0"/>
      <w:sz w:val="18"/>
      <w:szCs w:val="20"/>
      <w:lang w:eastAsia="de-DE" w:bidi="en-US"/>
      <w14:ligatures w14:val="none"/>
    </w:rPr>
  </w:style>
  <w:style w:type="paragraph" w:styleId="BalloonText">
    <w:name w:val="Balloon Text"/>
    <w:basedOn w:val="Normal"/>
    <w:link w:val="BalloonTextChar"/>
    <w:uiPriority w:val="99"/>
    <w:rsid w:val="00C171AF"/>
    <w:rPr>
      <w:rFonts w:cs="Tahoma"/>
      <w:szCs w:val="18"/>
    </w:rPr>
  </w:style>
  <w:style w:type="character" w:customStyle="1" w:styleId="BalloonTextChar">
    <w:name w:val="Balloon Text Char"/>
    <w:basedOn w:val="DefaultParagraphFont"/>
    <w:link w:val="BalloonText"/>
    <w:uiPriority w:val="99"/>
    <w:rsid w:val="00C171AF"/>
    <w:rPr>
      <w:rFonts w:ascii="Palatino Linotype" w:eastAsia="SimSun" w:hAnsi="Palatino Linotype" w:cs="Tahoma"/>
      <w:color w:val="000000"/>
      <w:kern w:val="0"/>
      <w:sz w:val="20"/>
      <w:szCs w:val="18"/>
      <w:lang w:eastAsia="zh-CN"/>
      <w14:ligatures w14:val="none"/>
    </w:rPr>
  </w:style>
  <w:style w:type="character" w:styleId="LineNumber">
    <w:name w:val="line number"/>
    <w:uiPriority w:val="99"/>
    <w:rsid w:val="00C171AF"/>
    <w:rPr>
      <w:rFonts w:ascii="Palatino Linotype" w:hAnsi="Palatino Linotype"/>
      <w:sz w:val="16"/>
    </w:rPr>
  </w:style>
  <w:style w:type="table" w:customStyle="1" w:styleId="MDPI41threelinetable">
    <w:name w:val="MDPI_4.1_three_line_table"/>
    <w:basedOn w:val="TableNormal"/>
    <w:uiPriority w:val="99"/>
    <w:rsid w:val="00C171AF"/>
    <w:pPr>
      <w:adjustRightInd w:val="0"/>
      <w:snapToGrid w:val="0"/>
      <w:spacing w:after="0" w:line="280" w:lineRule="atLeast"/>
      <w:jc w:val="center"/>
    </w:pPr>
    <w:rPr>
      <w:rFonts w:ascii="Palatino Linotype" w:eastAsia="SimSun" w:hAnsi="Palatino Linotype" w:cs="Times New Roman"/>
      <w:color w:val="000000"/>
      <w:kern w:val="0"/>
      <w:sz w:val="20"/>
      <w:szCs w:val="20"/>
      <w:lang w:eastAsia="zh-CN"/>
      <w14:ligatures w14:val="none"/>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rsid w:val="00C171AF"/>
    <w:rPr>
      <w:color w:val="0000FF"/>
      <w:u w:val="single"/>
    </w:rPr>
  </w:style>
  <w:style w:type="character" w:styleId="UnresolvedMention">
    <w:name w:val="Unresolved Mention"/>
    <w:uiPriority w:val="99"/>
    <w:semiHidden/>
    <w:unhideWhenUsed/>
    <w:rsid w:val="00C171AF"/>
    <w:rPr>
      <w:color w:val="605E5C"/>
      <w:shd w:val="clear" w:color="auto" w:fill="E1DFDD"/>
    </w:rPr>
  </w:style>
  <w:style w:type="table" w:styleId="PlainTable4">
    <w:name w:val="Plain Table 4"/>
    <w:basedOn w:val="TableNormal"/>
    <w:uiPriority w:val="44"/>
    <w:rsid w:val="00C171AF"/>
    <w:pPr>
      <w:spacing w:after="0" w:line="240" w:lineRule="auto"/>
    </w:pPr>
    <w:rPr>
      <w:rFonts w:ascii="Calibri" w:eastAsia="SimSun" w:hAnsi="Calibri" w:cs="Times New Roman"/>
      <w:kern w:val="0"/>
      <w:sz w:val="20"/>
      <w:szCs w:val="20"/>
      <w:lang w:eastAsia="zh-CN"/>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34textspacebefore">
    <w:name w:val="MDPI_3.4_text_space_before"/>
    <w:qFormat/>
    <w:rsid w:val="00C171AF"/>
    <w:pPr>
      <w:adjustRightInd w:val="0"/>
      <w:snapToGrid w:val="0"/>
      <w:spacing w:before="240" w:after="0" w:line="280" w:lineRule="atLeast"/>
      <w:ind w:left="2608"/>
      <w:jc w:val="both"/>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82theorem">
    <w:name w:val="MDPI_8.2_theorem"/>
    <w:qFormat/>
    <w:rsid w:val="00C171AF"/>
    <w:pPr>
      <w:adjustRightInd w:val="0"/>
      <w:snapToGrid w:val="0"/>
      <w:spacing w:after="0" w:line="280" w:lineRule="atLeast"/>
      <w:ind w:left="2608"/>
      <w:jc w:val="both"/>
    </w:pPr>
    <w:rPr>
      <w:rFonts w:ascii="Palatino Linotype" w:eastAsia="Times New Roman" w:hAnsi="Palatino Linotype" w:cs="Times New Roman"/>
      <w:i/>
      <w:snapToGrid w:val="0"/>
      <w:color w:val="000000"/>
      <w:kern w:val="0"/>
      <w:sz w:val="20"/>
      <w:szCs w:val="22"/>
      <w:lang w:eastAsia="de-DE" w:bidi="en-US"/>
      <w14:ligatures w14:val="none"/>
    </w:rPr>
  </w:style>
  <w:style w:type="paragraph" w:customStyle="1" w:styleId="MDPI83proof">
    <w:name w:val="MDPI_8.3_proof"/>
    <w:qFormat/>
    <w:rsid w:val="00C171AF"/>
    <w:pPr>
      <w:adjustRightInd w:val="0"/>
      <w:snapToGrid w:val="0"/>
      <w:spacing w:after="0" w:line="280" w:lineRule="atLeast"/>
      <w:ind w:left="2608"/>
      <w:jc w:val="both"/>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61citation">
    <w:name w:val="MDPI_6.1_citation"/>
    <w:qFormat/>
    <w:rsid w:val="00C171AF"/>
    <w:pPr>
      <w:adjustRightInd w:val="0"/>
      <w:snapToGrid w:val="0"/>
      <w:spacing w:before="120" w:after="120" w:line="240" w:lineRule="atLeast"/>
      <w:ind w:right="113"/>
    </w:pPr>
    <w:rPr>
      <w:rFonts w:ascii="Palatino Linotype" w:eastAsia="SimSun" w:hAnsi="Palatino Linotype" w:cs="Cordia New"/>
      <w:kern w:val="0"/>
      <w:sz w:val="14"/>
      <w:szCs w:val="22"/>
      <w:lang w:eastAsia="zh-CN"/>
      <w14:ligatures w14:val="none"/>
    </w:rPr>
  </w:style>
  <w:style w:type="paragraph" w:customStyle="1" w:styleId="MDPI62backmatter">
    <w:name w:val="MDPI_6.2_back_matter"/>
    <w:qFormat/>
    <w:rsid w:val="00C171AF"/>
    <w:pPr>
      <w:adjustRightInd w:val="0"/>
      <w:snapToGrid w:val="0"/>
      <w:spacing w:after="120" w:line="280" w:lineRule="atLeast"/>
      <w:ind w:left="2608"/>
      <w:jc w:val="both"/>
    </w:pPr>
    <w:rPr>
      <w:rFonts w:ascii="Palatino Linotype" w:eastAsia="Times New Roman" w:hAnsi="Palatino Linotype" w:cs="Times New Roman"/>
      <w:snapToGrid w:val="0"/>
      <w:color w:val="000000"/>
      <w:kern w:val="0"/>
      <w:sz w:val="18"/>
      <w:szCs w:val="20"/>
      <w:lang w:bidi="en-US"/>
      <w14:ligatures w14:val="none"/>
    </w:rPr>
  </w:style>
  <w:style w:type="paragraph" w:customStyle="1" w:styleId="MDPI63notes">
    <w:name w:val="MDPI_6.3_notes"/>
    <w:qFormat/>
    <w:rsid w:val="00C171AF"/>
    <w:pPr>
      <w:adjustRightInd w:val="0"/>
      <w:snapToGrid w:val="0"/>
      <w:spacing w:before="240" w:after="0" w:line="280" w:lineRule="atLeast"/>
      <w:jc w:val="both"/>
    </w:pPr>
    <w:rPr>
      <w:rFonts w:ascii="Palatino Linotype" w:eastAsia="SimSun" w:hAnsi="Palatino Linotype" w:cs="Times New Roman"/>
      <w:snapToGrid w:val="0"/>
      <w:color w:val="000000"/>
      <w:kern w:val="0"/>
      <w:sz w:val="18"/>
      <w:szCs w:val="20"/>
      <w:lang w:bidi="en-US"/>
      <w14:ligatures w14:val="none"/>
    </w:rPr>
  </w:style>
  <w:style w:type="paragraph" w:customStyle="1" w:styleId="MDPI15academiceditor">
    <w:name w:val="MDPI_1.5_academic_editor"/>
    <w:qFormat/>
    <w:rsid w:val="00C171AF"/>
    <w:pPr>
      <w:adjustRightInd w:val="0"/>
      <w:snapToGrid w:val="0"/>
      <w:spacing w:before="120" w:after="0" w:line="240" w:lineRule="atLeast"/>
      <w:ind w:right="113"/>
    </w:pPr>
    <w:rPr>
      <w:rFonts w:ascii="Palatino Linotype" w:eastAsia="Times New Roman" w:hAnsi="Palatino Linotype" w:cs="Times New Roman"/>
      <w:color w:val="000000"/>
      <w:kern w:val="0"/>
      <w:sz w:val="14"/>
      <w:szCs w:val="22"/>
      <w:lang w:eastAsia="de-DE" w:bidi="en-US"/>
      <w14:ligatures w14:val="none"/>
    </w:rPr>
  </w:style>
  <w:style w:type="paragraph" w:customStyle="1" w:styleId="MDPI411onetablecaption">
    <w:name w:val="MDPI_4.1.1_one_table_caption"/>
    <w:qFormat/>
    <w:rsid w:val="00C171AF"/>
    <w:pPr>
      <w:adjustRightInd w:val="0"/>
      <w:snapToGrid w:val="0"/>
      <w:spacing w:before="240" w:after="120" w:line="280" w:lineRule="atLeast"/>
      <w:jc w:val="center"/>
    </w:pPr>
    <w:rPr>
      <w:rFonts w:ascii="Palatino Linotype" w:eastAsia="SimSun" w:hAnsi="Palatino Linotype" w:cs="Cordia New"/>
      <w:noProof/>
      <w:color w:val="000000"/>
      <w:kern w:val="0"/>
      <w:sz w:val="18"/>
      <w:szCs w:val="22"/>
      <w:lang w:eastAsia="zh-CN" w:bidi="en-US"/>
      <w14:ligatures w14:val="none"/>
    </w:rPr>
  </w:style>
  <w:style w:type="paragraph" w:customStyle="1" w:styleId="MDPI511onefigurecaption">
    <w:name w:val="MDPI_5.1.1_one_figure_caption"/>
    <w:qFormat/>
    <w:rsid w:val="00C171AF"/>
    <w:pPr>
      <w:adjustRightInd w:val="0"/>
      <w:snapToGrid w:val="0"/>
      <w:spacing w:before="240" w:after="120" w:line="280" w:lineRule="atLeast"/>
      <w:jc w:val="center"/>
    </w:pPr>
    <w:rPr>
      <w:rFonts w:ascii="Palatino Linotype" w:eastAsia="SimSun" w:hAnsi="Palatino Linotype" w:cs="Times New Roman"/>
      <w:noProof/>
      <w:color w:val="000000"/>
      <w:kern w:val="0"/>
      <w:sz w:val="18"/>
      <w:szCs w:val="20"/>
      <w:lang w:eastAsia="zh-CN" w:bidi="en-US"/>
      <w14:ligatures w14:val="none"/>
    </w:rPr>
  </w:style>
  <w:style w:type="paragraph" w:customStyle="1" w:styleId="MDPI72copyright">
    <w:name w:val="MDPI_7.2_copyright"/>
    <w:qFormat/>
    <w:rsid w:val="00C171AF"/>
    <w:pPr>
      <w:adjustRightInd w:val="0"/>
      <w:snapToGrid w:val="0"/>
      <w:spacing w:before="120" w:after="0" w:line="240" w:lineRule="atLeast"/>
      <w:ind w:right="113"/>
    </w:pPr>
    <w:rPr>
      <w:rFonts w:ascii="Palatino Linotype" w:eastAsia="Times New Roman" w:hAnsi="Palatino Linotype" w:cs="Times New Roman"/>
      <w:noProof/>
      <w:snapToGrid w:val="0"/>
      <w:color w:val="000000"/>
      <w:kern w:val="0"/>
      <w:sz w:val="14"/>
      <w:szCs w:val="20"/>
      <w:lang w:val="en-GB" w:eastAsia="en-GB"/>
      <w14:ligatures w14:val="none"/>
    </w:rPr>
  </w:style>
  <w:style w:type="table" w:customStyle="1" w:styleId="MDPItable">
    <w:name w:val="MDPI_table"/>
    <w:basedOn w:val="TableNormal"/>
    <w:uiPriority w:val="99"/>
    <w:rsid w:val="00C171AF"/>
    <w:pPr>
      <w:spacing w:after="0" w:line="240" w:lineRule="auto"/>
    </w:pPr>
    <w:rPr>
      <w:rFonts w:ascii="Palatino Linotype" w:eastAsia="SimSun" w:hAnsi="Palatino Linotype" w:cs="Times New Roman"/>
      <w:color w:val="000000"/>
      <w:kern w:val="0"/>
      <w:sz w:val="20"/>
      <w:szCs w:val="20"/>
      <w:lang w:val="en-CA"/>
      <w14:ligatures w14:val="none"/>
    </w:rPr>
    <w:tblPr>
      <w:tblCellMar>
        <w:left w:w="0" w:type="dxa"/>
        <w:right w:w="0" w:type="dxa"/>
      </w:tblCellMar>
    </w:tblPr>
  </w:style>
  <w:style w:type="character" w:customStyle="1" w:styleId="apple-converted-space">
    <w:name w:val="apple-converted-space"/>
    <w:rsid w:val="00C171AF"/>
  </w:style>
  <w:style w:type="paragraph" w:styleId="Bibliography">
    <w:name w:val="Bibliography"/>
    <w:basedOn w:val="Normal"/>
    <w:next w:val="Normal"/>
    <w:uiPriority w:val="37"/>
    <w:semiHidden/>
    <w:unhideWhenUsed/>
    <w:rsid w:val="00C171AF"/>
  </w:style>
  <w:style w:type="paragraph" w:styleId="BodyText">
    <w:name w:val="Body Text"/>
    <w:link w:val="BodyTextChar"/>
    <w:rsid w:val="00C171AF"/>
    <w:pPr>
      <w:spacing w:after="120" w:line="340" w:lineRule="atLeast"/>
      <w:jc w:val="both"/>
    </w:pPr>
    <w:rPr>
      <w:rFonts w:ascii="Palatino Linotype" w:eastAsia="SimSun" w:hAnsi="Palatino Linotype" w:cs="Times New Roman"/>
      <w:color w:val="000000"/>
      <w:kern w:val="0"/>
      <w:szCs w:val="20"/>
      <w:lang w:eastAsia="de-DE"/>
      <w14:ligatures w14:val="none"/>
    </w:rPr>
  </w:style>
  <w:style w:type="character" w:customStyle="1" w:styleId="BodyTextChar">
    <w:name w:val="Body Text Char"/>
    <w:basedOn w:val="DefaultParagraphFont"/>
    <w:link w:val="BodyText"/>
    <w:rsid w:val="00C171AF"/>
    <w:rPr>
      <w:rFonts w:ascii="Palatino Linotype" w:eastAsia="SimSun" w:hAnsi="Palatino Linotype" w:cs="Times New Roman"/>
      <w:color w:val="000000"/>
      <w:kern w:val="0"/>
      <w:szCs w:val="20"/>
      <w:lang w:eastAsia="de-DE"/>
      <w14:ligatures w14:val="none"/>
    </w:rPr>
  </w:style>
  <w:style w:type="character" w:styleId="CommentReference">
    <w:name w:val="annotation reference"/>
    <w:uiPriority w:val="99"/>
    <w:rsid w:val="00C171AF"/>
    <w:rPr>
      <w:sz w:val="21"/>
      <w:szCs w:val="21"/>
    </w:rPr>
  </w:style>
  <w:style w:type="paragraph" w:styleId="CommentText">
    <w:name w:val="annotation text"/>
    <w:basedOn w:val="Normal"/>
    <w:link w:val="CommentTextChar"/>
    <w:uiPriority w:val="99"/>
    <w:rsid w:val="00C171AF"/>
  </w:style>
  <w:style w:type="character" w:customStyle="1" w:styleId="CommentTextChar">
    <w:name w:val="Comment Text Char"/>
    <w:basedOn w:val="DefaultParagraphFont"/>
    <w:link w:val="CommentText"/>
    <w:uiPriority w:val="99"/>
    <w:rsid w:val="00C171AF"/>
    <w:rPr>
      <w:rFonts w:ascii="Palatino Linotype" w:eastAsia="SimSun" w:hAnsi="Palatino Linotype" w:cs="Times New Roman"/>
      <w:color w:val="000000"/>
      <w:kern w:val="0"/>
      <w:sz w:val="20"/>
      <w:szCs w:val="20"/>
      <w:lang w:eastAsia="zh-CN"/>
      <w14:ligatures w14:val="none"/>
    </w:rPr>
  </w:style>
  <w:style w:type="paragraph" w:styleId="CommentSubject">
    <w:name w:val="annotation subject"/>
    <w:basedOn w:val="CommentText"/>
    <w:next w:val="CommentText"/>
    <w:link w:val="CommentSubjectChar"/>
    <w:uiPriority w:val="99"/>
    <w:rsid w:val="00C171AF"/>
    <w:rPr>
      <w:b/>
      <w:bCs/>
    </w:rPr>
  </w:style>
  <w:style w:type="character" w:customStyle="1" w:styleId="CommentSubjectChar">
    <w:name w:val="Comment Subject Char"/>
    <w:basedOn w:val="CommentTextChar"/>
    <w:link w:val="CommentSubject"/>
    <w:uiPriority w:val="99"/>
    <w:rsid w:val="00C171AF"/>
    <w:rPr>
      <w:rFonts w:ascii="Palatino Linotype" w:eastAsia="SimSun" w:hAnsi="Palatino Linotype" w:cs="Times New Roman"/>
      <w:b/>
      <w:bCs/>
      <w:color w:val="000000"/>
      <w:kern w:val="0"/>
      <w:sz w:val="20"/>
      <w:szCs w:val="20"/>
      <w:lang w:eastAsia="zh-CN"/>
      <w14:ligatures w14:val="none"/>
    </w:rPr>
  </w:style>
  <w:style w:type="character" w:styleId="EndnoteReference">
    <w:name w:val="endnote reference"/>
    <w:rsid w:val="00C171AF"/>
    <w:rPr>
      <w:vertAlign w:val="superscript"/>
    </w:rPr>
  </w:style>
  <w:style w:type="paragraph" w:styleId="EndnoteText">
    <w:name w:val="endnote text"/>
    <w:basedOn w:val="Normal"/>
    <w:link w:val="EndnoteTextChar"/>
    <w:semiHidden/>
    <w:unhideWhenUsed/>
    <w:rsid w:val="00C171AF"/>
    <w:pPr>
      <w:spacing w:line="240" w:lineRule="auto"/>
    </w:pPr>
  </w:style>
  <w:style w:type="character" w:customStyle="1" w:styleId="EndnoteTextChar">
    <w:name w:val="Endnote Text Char"/>
    <w:basedOn w:val="DefaultParagraphFont"/>
    <w:link w:val="EndnoteText"/>
    <w:semiHidden/>
    <w:rsid w:val="00C171AF"/>
    <w:rPr>
      <w:rFonts w:ascii="Palatino Linotype" w:eastAsia="SimSun" w:hAnsi="Palatino Linotype" w:cs="Times New Roman"/>
      <w:color w:val="000000"/>
      <w:kern w:val="0"/>
      <w:sz w:val="20"/>
      <w:szCs w:val="20"/>
      <w:lang w:eastAsia="zh-CN"/>
      <w14:ligatures w14:val="none"/>
    </w:rPr>
  </w:style>
  <w:style w:type="character" w:styleId="FollowedHyperlink">
    <w:name w:val="FollowedHyperlink"/>
    <w:uiPriority w:val="99"/>
    <w:rsid w:val="00C171AF"/>
    <w:rPr>
      <w:color w:val="954F72"/>
      <w:u w:val="single"/>
    </w:rPr>
  </w:style>
  <w:style w:type="paragraph" w:styleId="FootnoteText">
    <w:name w:val="footnote text"/>
    <w:basedOn w:val="Normal"/>
    <w:link w:val="FootnoteTextChar"/>
    <w:semiHidden/>
    <w:unhideWhenUsed/>
    <w:rsid w:val="00C171AF"/>
    <w:pPr>
      <w:spacing w:line="240" w:lineRule="auto"/>
    </w:pPr>
  </w:style>
  <w:style w:type="character" w:customStyle="1" w:styleId="FootnoteTextChar">
    <w:name w:val="Footnote Text Char"/>
    <w:basedOn w:val="DefaultParagraphFont"/>
    <w:link w:val="FootnoteText"/>
    <w:semiHidden/>
    <w:rsid w:val="00C171AF"/>
    <w:rPr>
      <w:rFonts w:ascii="Palatino Linotype" w:eastAsia="SimSun" w:hAnsi="Palatino Linotype" w:cs="Times New Roman"/>
      <w:color w:val="000000"/>
      <w:kern w:val="0"/>
      <w:sz w:val="20"/>
      <w:szCs w:val="20"/>
      <w:lang w:eastAsia="zh-CN"/>
      <w14:ligatures w14:val="none"/>
    </w:rPr>
  </w:style>
  <w:style w:type="paragraph" w:styleId="NormalWeb">
    <w:name w:val="Normal (Web)"/>
    <w:basedOn w:val="Normal"/>
    <w:uiPriority w:val="99"/>
    <w:rsid w:val="00C171AF"/>
    <w:rPr>
      <w:szCs w:val="24"/>
    </w:rPr>
  </w:style>
  <w:style w:type="paragraph" w:customStyle="1" w:styleId="MsoFootnoteText0">
    <w:name w:val="MsoFootnoteText"/>
    <w:basedOn w:val="NormalWeb"/>
    <w:qFormat/>
    <w:rsid w:val="00C171AF"/>
    <w:rPr>
      <w:rFonts w:ascii="Times New Roman" w:hAnsi="Times New Roman"/>
    </w:rPr>
  </w:style>
  <w:style w:type="character" w:styleId="PageNumber">
    <w:name w:val="page number"/>
    <w:rsid w:val="00C171AF"/>
  </w:style>
  <w:style w:type="character" w:styleId="PlaceholderText">
    <w:name w:val="Placeholder Text"/>
    <w:uiPriority w:val="99"/>
    <w:semiHidden/>
    <w:rsid w:val="00C171AF"/>
    <w:rPr>
      <w:color w:val="808080"/>
    </w:rPr>
  </w:style>
  <w:style w:type="paragraph" w:customStyle="1" w:styleId="MDPI71footnotes">
    <w:name w:val="MDPI_7.1_footnotes"/>
    <w:qFormat/>
    <w:rsid w:val="00C171AF"/>
    <w:pPr>
      <w:numPr>
        <w:numId w:val="2"/>
      </w:numPr>
      <w:adjustRightInd w:val="0"/>
      <w:snapToGrid w:val="0"/>
      <w:spacing w:after="0" w:line="280" w:lineRule="atLeast"/>
    </w:pPr>
    <w:rPr>
      <w:rFonts w:ascii="Palatino Linotype" w:eastAsiaTheme="minorEastAsia" w:hAnsi="Palatino Linotype" w:cs="Times New Roman"/>
      <w:noProof/>
      <w:color w:val="000000"/>
      <w:kern w:val="0"/>
      <w:sz w:val="18"/>
      <w:szCs w:val="20"/>
      <w:lang w:eastAsia="zh-CN"/>
      <w14:ligatures w14:val="none"/>
    </w:rPr>
  </w:style>
  <w:style w:type="paragraph" w:styleId="Caption">
    <w:name w:val="caption"/>
    <w:basedOn w:val="Normal"/>
    <w:next w:val="Normal"/>
    <w:uiPriority w:val="35"/>
    <w:unhideWhenUsed/>
    <w:qFormat/>
    <w:rsid w:val="00C171AF"/>
    <w:pPr>
      <w:spacing w:after="200" w:line="240" w:lineRule="auto"/>
      <w:jc w:val="left"/>
    </w:pPr>
    <w:rPr>
      <w:rFonts w:ascii="Calibri" w:eastAsia="Calibri" w:hAnsi="Calibri" w:cs="Calibri"/>
      <w:i/>
      <w:iCs/>
      <w:color w:val="0E2841" w:themeColor="text2"/>
      <w:sz w:val="18"/>
      <w:szCs w:val="18"/>
      <w:lang w:eastAsia="en-SG"/>
    </w:rPr>
  </w:style>
  <w:style w:type="table" w:customStyle="1" w:styleId="a">
    <w:name w:val="a"/>
    <w:basedOn w:val="TableNormal"/>
    <w:rsid w:val="00C171AF"/>
    <w:pPr>
      <w:spacing w:line="259" w:lineRule="auto"/>
    </w:pPr>
    <w:rPr>
      <w:rFonts w:ascii="Calibri" w:eastAsia="Calibri" w:hAnsi="Calibri" w:cs="Calibri"/>
      <w:kern w:val="0"/>
      <w:sz w:val="22"/>
      <w:szCs w:val="22"/>
      <w:lang w:eastAsia="en-SG"/>
      <w14:ligatures w14:val="none"/>
    </w:rPr>
    <w:tblPr>
      <w:tblStyleRowBandSize w:val="1"/>
      <w:tblStyleColBandSize w:val="1"/>
      <w:tblCellMar>
        <w:left w:w="115" w:type="dxa"/>
        <w:right w:w="115" w:type="dxa"/>
      </w:tblCellMar>
    </w:tblPr>
  </w:style>
  <w:style w:type="paragraph" w:styleId="Revision">
    <w:name w:val="Revision"/>
    <w:hidden/>
    <w:uiPriority w:val="99"/>
    <w:semiHidden/>
    <w:rsid w:val="00C171AF"/>
    <w:pPr>
      <w:spacing w:after="0" w:line="240" w:lineRule="auto"/>
    </w:pPr>
    <w:rPr>
      <w:rFonts w:ascii="Calibri" w:eastAsia="Calibri" w:hAnsi="Calibri" w:cs="Calibri"/>
      <w:kern w:val="0"/>
      <w:sz w:val="22"/>
      <w:szCs w:val="22"/>
      <w:lang w:eastAsia="en-SG"/>
      <w14:ligatures w14:val="none"/>
    </w:rPr>
  </w:style>
  <w:style w:type="character" w:customStyle="1" w:styleId="UnresolvedMention1">
    <w:name w:val="Unresolved Mention1"/>
    <w:basedOn w:val="DefaultParagraphFont"/>
    <w:uiPriority w:val="99"/>
    <w:semiHidden/>
    <w:unhideWhenUsed/>
    <w:rsid w:val="00C171AF"/>
    <w:rPr>
      <w:color w:val="605E5C"/>
      <w:shd w:val="clear" w:color="auto" w:fill="E1DFDD"/>
    </w:rPr>
  </w:style>
  <w:style w:type="paragraph" w:styleId="NoSpacing">
    <w:name w:val="No Spacing"/>
    <w:uiPriority w:val="1"/>
    <w:qFormat/>
    <w:rsid w:val="00C171AF"/>
    <w:pPr>
      <w:spacing w:after="0" w:line="240" w:lineRule="auto"/>
    </w:pPr>
    <w:rPr>
      <w:rFonts w:ascii="Calibri" w:eastAsia="Calibri" w:hAnsi="Calibri" w:cs="Calibri"/>
      <w:kern w:val="0"/>
      <w:sz w:val="22"/>
      <w:szCs w:val="22"/>
      <w:lang w:eastAsia="en-SG"/>
      <w14:ligatures w14:val="none"/>
    </w:rPr>
  </w:style>
  <w:style w:type="paragraph" w:styleId="TableofFigures">
    <w:name w:val="table of figures"/>
    <w:basedOn w:val="Normal"/>
    <w:next w:val="Normal"/>
    <w:uiPriority w:val="99"/>
    <w:unhideWhenUsed/>
    <w:rsid w:val="00C171AF"/>
    <w:pPr>
      <w:spacing w:line="259" w:lineRule="auto"/>
      <w:jc w:val="left"/>
    </w:pPr>
    <w:rPr>
      <w:rFonts w:ascii="Calibri" w:eastAsia="Calibri" w:hAnsi="Calibri" w:cs="Calibri"/>
      <w:color w:val="auto"/>
      <w:sz w:val="22"/>
      <w:szCs w:val="22"/>
      <w:lang w:eastAsia="en-SG"/>
    </w:rPr>
  </w:style>
  <w:style w:type="paragraph" w:customStyle="1" w:styleId="msonormal0">
    <w:name w:val="msonormal"/>
    <w:basedOn w:val="Normal"/>
    <w:rsid w:val="00C171AF"/>
    <w:pPr>
      <w:spacing w:before="100" w:beforeAutospacing="1" w:after="100" w:afterAutospacing="1" w:line="240" w:lineRule="auto"/>
      <w:jc w:val="left"/>
    </w:pPr>
    <w:rPr>
      <w:rFonts w:ascii="Times New Roman" w:eastAsia="Times New Roman" w:hAnsi="Times New Roman"/>
      <w:color w:val="auto"/>
      <w:sz w:val="24"/>
      <w:szCs w:val="24"/>
      <w:lang w:eastAsia="en-US"/>
    </w:rPr>
  </w:style>
  <w:style w:type="paragraph" w:customStyle="1" w:styleId="font0">
    <w:name w:val="font0"/>
    <w:basedOn w:val="Normal"/>
    <w:rsid w:val="00C171AF"/>
    <w:pPr>
      <w:spacing w:before="100" w:beforeAutospacing="1" w:after="100" w:afterAutospacing="1" w:line="240" w:lineRule="auto"/>
      <w:jc w:val="left"/>
    </w:pPr>
    <w:rPr>
      <w:rFonts w:ascii="Aptos Narrow" w:eastAsia="Times New Roman" w:hAnsi="Aptos Narrow"/>
      <w:sz w:val="22"/>
      <w:szCs w:val="22"/>
      <w:lang w:eastAsia="en-US"/>
    </w:rPr>
  </w:style>
  <w:style w:type="paragraph" w:customStyle="1" w:styleId="font5">
    <w:name w:val="font5"/>
    <w:basedOn w:val="Normal"/>
    <w:rsid w:val="00C171AF"/>
    <w:pPr>
      <w:spacing w:before="100" w:beforeAutospacing="1" w:after="100" w:afterAutospacing="1" w:line="240" w:lineRule="auto"/>
      <w:jc w:val="left"/>
    </w:pPr>
    <w:rPr>
      <w:rFonts w:ascii="Times New Roman" w:eastAsia="Times New Roman" w:hAnsi="Times New Roman"/>
      <w:color w:val="993300"/>
      <w:sz w:val="18"/>
      <w:szCs w:val="18"/>
      <w:lang w:eastAsia="en-US"/>
    </w:rPr>
  </w:style>
  <w:style w:type="paragraph" w:customStyle="1" w:styleId="font6">
    <w:name w:val="font6"/>
    <w:basedOn w:val="Normal"/>
    <w:rsid w:val="00C171AF"/>
    <w:pPr>
      <w:spacing w:before="100" w:beforeAutospacing="1" w:after="100" w:afterAutospacing="1" w:line="240" w:lineRule="auto"/>
      <w:jc w:val="left"/>
    </w:pPr>
    <w:rPr>
      <w:rFonts w:ascii="Times New Roman" w:eastAsia="Times New Roman" w:hAnsi="Times New Roman"/>
      <w:color w:val="993300"/>
      <w:sz w:val="18"/>
      <w:szCs w:val="18"/>
      <w:u w:val="single"/>
      <w:lang w:eastAsia="en-US"/>
    </w:rPr>
  </w:style>
  <w:style w:type="paragraph" w:customStyle="1" w:styleId="font7">
    <w:name w:val="font7"/>
    <w:basedOn w:val="Normal"/>
    <w:rsid w:val="00C171AF"/>
    <w:pPr>
      <w:spacing w:before="100" w:beforeAutospacing="1" w:after="100" w:afterAutospacing="1" w:line="240" w:lineRule="auto"/>
      <w:jc w:val="left"/>
    </w:pPr>
    <w:rPr>
      <w:rFonts w:ascii="Aptos Narrow" w:eastAsia="Times New Roman" w:hAnsi="Aptos Narrow"/>
      <w:b/>
      <w:bCs/>
      <w:sz w:val="22"/>
      <w:szCs w:val="22"/>
      <w:lang w:eastAsia="en-US"/>
    </w:rPr>
  </w:style>
  <w:style w:type="paragraph" w:customStyle="1" w:styleId="xl68">
    <w:name w:val="xl68"/>
    <w:basedOn w:val="Normal"/>
    <w:rsid w:val="00C171AF"/>
    <w:pPr>
      <w:shd w:val="clear" w:color="000000" w:fill="CCCCFF"/>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69">
    <w:name w:val="xl69"/>
    <w:basedOn w:val="Normal"/>
    <w:rsid w:val="00C171AF"/>
    <w:pPr>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70">
    <w:name w:val="xl70"/>
    <w:basedOn w:val="Normal"/>
    <w:rsid w:val="00C171AF"/>
    <w:pPr>
      <w:shd w:val="clear" w:color="000000" w:fill="CAEDFB"/>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71">
    <w:name w:val="xl71"/>
    <w:basedOn w:val="Normal"/>
    <w:rsid w:val="00C171AF"/>
    <w:pPr>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72">
    <w:name w:val="xl72"/>
    <w:basedOn w:val="Normal"/>
    <w:rsid w:val="00C171AF"/>
    <w:pP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73">
    <w:name w:val="xl73"/>
    <w:basedOn w:val="Normal"/>
    <w:rsid w:val="00C171AF"/>
    <w:pP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74">
    <w:name w:val="xl74"/>
    <w:basedOn w:val="Normal"/>
    <w:rsid w:val="00C171AF"/>
    <w:pPr>
      <w:shd w:val="clear" w:color="000000" w:fill="CAEDFB"/>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75">
    <w:name w:val="xl75"/>
    <w:basedOn w:val="Normal"/>
    <w:rsid w:val="00C171AF"/>
    <w:pP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76">
    <w:name w:val="xl76"/>
    <w:basedOn w:val="Normal"/>
    <w:rsid w:val="00C171AF"/>
    <w:pP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77">
    <w:name w:val="xl77"/>
    <w:basedOn w:val="Normal"/>
    <w:rsid w:val="00C171AF"/>
    <w:pPr>
      <w:shd w:val="clear" w:color="000000" w:fill="CAEDFB"/>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78">
    <w:name w:val="xl78"/>
    <w:basedOn w:val="Normal"/>
    <w:rsid w:val="00C171AF"/>
    <w:pPr>
      <w:shd w:val="clear" w:color="000000" w:fill="CAEDFB"/>
      <w:spacing w:before="100" w:beforeAutospacing="1" w:after="100" w:afterAutospacing="1" w:line="240" w:lineRule="auto"/>
      <w:jc w:val="left"/>
      <w:textAlignment w:val="center"/>
    </w:pPr>
    <w:rPr>
      <w:rFonts w:ascii="Times New Roman" w:eastAsia="Times New Roman" w:hAnsi="Times New Roman"/>
      <w:b/>
      <w:bCs/>
      <w:color w:val="auto"/>
      <w:sz w:val="24"/>
      <w:szCs w:val="24"/>
      <w:lang w:eastAsia="en-US"/>
    </w:rPr>
  </w:style>
  <w:style w:type="paragraph" w:customStyle="1" w:styleId="xl79">
    <w:name w:val="xl79"/>
    <w:basedOn w:val="Normal"/>
    <w:rsid w:val="00C171AF"/>
    <w:pP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80">
    <w:name w:val="xl80"/>
    <w:basedOn w:val="Normal"/>
    <w:rsid w:val="00C171AF"/>
    <w:pPr>
      <w:shd w:val="clear" w:color="000000" w:fill="CAEDFB"/>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81">
    <w:name w:val="xl81"/>
    <w:basedOn w:val="Normal"/>
    <w:rsid w:val="00C171AF"/>
    <w:pPr>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82">
    <w:name w:val="xl82"/>
    <w:basedOn w:val="Normal"/>
    <w:rsid w:val="00C171AF"/>
    <w:pPr>
      <w:shd w:val="clear" w:color="000000" w:fill="FFFFFF"/>
      <w:spacing w:before="100" w:beforeAutospacing="1" w:after="100" w:afterAutospacing="1" w:line="240" w:lineRule="auto"/>
      <w:jc w:val="left"/>
      <w:textAlignment w:val="center"/>
    </w:pPr>
    <w:rPr>
      <w:rFonts w:ascii="Times New Roman" w:eastAsia="Times New Roman" w:hAnsi="Times New Roman"/>
      <w:color w:val="993300"/>
      <w:sz w:val="18"/>
      <w:szCs w:val="18"/>
      <w:lang w:eastAsia="en-US"/>
    </w:rPr>
  </w:style>
  <w:style w:type="paragraph" w:customStyle="1" w:styleId="xl83">
    <w:name w:val="xl83"/>
    <w:basedOn w:val="Normal"/>
    <w:rsid w:val="00C171AF"/>
    <w:pPr>
      <w:shd w:val="clear" w:color="000000" w:fill="FFFFFF"/>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84">
    <w:name w:val="xl84"/>
    <w:basedOn w:val="Normal"/>
    <w:rsid w:val="00C171AF"/>
    <w:pPr>
      <w:shd w:val="clear" w:color="000000" w:fill="CAEDFB"/>
      <w:spacing w:before="100" w:beforeAutospacing="1" w:after="100" w:afterAutospacing="1" w:line="240" w:lineRule="auto"/>
      <w:jc w:val="left"/>
      <w:textAlignment w:val="center"/>
    </w:pPr>
    <w:rPr>
      <w:rFonts w:ascii="Times New Roman" w:eastAsia="Times New Roman" w:hAnsi="Times New Roman"/>
      <w:color w:val="993300"/>
      <w:sz w:val="18"/>
      <w:szCs w:val="18"/>
      <w:lang w:eastAsia="en-US"/>
    </w:rPr>
  </w:style>
  <w:style w:type="paragraph" w:customStyle="1" w:styleId="xl85">
    <w:name w:val="xl85"/>
    <w:basedOn w:val="Normal"/>
    <w:rsid w:val="00C171AF"/>
    <w:pPr>
      <w:shd w:val="clear" w:color="000000" w:fill="CAEDFB"/>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86">
    <w:name w:val="xl86"/>
    <w:basedOn w:val="Normal"/>
    <w:rsid w:val="00C171AF"/>
    <w:pPr>
      <w:shd w:val="clear" w:color="000000" w:fill="FFFFFF"/>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87">
    <w:name w:val="xl87"/>
    <w:basedOn w:val="Normal"/>
    <w:rsid w:val="00C171AF"/>
    <w:pPr>
      <w:shd w:val="clear" w:color="000000" w:fill="CAEDFB"/>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88">
    <w:name w:val="xl88"/>
    <w:basedOn w:val="Normal"/>
    <w:rsid w:val="00C171AF"/>
    <w:pP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89">
    <w:name w:val="xl89"/>
    <w:basedOn w:val="Normal"/>
    <w:rsid w:val="00C171AF"/>
    <w:pP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90">
    <w:name w:val="xl90"/>
    <w:basedOn w:val="Normal"/>
    <w:rsid w:val="00C171AF"/>
    <w:pP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91">
    <w:name w:val="xl91"/>
    <w:basedOn w:val="Normal"/>
    <w:rsid w:val="00C171AF"/>
    <w:pPr>
      <w:shd w:val="clear" w:color="000000" w:fill="FFFFFF"/>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92">
    <w:name w:val="xl92"/>
    <w:basedOn w:val="Normal"/>
    <w:rsid w:val="00C171AF"/>
    <w:pPr>
      <w:shd w:val="clear" w:color="000000" w:fill="FFFFFF"/>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93">
    <w:name w:val="xl93"/>
    <w:basedOn w:val="Normal"/>
    <w:rsid w:val="00C171AF"/>
    <w:pPr>
      <w:shd w:val="clear" w:color="000000" w:fill="DAF2D0"/>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94">
    <w:name w:val="xl94"/>
    <w:basedOn w:val="Normal"/>
    <w:rsid w:val="00C171AF"/>
    <w:pP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95">
    <w:name w:val="xl95"/>
    <w:basedOn w:val="Normal"/>
    <w:rsid w:val="00C171AF"/>
    <w:pP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96">
    <w:name w:val="xl96"/>
    <w:basedOn w:val="Normal"/>
    <w:rsid w:val="00C171AF"/>
    <w:pP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97">
    <w:name w:val="xl97"/>
    <w:basedOn w:val="Normal"/>
    <w:rsid w:val="00C171AF"/>
    <w:pP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98">
    <w:name w:val="xl98"/>
    <w:basedOn w:val="Normal"/>
    <w:rsid w:val="00C171AF"/>
    <w:pPr>
      <w:shd w:val="clear" w:color="000000" w:fill="FFFFFF"/>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99">
    <w:name w:val="xl99"/>
    <w:basedOn w:val="Normal"/>
    <w:rsid w:val="00C171AF"/>
    <w:pPr>
      <w:shd w:val="clear" w:color="000000" w:fill="C1F0C8"/>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00">
    <w:name w:val="xl100"/>
    <w:basedOn w:val="Normal"/>
    <w:rsid w:val="00C171AF"/>
    <w:pPr>
      <w:pBdr>
        <w:top w:val="single" w:sz="4" w:space="0" w:color="auto"/>
      </w:pBdr>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01">
    <w:name w:val="xl101"/>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02">
    <w:name w:val="xl102"/>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03">
    <w:name w:val="xl103"/>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04">
    <w:name w:val="xl104"/>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05">
    <w:name w:val="xl105"/>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Times New Roman" w:eastAsia="Times New Roman" w:hAnsi="Times New Roman"/>
      <w:color w:val="993300"/>
      <w:sz w:val="18"/>
      <w:szCs w:val="18"/>
      <w:lang w:eastAsia="en-US"/>
    </w:rPr>
  </w:style>
  <w:style w:type="paragraph" w:customStyle="1" w:styleId="xl106">
    <w:name w:val="xl106"/>
    <w:basedOn w:val="Normal"/>
    <w:rsid w:val="00C171AF"/>
    <w:pPr>
      <w:pBdr>
        <w:top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07">
    <w:name w:val="xl107"/>
    <w:basedOn w:val="Normal"/>
    <w:rsid w:val="00C171AF"/>
    <w:pPr>
      <w:pBdr>
        <w:bottom w:val="single" w:sz="4" w:space="0" w:color="auto"/>
      </w:pBdr>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08">
    <w:name w:val="xl108"/>
    <w:basedOn w:val="Normal"/>
    <w:rsid w:val="00C171AF"/>
    <w:pPr>
      <w:pBdr>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09">
    <w:name w:val="xl109"/>
    <w:basedOn w:val="Normal"/>
    <w:rsid w:val="00C171AF"/>
    <w:pPr>
      <w:pBdr>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10">
    <w:name w:val="xl110"/>
    <w:basedOn w:val="Normal"/>
    <w:rsid w:val="00C171AF"/>
    <w:pPr>
      <w:pBdr>
        <w:bottom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111">
    <w:name w:val="xl111"/>
    <w:basedOn w:val="Normal"/>
    <w:rsid w:val="00C171AF"/>
    <w:pPr>
      <w:pBdr>
        <w:bottom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color w:val="993300"/>
      <w:sz w:val="18"/>
      <w:szCs w:val="18"/>
      <w:lang w:eastAsia="en-US"/>
    </w:rPr>
  </w:style>
  <w:style w:type="paragraph" w:customStyle="1" w:styleId="xl112">
    <w:name w:val="xl112"/>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13">
    <w:name w:val="xl113"/>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14">
    <w:name w:val="xl114"/>
    <w:basedOn w:val="Normal"/>
    <w:rsid w:val="00C171AF"/>
    <w:pPr>
      <w:pBdr>
        <w:bottom w:val="single" w:sz="4" w:space="0" w:color="auto"/>
      </w:pBdr>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15">
    <w:name w:val="xl115"/>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16">
    <w:name w:val="xl116"/>
    <w:basedOn w:val="Normal"/>
    <w:rsid w:val="00C171AF"/>
    <w:pPr>
      <w:pBdr>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17">
    <w:name w:val="xl117"/>
    <w:basedOn w:val="Normal"/>
    <w:rsid w:val="00C171AF"/>
    <w:pPr>
      <w:pBdr>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18">
    <w:name w:val="xl118"/>
    <w:basedOn w:val="Normal"/>
    <w:rsid w:val="00C171AF"/>
    <w:pPr>
      <w:pBdr>
        <w:top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19">
    <w:name w:val="xl119"/>
    <w:basedOn w:val="Normal"/>
    <w:rsid w:val="00C171AF"/>
    <w:pPr>
      <w:pBdr>
        <w:bottom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20">
    <w:name w:val="xl120"/>
    <w:basedOn w:val="Normal"/>
    <w:rsid w:val="00C171AF"/>
    <w:pPr>
      <w:pBdr>
        <w:bottom w:val="single" w:sz="4" w:space="0" w:color="auto"/>
      </w:pBdr>
      <w:spacing w:before="100" w:beforeAutospacing="1" w:after="100" w:afterAutospacing="1" w:line="240" w:lineRule="auto"/>
      <w:jc w:val="left"/>
      <w:textAlignment w:val="center"/>
    </w:pPr>
    <w:rPr>
      <w:rFonts w:ascii="Times New Roman" w:eastAsia="Times New Roman" w:hAnsi="Times New Roman"/>
      <w:color w:val="993300"/>
      <w:sz w:val="18"/>
      <w:szCs w:val="18"/>
      <w:lang w:eastAsia="en-US"/>
    </w:rPr>
  </w:style>
  <w:style w:type="paragraph" w:customStyle="1" w:styleId="xl121">
    <w:name w:val="xl121"/>
    <w:basedOn w:val="Normal"/>
    <w:rsid w:val="00C171AF"/>
    <w:pPr>
      <w:pBdr>
        <w:bottom w:val="single" w:sz="4" w:space="0" w:color="auto"/>
      </w:pBdr>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122">
    <w:name w:val="xl122"/>
    <w:basedOn w:val="Normal"/>
    <w:rsid w:val="00C171AF"/>
    <w:pPr>
      <w:pBdr>
        <w:bottom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23">
    <w:name w:val="xl123"/>
    <w:basedOn w:val="Normal"/>
    <w:rsid w:val="00C171AF"/>
    <w:pPr>
      <w:pBdr>
        <w:top w:val="single" w:sz="4" w:space="0" w:color="auto"/>
      </w:pBdr>
      <w:shd w:val="clear" w:color="000000" w:fill="DAF2D0"/>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24">
    <w:name w:val="xl124"/>
    <w:basedOn w:val="Normal"/>
    <w:rsid w:val="00C171AF"/>
    <w:pPr>
      <w:pBdr>
        <w:bottom w:val="single" w:sz="4" w:space="0" w:color="auto"/>
      </w:pBdr>
      <w:shd w:val="clear" w:color="000000" w:fill="DAF2D0"/>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25">
    <w:name w:val="xl125"/>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Times New Roman" w:eastAsia="Times New Roman" w:hAnsi="Times New Roman"/>
      <w:b/>
      <w:bCs/>
      <w:color w:val="auto"/>
      <w:sz w:val="24"/>
      <w:szCs w:val="24"/>
      <w:lang w:eastAsia="en-US"/>
    </w:rPr>
  </w:style>
  <w:style w:type="paragraph" w:customStyle="1" w:styleId="xl126">
    <w:name w:val="xl126"/>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27">
    <w:name w:val="xl127"/>
    <w:basedOn w:val="Normal"/>
    <w:rsid w:val="00C171AF"/>
    <w:pPr>
      <w:pBdr>
        <w:bottom w:val="single" w:sz="4" w:space="0" w:color="auto"/>
      </w:pBdr>
      <w:shd w:val="clear" w:color="000000" w:fill="DAF2D0"/>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28">
    <w:name w:val="xl128"/>
    <w:basedOn w:val="Normal"/>
    <w:rsid w:val="00C171AF"/>
    <w:pPr>
      <w:pBdr>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29">
    <w:name w:val="xl129"/>
    <w:basedOn w:val="Normal"/>
    <w:rsid w:val="00C171AF"/>
    <w:pPr>
      <w:pBdr>
        <w:bottom w:val="single" w:sz="4" w:space="0" w:color="auto"/>
      </w:pBdr>
      <w:shd w:val="clear" w:color="000000" w:fill="DAF2D0"/>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30">
    <w:name w:val="xl130"/>
    <w:basedOn w:val="Normal"/>
    <w:rsid w:val="00C171AF"/>
    <w:pPr>
      <w:pBdr>
        <w:top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FF0000"/>
      <w:sz w:val="18"/>
      <w:szCs w:val="18"/>
      <w:lang w:eastAsia="en-US"/>
    </w:rPr>
  </w:style>
  <w:style w:type="paragraph" w:customStyle="1" w:styleId="xl131">
    <w:name w:val="xl131"/>
    <w:basedOn w:val="Normal"/>
    <w:rsid w:val="00C171AF"/>
    <w:pPr>
      <w:pBdr>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32">
    <w:name w:val="xl132"/>
    <w:basedOn w:val="Normal"/>
    <w:rsid w:val="00C171AF"/>
    <w:pPr>
      <w:pBdr>
        <w:bottom w:val="single" w:sz="4" w:space="0" w:color="auto"/>
      </w:pBdr>
      <w:shd w:val="clear" w:color="000000" w:fill="C1F0C8"/>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33">
    <w:name w:val="xl133"/>
    <w:basedOn w:val="Normal"/>
    <w:rsid w:val="00C171AF"/>
    <w:pPr>
      <w:shd w:val="clear" w:color="000000" w:fill="CCCCFF"/>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34">
    <w:name w:val="xl134"/>
    <w:basedOn w:val="Normal"/>
    <w:rsid w:val="00C171AF"/>
    <w:pPr>
      <w:shd w:val="clear" w:color="000000" w:fill="CCCCFF"/>
      <w:spacing w:before="100" w:beforeAutospacing="1" w:after="100" w:afterAutospacing="1" w:line="240" w:lineRule="auto"/>
      <w:jc w:val="left"/>
      <w:textAlignment w:val="center"/>
    </w:pPr>
    <w:rPr>
      <w:rFonts w:ascii="Times New Roman" w:eastAsia="Times New Roman" w:hAnsi="Times New Roman"/>
      <w:color w:val="333399"/>
      <w:sz w:val="18"/>
      <w:szCs w:val="18"/>
      <w:lang w:eastAsia="en-US"/>
    </w:rPr>
  </w:style>
  <w:style w:type="paragraph" w:customStyle="1" w:styleId="xl135">
    <w:name w:val="xl135"/>
    <w:basedOn w:val="Normal"/>
    <w:rsid w:val="00C171AF"/>
    <w:pPr>
      <w:pBdr>
        <w:top w:val="single" w:sz="4" w:space="0" w:color="auto"/>
        <w:bottom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36">
    <w:name w:val="xl136"/>
    <w:basedOn w:val="Normal"/>
    <w:rsid w:val="00C171AF"/>
    <w:pPr>
      <w:pBdr>
        <w:top w:val="single" w:sz="4" w:space="0" w:color="auto"/>
        <w:bottom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37">
    <w:name w:val="xl137"/>
    <w:basedOn w:val="Normal"/>
    <w:rsid w:val="00C171AF"/>
    <w:pPr>
      <w:pBdr>
        <w:top w:val="single" w:sz="4" w:space="0" w:color="auto"/>
        <w:bottom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38">
    <w:name w:val="xl138"/>
    <w:basedOn w:val="Normal"/>
    <w:rsid w:val="00C171AF"/>
    <w:pPr>
      <w:pBdr>
        <w:top w:val="single" w:sz="4" w:space="0" w:color="auto"/>
        <w:bottom w:val="single" w:sz="4" w:space="0" w:color="auto"/>
      </w:pBdr>
      <w:shd w:val="clear" w:color="000000" w:fill="CAEDFB"/>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39">
    <w:name w:val="xl139"/>
    <w:basedOn w:val="Normal"/>
    <w:rsid w:val="00C171AF"/>
    <w:pPr>
      <w:pBdr>
        <w:top w:val="single" w:sz="4" w:space="0" w:color="auto"/>
        <w:bottom w:val="single" w:sz="4" w:space="0" w:color="auto"/>
      </w:pBdr>
      <w:shd w:val="clear" w:color="000000" w:fill="CAEDFB"/>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40">
    <w:name w:val="xl140"/>
    <w:basedOn w:val="Normal"/>
    <w:rsid w:val="00C171AF"/>
    <w:pPr>
      <w:pBdr>
        <w:top w:val="single" w:sz="4" w:space="0" w:color="auto"/>
        <w:bottom w:val="single" w:sz="4" w:space="0" w:color="auto"/>
      </w:pBdr>
      <w:shd w:val="clear" w:color="000000" w:fill="CAEDFB"/>
      <w:spacing w:before="100" w:beforeAutospacing="1" w:after="100" w:afterAutospacing="1" w:line="240" w:lineRule="auto"/>
      <w:jc w:val="left"/>
      <w:textAlignment w:val="center"/>
    </w:pPr>
    <w:rPr>
      <w:rFonts w:ascii="Times New Roman" w:eastAsia="Times New Roman" w:hAnsi="Times New Roman"/>
      <w:b/>
      <w:bCs/>
      <w:color w:val="auto"/>
      <w:sz w:val="24"/>
      <w:szCs w:val="24"/>
      <w:lang w:eastAsia="en-US"/>
    </w:rPr>
  </w:style>
  <w:style w:type="paragraph" w:customStyle="1" w:styleId="xl141">
    <w:name w:val="xl141"/>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42">
    <w:name w:val="xl142"/>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43">
    <w:name w:val="xl143"/>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44">
    <w:name w:val="xl144"/>
    <w:basedOn w:val="Normal"/>
    <w:rsid w:val="00C171AF"/>
    <w:pPr>
      <w:pBdr>
        <w:top w:val="single" w:sz="4" w:space="0" w:color="auto"/>
        <w:bottom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color w:val="993300"/>
      <w:sz w:val="18"/>
      <w:szCs w:val="18"/>
      <w:lang w:eastAsia="en-US"/>
    </w:rPr>
  </w:style>
  <w:style w:type="paragraph" w:customStyle="1" w:styleId="xl145">
    <w:name w:val="xl145"/>
    <w:basedOn w:val="Normal"/>
    <w:rsid w:val="00C171AF"/>
    <w:pPr>
      <w:pBdr>
        <w:top w:val="single" w:sz="4" w:space="0" w:color="auto"/>
        <w:bottom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146">
    <w:name w:val="xl146"/>
    <w:basedOn w:val="Normal"/>
    <w:rsid w:val="00C171AF"/>
    <w:pPr>
      <w:pBdr>
        <w:top w:val="single" w:sz="4" w:space="0" w:color="auto"/>
        <w:bottom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147">
    <w:name w:val="xl147"/>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48">
    <w:name w:val="xl148"/>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49">
    <w:name w:val="xl149"/>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50">
    <w:name w:val="xl150"/>
    <w:basedOn w:val="Normal"/>
    <w:rsid w:val="00C171AF"/>
    <w:pPr>
      <w:pBdr>
        <w:top w:val="single" w:sz="4" w:space="0" w:color="auto"/>
        <w:bottom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51">
    <w:name w:val="xl151"/>
    <w:basedOn w:val="Normal"/>
    <w:rsid w:val="00C171AF"/>
    <w:pPr>
      <w:pBdr>
        <w:top w:val="single" w:sz="4" w:space="0" w:color="auto"/>
        <w:bottom w:val="single" w:sz="4" w:space="0" w:color="auto"/>
      </w:pBdr>
      <w:shd w:val="clear" w:color="000000" w:fill="FFFFFF"/>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52">
    <w:name w:val="xl152"/>
    <w:basedOn w:val="Normal"/>
    <w:rsid w:val="00C171AF"/>
    <w:pPr>
      <w:pBdr>
        <w:top w:val="single" w:sz="4" w:space="0" w:color="auto"/>
      </w:pBdr>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53">
    <w:name w:val="xl153"/>
    <w:basedOn w:val="Normal"/>
    <w:rsid w:val="00C171AF"/>
    <w:pPr>
      <w:pBdr>
        <w:top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54">
    <w:name w:val="xl154"/>
    <w:basedOn w:val="Normal"/>
    <w:rsid w:val="00C171AF"/>
    <w:pPr>
      <w:pBdr>
        <w:top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55">
    <w:name w:val="xl155"/>
    <w:basedOn w:val="Normal"/>
    <w:rsid w:val="00C171AF"/>
    <w:pPr>
      <w:pBdr>
        <w:top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156">
    <w:name w:val="xl156"/>
    <w:basedOn w:val="Normal"/>
    <w:rsid w:val="00C171AF"/>
    <w:pPr>
      <w:pBdr>
        <w:top w:val="single" w:sz="4" w:space="0" w:color="auto"/>
      </w:pBdr>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157">
    <w:name w:val="xl157"/>
    <w:basedOn w:val="Normal"/>
    <w:rsid w:val="00C171AF"/>
    <w:pPr>
      <w:pBdr>
        <w:top w:val="single" w:sz="4" w:space="0" w:color="auto"/>
      </w:pBdr>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158">
    <w:name w:val="xl158"/>
    <w:basedOn w:val="Normal"/>
    <w:rsid w:val="00C171AF"/>
    <w:pPr>
      <w:pBdr>
        <w:top w:val="single" w:sz="4" w:space="0" w:color="auto"/>
      </w:pBdr>
      <w:spacing w:before="100" w:beforeAutospacing="1" w:after="100" w:afterAutospacing="1" w:line="240" w:lineRule="auto"/>
      <w:jc w:val="left"/>
      <w:textAlignment w:val="center"/>
    </w:pPr>
    <w:rPr>
      <w:rFonts w:ascii="Times New Roman" w:eastAsia="Times New Roman" w:hAnsi="Times New Roman"/>
      <w:color w:val="993300"/>
      <w:sz w:val="18"/>
      <w:szCs w:val="18"/>
      <w:lang w:eastAsia="en-US"/>
    </w:rPr>
  </w:style>
  <w:style w:type="paragraph" w:customStyle="1" w:styleId="xl159">
    <w:name w:val="xl159"/>
    <w:basedOn w:val="Normal"/>
    <w:rsid w:val="00C171AF"/>
    <w:pPr>
      <w:pBdr>
        <w:top w:val="single" w:sz="4" w:space="0" w:color="auto"/>
      </w:pBdr>
      <w:shd w:val="clear" w:color="000000" w:fill="FFFFFF"/>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60">
    <w:name w:val="xl160"/>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61">
    <w:name w:val="xl161"/>
    <w:basedOn w:val="Normal"/>
    <w:rsid w:val="00C171AF"/>
    <w:pPr>
      <w:pBdr>
        <w:top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62">
    <w:name w:val="xl162"/>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63">
    <w:name w:val="xl163"/>
    <w:basedOn w:val="Normal"/>
    <w:rsid w:val="00C171AF"/>
    <w:pPr>
      <w:pBdr>
        <w:top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164">
    <w:name w:val="xl164"/>
    <w:basedOn w:val="Normal"/>
    <w:rsid w:val="00C171AF"/>
    <w:pPr>
      <w:pBdr>
        <w:bottom w:val="single" w:sz="4"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165">
    <w:name w:val="xl165"/>
    <w:basedOn w:val="Normal"/>
    <w:rsid w:val="00C171AF"/>
    <w:pPr>
      <w:pBdr>
        <w:top w:val="single" w:sz="4" w:space="0" w:color="auto"/>
        <w:bottom w:val="single" w:sz="4" w:space="0" w:color="auto"/>
      </w:pBdr>
      <w:shd w:val="clear" w:color="000000" w:fill="DAF2D0"/>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66">
    <w:name w:val="xl166"/>
    <w:basedOn w:val="Normal"/>
    <w:rsid w:val="00C171AF"/>
    <w:pPr>
      <w:pBdr>
        <w:top w:val="single" w:sz="4" w:space="0" w:color="auto"/>
        <w:bottom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67">
    <w:name w:val="xl167"/>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Times New Roman" w:eastAsia="Times New Roman" w:hAnsi="Times New Roman"/>
      <w:color w:val="993300"/>
      <w:sz w:val="18"/>
      <w:szCs w:val="18"/>
      <w:lang w:eastAsia="en-US"/>
    </w:rPr>
  </w:style>
  <w:style w:type="paragraph" w:customStyle="1" w:styleId="xl168">
    <w:name w:val="xl168"/>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Times New Roman" w:eastAsia="Times New Roman" w:hAnsi="Times New Roman"/>
      <w:b/>
      <w:bCs/>
      <w:color w:val="993300"/>
      <w:sz w:val="18"/>
      <w:szCs w:val="18"/>
      <w:lang w:eastAsia="en-US"/>
    </w:rPr>
  </w:style>
  <w:style w:type="paragraph" w:customStyle="1" w:styleId="xl169">
    <w:name w:val="xl169"/>
    <w:basedOn w:val="Normal"/>
    <w:rsid w:val="00C171AF"/>
    <w:pPr>
      <w:pBdr>
        <w:top w:val="single" w:sz="4" w:space="0" w:color="auto"/>
        <w:bottom w:val="single" w:sz="4" w:space="0" w:color="auto"/>
      </w:pBdr>
      <w:shd w:val="clear" w:color="000000" w:fill="DAF2D0"/>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70">
    <w:name w:val="xl170"/>
    <w:basedOn w:val="Normal"/>
    <w:rsid w:val="00C171AF"/>
    <w:pPr>
      <w:pBdr>
        <w:top w:val="single" w:sz="4" w:space="0" w:color="auto"/>
        <w:bottom w:val="single" w:sz="4" w:space="0" w:color="auto"/>
      </w:pBdr>
      <w:shd w:val="clear" w:color="000000" w:fill="DAF2D0"/>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71">
    <w:name w:val="xl171"/>
    <w:basedOn w:val="Normal"/>
    <w:rsid w:val="00C171AF"/>
    <w:pPr>
      <w:pBdr>
        <w:bottom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72">
    <w:name w:val="xl172"/>
    <w:basedOn w:val="Normal"/>
    <w:rsid w:val="00C171AF"/>
    <w:pPr>
      <w:pBdr>
        <w:top w:val="single" w:sz="4" w:space="0" w:color="auto"/>
      </w:pBdr>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73">
    <w:name w:val="xl173"/>
    <w:basedOn w:val="Normal"/>
    <w:rsid w:val="00C171AF"/>
    <w:pPr>
      <w:pBdr>
        <w:bottom w:val="single" w:sz="4" w:space="0" w:color="auto"/>
      </w:pBdr>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74">
    <w:name w:val="xl174"/>
    <w:basedOn w:val="Normal"/>
    <w:rsid w:val="00C171AF"/>
    <w:pPr>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75">
    <w:name w:val="xl175"/>
    <w:basedOn w:val="Normal"/>
    <w:rsid w:val="00C171AF"/>
    <w:pPr>
      <w:pBdr>
        <w:top w:val="single" w:sz="4" w:space="0" w:color="auto"/>
        <w:bottom w:val="single" w:sz="4" w:space="0" w:color="auto"/>
      </w:pBdr>
      <w:shd w:val="clear" w:color="000000" w:fill="C1F0C8"/>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76">
    <w:name w:val="xl176"/>
    <w:basedOn w:val="Normal"/>
    <w:rsid w:val="00C171AF"/>
    <w:pPr>
      <w:pBdr>
        <w:top w:val="single" w:sz="4" w:space="0" w:color="auto"/>
        <w:bottom w:val="single" w:sz="4" w:space="0" w:color="auto"/>
      </w:pBdr>
      <w:shd w:val="clear" w:color="000000" w:fill="CAEDFB"/>
      <w:spacing w:before="100" w:beforeAutospacing="1" w:after="100" w:afterAutospacing="1" w:line="240" w:lineRule="auto"/>
      <w:jc w:val="left"/>
      <w:textAlignment w:val="center"/>
    </w:pPr>
    <w:rPr>
      <w:rFonts w:ascii="Arial" w:eastAsia="Times New Roman" w:hAnsi="Arial" w:cs="Arial"/>
      <w:color w:val="993300"/>
      <w:sz w:val="18"/>
      <w:szCs w:val="18"/>
      <w:lang w:eastAsia="en-US"/>
    </w:rPr>
  </w:style>
  <w:style w:type="paragraph" w:customStyle="1" w:styleId="xl177">
    <w:name w:val="xl177"/>
    <w:basedOn w:val="Normal"/>
    <w:rsid w:val="00C171AF"/>
    <w:pPr>
      <w:pBdr>
        <w:top w:val="single" w:sz="4" w:space="0" w:color="auto"/>
        <w:bottom w:val="single" w:sz="4" w:space="0" w:color="auto"/>
      </w:pBdr>
      <w:shd w:val="clear" w:color="000000" w:fill="CAEDFB"/>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78">
    <w:name w:val="xl178"/>
    <w:basedOn w:val="Normal"/>
    <w:rsid w:val="00C171AF"/>
    <w:pPr>
      <w:pBdr>
        <w:top w:val="single" w:sz="4" w:space="0" w:color="auto"/>
        <w:bottom w:val="single" w:sz="4" w:space="0" w:color="auto"/>
      </w:pBdr>
      <w:shd w:val="clear" w:color="000000" w:fill="CCCCFF"/>
      <w:spacing w:before="100" w:beforeAutospacing="1" w:after="100" w:afterAutospacing="1" w:line="240" w:lineRule="auto"/>
      <w:jc w:val="left"/>
      <w:textAlignment w:val="center"/>
    </w:pPr>
    <w:rPr>
      <w:rFonts w:ascii="Arial" w:eastAsia="Times New Roman" w:hAnsi="Arial" w:cs="Arial"/>
      <w:color w:val="333399"/>
      <w:sz w:val="18"/>
      <w:szCs w:val="18"/>
      <w:lang w:eastAsia="en-US"/>
    </w:rPr>
  </w:style>
  <w:style w:type="paragraph" w:customStyle="1" w:styleId="xl179">
    <w:name w:val="xl179"/>
    <w:basedOn w:val="Normal"/>
    <w:rsid w:val="00C171AF"/>
    <w:pPr>
      <w:pBdr>
        <w:top w:val="single" w:sz="4" w:space="0" w:color="auto"/>
        <w:bottom w:val="single" w:sz="4" w:space="0" w:color="auto"/>
      </w:pBdr>
      <w:spacing w:before="100" w:beforeAutospacing="1" w:after="100" w:afterAutospacing="1" w:line="240" w:lineRule="auto"/>
      <w:jc w:val="left"/>
      <w:textAlignment w:val="center"/>
    </w:pPr>
    <w:rPr>
      <w:rFonts w:ascii="Times New Roman" w:eastAsia="Times New Roman" w:hAnsi="Times New Roman"/>
      <w:color w:val="auto"/>
      <w:sz w:val="24"/>
      <w:szCs w:val="24"/>
      <w:lang w:eastAsia="en-US"/>
    </w:rPr>
  </w:style>
  <w:style w:type="paragraph" w:customStyle="1" w:styleId="xl180">
    <w:name w:val="xl180"/>
    <w:basedOn w:val="Normal"/>
    <w:rsid w:val="00C171AF"/>
    <w:pPr>
      <w:pBdr>
        <w:top w:val="single" w:sz="4" w:space="0" w:color="auto"/>
        <w:bottom w:val="single" w:sz="4" w:space="0" w:color="auto"/>
      </w:pBdr>
      <w:shd w:val="clear" w:color="000000" w:fill="CAEDFB"/>
      <w:spacing w:before="100" w:beforeAutospacing="1" w:after="100" w:afterAutospacing="1" w:line="240" w:lineRule="auto"/>
      <w:jc w:val="center"/>
      <w:textAlignment w:val="center"/>
    </w:pPr>
    <w:rPr>
      <w:rFonts w:ascii="Arial" w:eastAsia="Times New Roman" w:hAnsi="Arial" w:cs="Arial"/>
      <w:color w:val="993300"/>
      <w:sz w:val="18"/>
      <w:szCs w:val="18"/>
      <w:lang w:eastAsia="en-US"/>
    </w:rPr>
  </w:style>
  <w:style w:type="paragraph" w:styleId="TOCHeading">
    <w:name w:val="TOC Heading"/>
    <w:basedOn w:val="Heading1"/>
    <w:next w:val="Normal"/>
    <w:uiPriority w:val="39"/>
    <w:unhideWhenUsed/>
    <w:qFormat/>
    <w:rsid w:val="00C171AF"/>
    <w:pPr>
      <w:spacing w:before="240" w:after="0" w:line="259" w:lineRule="auto"/>
      <w:outlineLvl w:val="9"/>
    </w:pPr>
    <w:rPr>
      <w:sz w:val="32"/>
      <w:szCs w:val="32"/>
    </w:rPr>
  </w:style>
  <w:style w:type="paragraph" w:styleId="TOC1">
    <w:name w:val="toc 1"/>
    <w:basedOn w:val="Normal"/>
    <w:next w:val="Normal"/>
    <w:autoRedefine/>
    <w:uiPriority w:val="39"/>
    <w:unhideWhenUsed/>
    <w:rsid w:val="00C171AF"/>
    <w:pPr>
      <w:spacing w:after="100" w:line="259" w:lineRule="auto"/>
      <w:jc w:val="left"/>
    </w:pPr>
    <w:rPr>
      <w:rFonts w:asciiTheme="minorHAnsi" w:eastAsiaTheme="minorHAnsi" w:hAnsiTheme="minorHAnsi" w:cstheme="minorBidi"/>
      <w:color w:val="auto"/>
      <w:kern w:val="2"/>
      <w:sz w:val="22"/>
      <w:szCs w:val="22"/>
      <w:lang w:eastAsia="en-US"/>
      <w14:ligatures w14:val="standardContextual"/>
    </w:rPr>
  </w:style>
  <w:style w:type="paragraph" w:styleId="TOC2">
    <w:name w:val="toc 2"/>
    <w:basedOn w:val="Normal"/>
    <w:next w:val="Normal"/>
    <w:autoRedefine/>
    <w:uiPriority w:val="39"/>
    <w:unhideWhenUsed/>
    <w:rsid w:val="00C171AF"/>
    <w:pPr>
      <w:spacing w:after="100" w:line="259" w:lineRule="auto"/>
      <w:ind w:left="220"/>
      <w:jc w:val="left"/>
    </w:pPr>
    <w:rPr>
      <w:rFonts w:asciiTheme="minorHAnsi" w:eastAsiaTheme="minorHAnsi" w:hAnsiTheme="minorHAnsi" w:cstheme="minorBidi"/>
      <w:color w:val="auto"/>
      <w:kern w:val="2"/>
      <w:sz w:val="22"/>
      <w:szCs w:val="22"/>
      <w:lang w:eastAsia="en-US"/>
      <w14:ligatures w14:val="standardContextual"/>
    </w:rPr>
  </w:style>
  <w:style w:type="paragraph" w:styleId="TOC3">
    <w:name w:val="toc 3"/>
    <w:basedOn w:val="Normal"/>
    <w:next w:val="Normal"/>
    <w:autoRedefine/>
    <w:uiPriority w:val="39"/>
    <w:unhideWhenUsed/>
    <w:rsid w:val="00C171AF"/>
    <w:pPr>
      <w:spacing w:after="100" w:line="259" w:lineRule="auto"/>
      <w:ind w:left="440"/>
      <w:jc w:val="left"/>
    </w:pPr>
    <w:rPr>
      <w:rFonts w:asciiTheme="minorHAnsi" w:eastAsiaTheme="minorHAnsi" w:hAnsiTheme="minorHAnsi" w:cstheme="minorBidi"/>
      <w:color w:val="auto"/>
      <w:kern w:val="2"/>
      <w:sz w:val="22"/>
      <w:szCs w:val="22"/>
      <w:lang w:eastAsia="en-US"/>
      <w14:ligatures w14:val="standardContextual"/>
    </w:rPr>
  </w:style>
  <w:style w:type="paragraph" w:customStyle="1" w:styleId="Default">
    <w:name w:val="Default"/>
    <w:rsid w:val="00C171AF"/>
    <w:pPr>
      <w:autoSpaceDE w:val="0"/>
      <w:autoSpaceDN w:val="0"/>
      <w:adjustRightInd w:val="0"/>
      <w:spacing w:after="0" w:line="240" w:lineRule="auto"/>
    </w:pPr>
    <w:rPr>
      <w:rFonts w:ascii="Times New Roman" w:hAnsi="Times New Roman" w:cs="Times New Roman"/>
      <w:color w:val="000000"/>
      <w:kern w:val="0"/>
      <w:lang w:eastAsia="en-SG"/>
      <w14:ligatures w14:val="none"/>
    </w:rPr>
  </w:style>
  <w:style w:type="paragraph" w:styleId="TOC4">
    <w:name w:val="toc 4"/>
    <w:basedOn w:val="Normal"/>
    <w:next w:val="Normal"/>
    <w:autoRedefine/>
    <w:uiPriority w:val="39"/>
    <w:unhideWhenUsed/>
    <w:rsid w:val="00C171AF"/>
    <w:pPr>
      <w:spacing w:after="100" w:line="259" w:lineRule="auto"/>
      <w:ind w:left="660"/>
      <w:jc w:val="left"/>
    </w:pPr>
    <w:rPr>
      <w:rFonts w:asciiTheme="minorHAnsi" w:eastAsiaTheme="minorHAnsi" w:hAnsiTheme="minorHAnsi" w:cstheme="minorBidi"/>
      <w:color w:val="auto"/>
      <w:kern w:val="2"/>
      <w:sz w:val="22"/>
      <w:szCs w:val="22"/>
      <w:lang w:eastAsia="en-US"/>
      <w14:ligatures w14:val="standardContextual"/>
    </w:rPr>
  </w:style>
  <w:style w:type="paragraph" w:styleId="BodyTextIndent">
    <w:name w:val="Body Text Indent"/>
    <w:basedOn w:val="Normal"/>
    <w:link w:val="BodyTextIndentChar"/>
    <w:uiPriority w:val="99"/>
    <w:unhideWhenUsed/>
    <w:rsid w:val="00C171AF"/>
    <w:pPr>
      <w:spacing w:after="120"/>
      <w:ind w:left="360"/>
    </w:pPr>
  </w:style>
  <w:style w:type="character" w:customStyle="1" w:styleId="BodyTextIndentChar">
    <w:name w:val="Body Text Indent Char"/>
    <w:basedOn w:val="DefaultParagraphFont"/>
    <w:link w:val="BodyTextIndent"/>
    <w:uiPriority w:val="99"/>
    <w:rsid w:val="00C171AF"/>
    <w:rPr>
      <w:rFonts w:ascii="Palatino Linotype" w:eastAsia="SimSun" w:hAnsi="Palatino Linotype" w:cs="Times New Roman"/>
      <w:color w:val="000000"/>
      <w:kern w:val="0"/>
      <w:sz w:val="20"/>
      <w:szCs w:val="20"/>
      <w:lang w:eastAsia="zh-CN"/>
      <w14:ligatures w14:val="none"/>
    </w:rPr>
  </w:style>
  <w:style w:type="character" w:styleId="Strong">
    <w:name w:val="Strong"/>
    <w:basedOn w:val="DefaultParagraphFont"/>
    <w:uiPriority w:val="22"/>
    <w:qFormat/>
    <w:rsid w:val="00C171AF"/>
    <w:rPr>
      <w:b/>
      <w:bCs/>
    </w:rPr>
  </w:style>
  <w:style w:type="character" w:styleId="Emphasis">
    <w:name w:val="Emphasis"/>
    <w:basedOn w:val="DefaultParagraphFont"/>
    <w:uiPriority w:val="20"/>
    <w:qFormat/>
    <w:rsid w:val="00C171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152074</Words>
  <Characters>996086</Characters>
  <Application>Microsoft Office Word</Application>
  <DocSecurity>0</DocSecurity>
  <Lines>34347</Lines>
  <Paragraphs>25514</Paragraphs>
  <ScaleCrop>false</ScaleCrop>
  <Company>Springer Nature</Company>
  <LinksUpToDate>false</LinksUpToDate>
  <CharactersWithSpaces>1122646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2025-11-19T07:08:00Z</dcterms:created>
  <dcterms:modified xsi:type="dcterms:W3CDTF">2025-11-19T07:08:00Z</dcterms:modified>
</cp:coreProperties>
</file>