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A926F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1. Characteristics of Xishui County, Guizhou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5"/>
        <w:gridCol w:w="2437"/>
      </w:tblGrid>
      <w:tr w14:paraId="7D5F7F6A">
        <w:tc>
          <w:tcPr>
            <w:tcW w:w="357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F0900F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7D339DB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Xishui County</w:t>
            </w:r>
          </w:p>
        </w:tc>
      </w:tr>
      <w:tr w14:paraId="4C1ECB4C">
        <w:tc>
          <w:tcPr>
            <w:tcW w:w="357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3A80542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Total population size (*10,000)</w:t>
            </w:r>
          </w:p>
        </w:tc>
        <w:tc>
          <w:tcPr>
            <w:tcW w:w="143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FDEA9A3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  <w:vertAlign w:val="superscript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30.20</w:t>
            </w:r>
            <w:r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*</w:t>
            </w:r>
          </w:p>
        </w:tc>
      </w:tr>
      <w:tr w14:paraId="200A2C6E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A10D4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  <w:lang w:val="de-DE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Number of rural 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47647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22</w:t>
            </w:r>
          </w:p>
        </w:tc>
      </w:tr>
      <w:tr w14:paraId="0EB03606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3900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Number of villages within rural 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281F3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210</w:t>
            </w:r>
          </w:p>
        </w:tc>
      </w:tr>
      <w:tr w14:paraId="0562B9C3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5497E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Average rural township size (# of people)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11AEC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9518</w:t>
            </w:r>
          </w:p>
        </w:tc>
      </w:tr>
      <w:tr w14:paraId="76220F44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D2224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Number of urban 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390AD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4</w:t>
            </w:r>
          </w:p>
        </w:tc>
      </w:tr>
      <w:tr w14:paraId="732108D5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9C6A">
            <w:pPr>
              <w:rPr>
                <w:rFonts w:ascii="Times New Roman" w:hAnsi="Times New Roman" w:cs="Times New Roman"/>
                <w:bCs/>
                <w:sz w:val="24"/>
                <w:lang w:val="de-DE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Number of communities within urban 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D59F5">
            <w:pPr>
              <w:rPr>
                <w:rFonts w:ascii="Times New Roman" w:hAnsi="Times New Roman" w:cs="Times New Roman"/>
                <w:bCs/>
                <w:sz w:val="24"/>
                <w:lang w:val="de-DE"/>
              </w:rPr>
            </w:pPr>
            <w:r>
              <w:rPr>
                <w:rFonts w:ascii="Times New Roman" w:hAnsi="Times New Roman" w:cs="Times New Roman"/>
                <w:bCs/>
                <w:sz w:val="24"/>
                <w:lang w:val="de-DE"/>
              </w:rPr>
              <w:t>47</w:t>
            </w:r>
          </w:p>
        </w:tc>
      </w:tr>
      <w:tr w14:paraId="5EA3A761">
        <w:trPr>
          <w:trHeight w:val="73" w:hRule="atLeast"/>
        </w:trPr>
        <w:tc>
          <w:tcPr>
            <w:tcW w:w="357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55CC4BF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Average urban township size (# of people)</w:t>
            </w:r>
          </w:p>
        </w:tc>
        <w:tc>
          <w:tcPr>
            <w:tcW w:w="143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2F4A67B">
            <w:pPr>
              <w:spacing w:line="300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23150</w:t>
            </w:r>
          </w:p>
        </w:tc>
      </w:tr>
    </w:tbl>
    <w:p w14:paraId="72A7A1EA">
      <w:pPr>
        <w:rPr>
          <w:rFonts w:hint="eastAsia" w:ascii="Times New Roman" w:hAnsi="Times New Roman" w:cs="Times New Roman"/>
          <w:i/>
          <w:iCs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i/>
          <w:iCs/>
          <w:sz w:val="24"/>
          <w:vertAlign w:val="superscript"/>
        </w:rPr>
        <w:t>*</w:t>
      </w:r>
      <w:r>
        <w:rPr>
          <w:rFonts w:hint="eastAsia" w:ascii="Times New Roman" w:hAnsi="Times New Roman" w:cs="Times New Roman"/>
          <w:i/>
          <w:iCs/>
          <w:sz w:val="24"/>
        </w:rPr>
        <w:t xml:space="preserve">Note: Total population size listed in Table 1 </w:t>
      </w:r>
      <w:r>
        <w:rPr>
          <w:rFonts w:ascii="Times New Roman" w:hAnsi="Times New Roman" w:cs="Times New Roman"/>
          <w:i/>
          <w:iCs/>
          <w:sz w:val="24"/>
        </w:rPr>
        <w:t>was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obtained from </w:t>
      </w:r>
      <w:r>
        <w:rPr>
          <w:rFonts w:ascii="Times New Roman" w:hAnsi="Times New Roman" w:cs="Times New Roman"/>
          <w:i/>
          <w:iCs/>
          <w:sz w:val="24"/>
        </w:rPr>
        <w:t xml:space="preserve">the </w:t>
      </w:r>
      <w:r>
        <w:rPr>
          <w:rFonts w:hint="eastAsia" w:ascii="Times New Roman" w:hAnsi="Times New Roman" w:cs="Times New Roman"/>
          <w:i/>
          <w:iCs/>
          <w:sz w:val="24"/>
        </w:rPr>
        <w:t xml:space="preserve">Xishui authority. The </w:t>
      </w:r>
      <w:r>
        <w:rPr>
          <w:rFonts w:ascii="Times New Roman" w:hAnsi="Times New Roman" w:cs="Times New Roman"/>
          <w:i/>
          <w:iCs/>
          <w:sz w:val="24"/>
        </w:rPr>
        <w:t>figures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here </w:t>
      </w:r>
      <w:r>
        <w:rPr>
          <w:rFonts w:ascii="Times New Roman" w:hAnsi="Times New Roman" w:cs="Times New Roman"/>
          <w:i/>
          <w:iCs/>
          <w:sz w:val="24"/>
        </w:rPr>
        <w:t>reflect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permanent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residents </w:t>
      </w:r>
      <w:r>
        <w:rPr>
          <w:rFonts w:ascii="Times New Roman" w:hAnsi="Times New Roman" w:cs="Times New Roman"/>
          <w:i/>
          <w:iCs/>
          <w:sz w:val="24"/>
        </w:rPr>
        <w:t>as of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May 10</w:t>
      </w:r>
      <w:r>
        <w:rPr>
          <w:rFonts w:hint="eastAsia" w:ascii="Times New Roman" w:hAnsi="Times New Roman" w:cs="Times New Roman"/>
          <w:i/>
          <w:iCs/>
          <w:sz w:val="24"/>
          <w:vertAlign w:val="superscript"/>
        </w:rPr>
        <w:t>th</w:t>
      </w:r>
      <w:r>
        <w:rPr>
          <w:rFonts w:hint="eastAsia" w:ascii="Times New Roman" w:hAnsi="Times New Roman" w:cs="Times New Roman"/>
          <w:i/>
          <w:iCs/>
          <w:sz w:val="24"/>
        </w:rPr>
        <w:t>, 2024,</w:t>
      </w:r>
      <w:r>
        <w:rPr>
          <w:rFonts w:ascii="Times New Roman" w:hAnsi="Times New Roman" w:cs="Times New Roman"/>
          <w:i/>
          <w:iCs/>
          <w:sz w:val="24"/>
        </w:rPr>
        <w:t xml:space="preserve"> and are limited to individuals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who </w:t>
      </w:r>
      <w:bookmarkStart w:id="0" w:name="_Hlk198214065"/>
      <w:r>
        <w:rPr>
          <w:rFonts w:hint="eastAsia" w:ascii="Times New Roman" w:hAnsi="Times New Roman" w:cs="Times New Roman"/>
          <w:i/>
          <w:iCs/>
          <w:sz w:val="24"/>
        </w:rPr>
        <w:t xml:space="preserve">had already stayed in Xishui County for </w:t>
      </w:r>
      <w:r>
        <w:rPr>
          <w:rFonts w:ascii="Times New Roman" w:hAnsi="Times New Roman" w:cs="Times New Roman"/>
          <w:i/>
          <w:iCs/>
          <w:sz w:val="24"/>
        </w:rPr>
        <w:t>three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months in 2024 and would continue to stay within the same township for the next year.</w:t>
      </w:r>
      <w:bookmarkEnd w:id="0"/>
      <w:r>
        <w:rPr>
          <w:rFonts w:hint="eastAsia" w:ascii="Times New Roman" w:hAnsi="Times New Roman" w:cs="Times New Roman"/>
          <w:i/>
          <w:iCs/>
          <w:sz w:val="24"/>
        </w:rPr>
        <w:t xml:space="preserve"> </w:t>
      </w:r>
    </w:p>
    <w:p w14:paraId="4A95DC19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2. Eligibility Criteria for Interventions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3"/>
        <w:gridCol w:w="2723"/>
        <w:gridCol w:w="4463"/>
        <w:gridCol w:w="4254"/>
      </w:tblGrid>
      <w:tr w14:paraId="05DBAA38">
        <w:trPr>
          <w:tblHeader/>
        </w:trPr>
        <w:tc>
          <w:tcPr>
            <w:tcW w:w="96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CFCECE" w:themeFill="background2" w:themeFillShade="E5"/>
            <w:vAlign w:val="center"/>
          </w:tcPr>
          <w:p w14:paraId="72297748">
            <w:pPr>
              <w:widowControl/>
              <w:jc w:val="center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lang w:bidi="ar"/>
              </w:rPr>
              <w:t>Population Level</w:t>
            </w:r>
          </w:p>
        </w:tc>
        <w:tc>
          <w:tcPr>
            <w:tcW w:w="96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CFCECE" w:themeFill="background2" w:themeFillShade="E5"/>
            <w:vAlign w:val="center"/>
          </w:tcPr>
          <w:p w14:paraId="3BD1FAF2">
            <w:pPr>
              <w:widowControl/>
              <w:jc w:val="center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lang w:bidi="ar"/>
              </w:rPr>
              <w:t>Target Population</w:t>
            </w:r>
          </w:p>
        </w:tc>
        <w:tc>
          <w:tcPr>
            <w:tcW w:w="157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CFCECE" w:themeFill="background2" w:themeFillShade="E5"/>
          </w:tcPr>
          <w:p w14:paraId="0194DE13">
            <w:pPr>
              <w:spacing w:line="360" w:lineRule="auto"/>
              <w:ind w:right="105" w:rightChars="50"/>
              <w:jc w:val="center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</w:rPr>
              <w:t>Intervention</w:t>
            </w:r>
          </w:p>
        </w:tc>
        <w:tc>
          <w:tcPr>
            <w:tcW w:w="150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CFCECE" w:themeFill="background2" w:themeFillShade="E5"/>
          </w:tcPr>
          <w:p w14:paraId="47182F4E">
            <w:pPr>
              <w:spacing w:line="360" w:lineRule="auto"/>
              <w:ind w:right="105" w:rightChars="50"/>
              <w:jc w:val="center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</w:rPr>
              <w:t>Eligibility Criteria</w:t>
            </w:r>
          </w:p>
        </w:tc>
      </w:tr>
      <w:tr w14:paraId="7E51B4D7">
        <w:tc>
          <w:tcPr>
            <w:tcW w:w="961" w:type="pct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571DCDFB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General Population</w:t>
            </w:r>
          </w:p>
        </w:tc>
        <w:tc>
          <w:tcPr>
            <w:tcW w:w="9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73F365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General Population</w:t>
            </w:r>
          </w:p>
        </w:tc>
        <w:tc>
          <w:tcPr>
            <w:tcW w:w="157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4D4208">
            <w:pPr>
              <w:spacing w:line="360" w:lineRule="auto"/>
              <w:ind w:right="105" w:rightChars="50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Health education</w:t>
            </w:r>
          </w:p>
        </w:tc>
        <w:tc>
          <w:tcPr>
            <w:tcW w:w="150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EB0CAA">
            <w:pPr>
              <w:spacing w:line="360" w:lineRule="auto"/>
              <w:ind w:right="105" w:rightChars="50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AE42D2D">
        <w:tc>
          <w:tcPr>
            <w:tcW w:w="961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</w:tcPr>
          <w:p w14:paraId="1F938934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A035559"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General Population</w:t>
            </w:r>
          </w:p>
        </w:tc>
        <w:tc>
          <w:tcPr>
            <w:tcW w:w="15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CEE1FC8">
            <w:pPr>
              <w:spacing w:line="360" w:lineRule="auto"/>
              <w:ind w:right="105" w:rightChars="50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Online screening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with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COPD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screening questionnaire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6461D71">
            <w:pPr>
              <w:spacing w:line="360" w:lineRule="auto"/>
              <w:ind w:right="105" w:rightChars="50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Permanent residents aged 35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years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and above</w:t>
            </w:r>
          </w:p>
        </w:tc>
      </w:tr>
      <w:tr w14:paraId="581B24ED">
        <w:tc>
          <w:tcPr>
            <w:tcW w:w="96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EA5E8D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High-COPD-risk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smokers or COPD patients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E37E77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</w:rPr>
              <w:t xml:space="preserve">High-COPD-risk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Smokers</w:t>
            </w:r>
          </w:p>
        </w:tc>
        <w:tc>
          <w:tcPr>
            <w:tcW w:w="157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7771B4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Smoking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essation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igital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ealth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nterventions</w:t>
            </w:r>
          </w:p>
        </w:tc>
        <w:tc>
          <w:tcPr>
            <w:tcW w:w="1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51AB09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Currently smoking or have quit within the last 6 months and own a smartphone.</w:t>
            </w:r>
          </w:p>
        </w:tc>
      </w:tr>
      <w:tr w14:paraId="5A581746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4647BD5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EF532D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</w:rPr>
              <w:t xml:space="preserve">High-COPD-risk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Smokers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56B30D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Health education to smokers for smoking cessation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1FBB10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Currently smoking or have quit within the last 6 months.</w:t>
            </w:r>
          </w:p>
        </w:tc>
      </w:tr>
      <w:tr w14:paraId="24DB7AFD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081B6B2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4A6B1D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</w:rPr>
              <w:t xml:space="preserve">High-COPD-risk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population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FBDD9A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</w:rPr>
              <w:t>Community-based spirometry pulmonary function tests, interpretation of results, and health education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71266A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Individuals with COPD-SQ ≥ 16</w:t>
            </w:r>
          </w:p>
        </w:tc>
      </w:tr>
      <w:tr w14:paraId="5DCEE895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30A0485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5C162C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COPD patients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B3DC6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Encouragement to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eek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rofessional medical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reatment 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0D99B8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Individuals with FEV1/FVC &lt; 0.7 post-bronchodilation.</w:t>
            </w:r>
          </w:p>
        </w:tc>
      </w:tr>
      <w:tr w14:paraId="115D7A5D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5BD7391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0780E8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Smokers with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depression and anxiety symptoms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E90818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Mental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ealth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igital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ealth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nterventions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E842F5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Individuals with Warwick Edinburgh Mental Wellbeing Scale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WEMWBS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&lt; 45 who own a smartphone</w:t>
            </w:r>
          </w:p>
        </w:tc>
      </w:tr>
      <w:tr w14:paraId="21DA9FA2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A2BEE98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6D0886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Smokers with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depression and anxiety symptoms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ECC535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Health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e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ducation to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mokers with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ental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ealth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ssues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567BDD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Individuals with WEMWBS &lt; 45</w:t>
            </w:r>
          </w:p>
        </w:tc>
      </w:tr>
      <w:tr w14:paraId="37520AFD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B2AD53A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4307EF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Hypertension patients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942AF3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Hypertension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anagement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and education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407EED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Three consecutive measurements with average systolic blood pressure ≥ 140 mmHg and/or diastolic blood pressure ≥ 90 mmHg. </w:t>
            </w:r>
          </w:p>
        </w:tc>
      </w:tr>
      <w:tr w14:paraId="16E95239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17C4AEC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5336B8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Diabetes patients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671BC5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Diabetes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anagement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and education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A10FD6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Fasting blood glucose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7.0 mmol/L or random blood glucose ≥ 11.1 mmol/L.</w:t>
            </w:r>
          </w:p>
        </w:tc>
      </w:tr>
      <w:tr w14:paraId="693AD162">
        <w:tc>
          <w:tcPr>
            <w:tcW w:w="96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</w:tcPr>
          <w:p w14:paraId="10040125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04AC90E8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Individuals with abnormal weight</w:t>
            </w:r>
          </w:p>
        </w:tc>
        <w:tc>
          <w:tcPr>
            <w:tcW w:w="15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6B3FCB0D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Weight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bnormality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i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nterventions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 w14:paraId="095DA976">
            <w:pPr>
              <w:jc w:val="left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Individuals with BMI &lt; 18.5 or BMI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≥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24.0.</w:t>
            </w:r>
          </w:p>
        </w:tc>
      </w:tr>
      <w:tr w14:paraId="2E822703">
        <w:tc>
          <w:tcPr>
            <w:tcW w:w="961" w:type="pct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107F7B50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Health providers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AA765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Health providers</w:t>
            </w:r>
          </w:p>
        </w:tc>
        <w:tc>
          <w:tcPr>
            <w:tcW w:w="157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89DB7D">
            <w:pPr>
              <w:widowControl/>
              <w:spacing w:line="360" w:lineRule="auto"/>
              <w:ind w:right="105" w:rightChars="5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Intrinsic incentive mechanism</w:t>
            </w:r>
          </w:p>
        </w:tc>
        <w:tc>
          <w:tcPr>
            <w:tcW w:w="1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B630FC">
            <w:pPr>
              <w:widowControl/>
              <w:spacing w:line="360" w:lineRule="auto"/>
              <w:ind w:right="105" w:rightChars="5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Primary care providers who engage with the investigation and intervention</w:t>
            </w:r>
          </w:p>
        </w:tc>
      </w:tr>
      <w:tr w14:paraId="691F4707">
        <w:tc>
          <w:tcPr>
            <w:tcW w:w="961" w:type="pct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E7E6E6" w:themeFill="background2"/>
          </w:tcPr>
          <w:p w14:paraId="521F747B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vAlign w:val="center"/>
          </w:tcPr>
          <w:p w14:paraId="1BC47D16">
            <w:pPr>
              <w:widowControl/>
              <w:spacing w:line="360" w:lineRule="auto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Health providers</w:t>
            </w:r>
          </w:p>
        </w:tc>
        <w:tc>
          <w:tcPr>
            <w:tcW w:w="157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vAlign w:val="center"/>
          </w:tcPr>
          <w:p w14:paraId="5BFF65C5">
            <w:pPr>
              <w:widowControl/>
              <w:spacing w:line="360" w:lineRule="auto"/>
              <w:ind w:right="105" w:rightChars="50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Extrinsic incentive mechanism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vAlign w:val="center"/>
          </w:tcPr>
          <w:p w14:paraId="6FF019EB">
            <w:pPr>
              <w:widowControl/>
              <w:spacing w:line="360" w:lineRule="auto"/>
              <w:ind w:right="105" w:rightChars="50"/>
              <w:rPr>
                <w:rFonts w:ascii="Times New Roman Regular" w:hAnsi="Times New Roman Regular" w:eastAsia="微软雅黑" w:cs="Times New Roman Regular"/>
                <w:sz w:val="24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lang w:bidi="ar"/>
              </w:rPr>
              <w:t>Primary care providers who engage with the investigation and intervention</w:t>
            </w:r>
          </w:p>
        </w:tc>
      </w:tr>
    </w:tbl>
    <w:p w14:paraId="6FF4BEB7">
      <w:pPr>
        <w:rPr>
          <w:rFonts w:ascii="Times New Roman" w:hAnsi="Times New Roman" w:cs="Times New Roman"/>
        </w:rPr>
      </w:pPr>
    </w:p>
    <w:p w14:paraId="3997DB45">
      <w:pPr>
        <w:rPr>
          <w:rFonts w:hint="eastAsia" w:ascii="Times New Roman" w:hAnsi="Times New Roman" w:cs="Times New Roman"/>
          <w:i/>
          <w:iCs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037FD097">
      <w:pPr>
        <w:rPr>
          <w:rFonts w:ascii="Times New Roman" w:hAnsi="Times New Roman" w:cs="Times New Roman"/>
        </w:rPr>
      </w:pPr>
    </w:p>
    <w:p w14:paraId="5971DA4A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3. Primary and secondary outcomes of the cRCT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5745"/>
      </w:tblGrid>
      <w:tr w14:paraId="03E61E2B">
        <w:trPr>
          <w:trHeight w:val="90" w:hRule="atLeast"/>
          <w:jc w:val="center"/>
        </w:trPr>
        <w:tc>
          <w:tcPr>
            <w:tcW w:w="2561" w:type="dxa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D8D8D8" w:themeFill="background1" w:themeFillShade="D9"/>
          </w:tcPr>
          <w:p w14:paraId="7FD033E0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Primary outcome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</w:t>
            </w:r>
          </w:p>
        </w:tc>
        <w:tc>
          <w:tcPr>
            <w:tcW w:w="574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7163274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0246E740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200F98">
            <w:pPr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Amount of smoking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0307F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Definition: Average number of cigarettes smoked per day</w:t>
            </w:r>
          </w:p>
          <w:p w14:paraId="525689F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Functional form: Continuous</w:t>
            </w:r>
          </w:p>
          <w:p w14:paraId="5CF6C74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Self-reported response</w:t>
            </w:r>
          </w:p>
        </w:tc>
      </w:tr>
      <w:tr w14:paraId="3E2280D7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224588">
            <w:pPr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Smoking dependence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D276F5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Definition: A scale that measures the degree of smoking dependence</w:t>
            </w:r>
          </w:p>
          <w:p w14:paraId="2B2A6BD9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Functional form: Continuous</w:t>
            </w:r>
          </w:p>
          <w:p w14:paraId="15782B5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Score on the Chinese version of the Fagerström Test for Nicotine Dependence (FTND),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which ranges from 0 to 15 with higher scores representing more severe nicotine dependence; additionally measured by score on the Heaviness of Smoking Index (HSI),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which ranges from 0 to 6 with higher scores representing worse nicotine dependence</w:t>
            </w:r>
          </w:p>
        </w:tc>
      </w:tr>
      <w:tr w14:paraId="5BE0BEB7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4CB59DB5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Secondary outcome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 w:themeFill="background1" w:themeFillShade="D9"/>
          </w:tcPr>
          <w:p w14:paraId="6E700E47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462CE833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58015529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Quality of life indicators</w:t>
            </w:r>
          </w:p>
        </w:tc>
      </w:tr>
      <w:tr w14:paraId="0C20AE7C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D4D25B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Self-rated health status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96C12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Definition: General self-assessed health status</w:t>
            </w:r>
          </w:p>
          <w:p w14:paraId="707BE12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Functional form: Continuous</w:t>
            </w:r>
          </w:p>
          <w:p w14:paraId="5B7AABE1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Measurement: EQ-5D scale, ranging from 0 to 1 continuously; 0 represents death, and 1 represents perfect health</w:t>
            </w:r>
          </w:p>
        </w:tc>
      </w:tr>
      <w:tr w14:paraId="46B4CCA4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2730F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Number of chronic conditions controlled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94E02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The number of conditions controlled among seven objectively measured chronic health conditions (COPD, asthma, depression symptoms, anxiety symptoms, BMI, hypertension, and type 2 diabetes)</w:t>
            </w:r>
          </w:p>
          <w:p w14:paraId="3A6788D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Counting data</w:t>
            </w:r>
          </w:p>
          <w:p w14:paraId="30F8753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Through objective physical examination or a validated scale</w:t>
            </w:r>
          </w:p>
        </w:tc>
      </w:tr>
      <w:tr w14:paraId="37656BB3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211B8260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Smoking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related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indicators</w:t>
            </w:r>
          </w:p>
        </w:tc>
      </w:tr>
      <w:tr w14:paraId="3E22D52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E18F2A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Physical proof of cigarettes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3E0FA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“Can you show me your cigarettes?”</w:t>
            </w:r>
          </w:p>
          <w:p w14:paraId="37EA775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38F22FDC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 and visible proof of cigarette possession to study field workers</w:t>
            </w:r>
          </w:p>
        </w:tc>
      </w:tr>
      <w:tr w14:paraId="456517B9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5958F96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Knowledge and awareness of COPD</w:t>
            </w:r>
          </w:p>
        </w:tc>
      </w:tr>
      <w:tr w14:paraId="57289E65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4BE13C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Self-awareness of COPD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0C8A2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diagnosed with COPD?”</w:t>
            </w:r>
          </w:p>
          <w:p w14:paraId="301C94F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538CAF2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30C41A9E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51751D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COPD knowledge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6AD0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Responses to excerpted questions of the COPD Knowledge Questionnaire; selected questions ask about information the general population should know about COPD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Functional form: Continuous</w:t>
            </w:r>
          </w:p>
          <w:p w14:paraId="5727E68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responses to questions; scores range from 0 to 7 with higher scores indicating a greater number of correct statements chosen by the respondent</w:t>
            </w:r>
          </w:p>
        </w:tc>
      </w:tr>
      <w:tr w14:paraId="5AD74799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E3DFB1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Care cascade indicators for COPD</w:t>
            </w:r>
          </w:p>
        </w:tc>
      </w:tr>
      <w:tr w14:paraId="6EBA8A6E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E29E1D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COPD screening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876B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had a pulmonary function test?”</w:t>
            </w:r>
          </w:p>
          <w:p w14:paraId="224FC69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69835757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78448D92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5D9866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COPD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reatment adherence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C2CE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</w:t>
            </w:r>
            <w:r>
              <w:rPr>
                <w:rFonts w:hint="eastAsia" w:ascii="Times New Roman" w:hAnsi="Times New Roman" w:cs="Times New Roman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hether an individual diagnosed with COPD is currently following a treatment plan prescribed by a doctor or other healthcare professional</w:t>
            </w:r>
          </w:p>
          <w:p w14:paraId="5242E4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6B3C02CE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5081B8AB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F81A17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COPD control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0DCE8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“Has the number of acute exacerbations decreased in the past six months?”</w:t>
            </w:r>
          </w:p>
          <w:p w14:paraId="69B8F9B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7850D82A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74767222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1B966A3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Physical health indicators</w:t>
            </w:r>
          </w:p>
        </w:tc>
      </w:tr>
      <w:tr w14:paraId="54BCD568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058998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FEV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measurement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7C872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Definition: Forced Expiratory Volume in one second </w:t>
            </w:r>
          </w:p>
          <w:p w14:paraId="4E5AA60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Functional form: Continuous</w:t>
            </w:r>
          </w:p>
          <w:p w14:paraId="06A0753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Measurement: Pulmonary function test, portable spirometry</w:t>
            </w:r>
          </w:p>
        </w:tc>
      </w:tr>
      <w:tr w14:paraId="1A557551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53D33E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Blood pressure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DBD0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Systolic and diastolic blood pressure (mmHg)</w:t>
            </w:r>
          </w:p>
          <w:p w14:paraId="50EA36F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444B5DAC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Omron portable automatic blood pressure monitor</w:t>
            </w:r>
          </w:p>
        </w:tc>
      </w:tr>
      <w:tr w14:paraId="611B3BE0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825221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Blood glucose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5B48D">
            <w:pPr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Reference standard for average plasma glucose concentration over a period of time</w:t>
            </w:r>
            <w:r>
              <w:rPr>
                <w:rStyle w:val="8"/>
                <w:rFonts w:ascii="Times New Roman Regular" w:hAnsi="Times New Roman Regular" w:cs="Times New Roman Regular"/>
              </w:rPr>
              <w:t>, typically reflecting the preceding 8–12 hours for fasting blood glucose and the immediate glycemic status for random blood glucose</w:t>
            </w:r>
          </w:p>
          <w:p w14:paraId="573C42A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3DD64B80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Blood glucose meter</w:t>
            </w:r>
          </w:p>
        </w:tc>
      </w:tr>
      <w:tr w14:paraId="1B04E7D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D4DA10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Waist circumference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E81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Waist circumference (cm)</w:t>
            </w:r>
          </w:p>
          <w:p w14:paraId="738AA94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298CD64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Soft measuring tape</w:t>
            </w:r>
          </w:p>
        </w:tc>
      </w:tr>
      <w:tr w14:paraId="3482F095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3FD81D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BMI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52874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Body mass index (BMI): weight divided by height squared (kg/m²)</w:t>
            </w:r>
          </w:p>
          <w:p w14:paraId="4B1DB31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4D6B9D6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hint="eastAsia" w:ascii="Times New Roman" w:hAnsi="Times New Roman" w:cs="Times New Roman"/>
                <w:szCs w:val="21"/>
              </w:rPr>
              <w:t>Height and weight were measured using an automated body composition analyzer</w:t>
            </w:r>
            <w:r>
              <w:rPr>
                <w:rStyle w:val="8"/>
                <w:rFonts w:ascii="Times New Roman" w:hAnsi="Times New Roman" w:cs="Times New Roman"/>
              </w:rPr>
              <w:t>.</w:t>
            </w:r>
          </w:p>
        </w:tc>
      </w:tr>
      <w:tr w14:paraId="234FDFAB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1E544E6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Healthcare utilization indicators</w:t>
            </w:r>
          </w:p>
        </w:tc>
      </w:tr>
      <w:tr w14:paraId="1F659557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446356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Number of outpatient visits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A3A74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Number of outpatient visits and type of hospital visited within the past year</w:t>
            </w:r>
          </w:p>
          <w:p w14:paraId="6D54D16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</w:t>
            </w:r>
          </w:p>
          <w:p w14:paraId="69F2B70E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Survey data</w:t>
            </w:r>
          </w:p>
        </w:tc>
      </w:tr>
      <w:tr w14:paraId="11303E35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1EEABF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Number of inpatient visits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20677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Number of inpatient visits and type of hospital visited within the past year</w:t>
            </w:r>
          </w:p>
          <w:p w14:paraId="2E2D53E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</w:t>
            </w:r>
          </w:p>
          <w:p w14:paraId="1BF7EC48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Survey data</w:t>
            </w:r>
          </w:p>
        </w:tc>
      </w:tr>
      <w:tr w14:paraId="4340B192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CF25A3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Medical expenditure within a family over the past year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E3A26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Healthcare-related expenditures</w:t>
            </w:r>
          </w:p>
          <w:p w14:paraId="3ADA082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5976F277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Insurance/outpatient/inpatient data</w:t>
            </w:r>
          </w:p>
        </w:tc>
      </w:tr>
      <w:tr w14:paraId="3EEE4841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23E90EE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Mental health indicators</w:t>
            </w:r>
          </w:p>
        </w:tc>
      </w:tr>
      <w:tr w14:paraId="197F2BB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56BB41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Depression symptoms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5A9E0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Definition: Emotional disorders, including sadness, loss, and anger</w:t>
            </w:r>
          </w:p>
          <w:p w14:paraId="276E591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Functional form: Continuous</w:t>
            </w:r>
          </w:p>
          <w:p w14:paraId="4F5C0D83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Score on Patient Health Questionnaire-9 items (PHQ-9),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which ranges from 0 to 27 with higher scores representing more severe depression symptoms</w:t>
            </w:r>
          </w:p>
        </w:tc>
      </w:tr>
      <w:tr w14:paraId="250DF5B2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BDC0A3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Anxiety symptoms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93F1E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Definition: Unpleasant state of inner turmoil</w:t>
            </w:r>
          </w:p>
          <w:p w14:paraId="16B4DA3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Functional form: Continuous</w:t>
            </w:r>
          </w:p>
          <w:p w14:paraId="3324C7B3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Score on General Anxiety Disorder-7 (GAD-7),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which ranges from 0 to 21 with higher scores representing more severe anxiety symptoms</w:t>
            </w:r>
          </w:p>
        </w:tc>
      </w:tr>
      <w:tr w14:paraId="109FE13F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977513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Warwick-Edinburgh Mental Well-being Scale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WEMWBS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73115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Definition: </w:t>
            </w:r>
            <w:r>
              <w:rPr>
                <w:rFonts w:ascii="Times New Roman" w:hAnsi="Times New Roman" w:cs="Times New Roman"/>
                <w:szCs w:val="21"/>
              </w:rPr>
              <w:t>Score reflecting overall mental health state</w:t>
            </w:r>
          </w:p>
          <w:p w14:paraId="4D6D6D0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Functional form: Continuous</w:t>
            </w:r>
          </w:p>
          <w:p w14:paraId="79FD973C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Score on the Warwick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Edinburgh Mental Well-being Scale,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which ranges from 14 to 70 with lower scores representing worse general mental health</w:t>
            </w:r>
          </w:p>
        </w:tc>
      </w:tr>
      <w:tr w14:paraId="2FCF4DB8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090D885">
            <w:pPr>
              <w:pStyle w:val="3"/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Socioeconomic profile indicators</w:t>
            </w:r>
          </w:p>
        </w:tc>
      </w:tr>
      <w:tr w14:paraId="46D7E7F9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558CC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Productivity loss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8C527D">
            <w:pPr>
              <w:pStyle w:val="3"/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Definition: Productivity loss due to illness or health problems</w:t>
            </w:r>
          </w:p>
          <w:p w14:paraId="45457115">
            <w:pPr>
              <w:pStyle w:val="3"/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Functional form: Continuous</w:t>
            </w:r>
          </w:p>
          <w:p w14:paraId="14100D38">
            <w:pPr>
              <w:pStyle w:val="3"/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Measurement: Score on the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simplified </w:t>
            </w:r>
            <w:r>
              <w:rPr>
                <w:color w:val="000000"/>
                <w:sz w:val="21"/>
                <w:szCs w:val="21"/>
              </w:rPr>
              <w:t xml:space="preserve">Chinese version of the Work Productivity and Activity Impairment-General Health </w:t>
            </w:r>
            <w:r>
              <w:rPr>
                <w:rFonts w:hint="eastAsia"/>
                <w:color w:val="000000"/>
                <w:sz w:val="21"/>
                <w:szCs w:val="21"/>
              </w:rPr>
              <w:t>(</w:t>
            </w:r>
            <w:r>
              <w:rPr>
                <w:color w:val="000000"/>
                <w:sz w:val="21"/>
                <w:szCs w:val="21"/>
              </w:rPr>
              <w:t>WPAI-GH</w:t>
            </w:r>
            <w:r>
              <w:rPr>
                <w:rFonts w:hint="eastAsia"/>
                <w:color w:val="000000"/>
                <w:sz w:val="21"/>
                <w:szCs w:val="21"/>
              </w:rPr>
              <w:t>)</w:t>
            </w:r>
            <w:r>
              <w:rPr>
                <w:color w:val="000000"/>
                <w:sz w:val="21"/>
                <w:szCs w:val="21"/>
              </w:rPr>
              <w:t xml:space="preserve"> (v2.0) </w:t>
            </w:r>
            <w:r>
              <w:rPr>
                <w:rFonts w:hint="eastAsia"/>
                <w:color w:val="000000"/>
                <w:sz w:val="21"/>
                <w:szCs w:val="21"/>
              </w:rPr>
              <w:t>questionnaire</w:t>
            </w:r>
            <w:r>
              <w:rPr>
                <w:color w:val="000000"/>
                <w:sz w:val="21"/>
                <w:szCs w:val="21"/>
              </w:rPr>
              <w:t>, with higher scores representing greater impairment and less productivity</w:t>
            </w:r>
          </w:p>
        </w:tc>
      </w:tr>
      <w:tr w14:paraId="4C1E5BF9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63EB11F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Care cascade indicators for hypertension and type 2 diabetes mellitus</w:t>
            </w:r>
          </w:p>
        </w:tc>
      </w:tr>
      <w:tr w14:paraId="6803B5B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B2E5B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High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blood pressure (HBP) screening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EE3D2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had your blood pressure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measured by a doctor, nurse, or other healthcare professional?”</w:t>
            </w:r>
          </w:p>
          <w:p w14:paraId="14AD418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55B6FC8E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4D8C9187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6011E9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HBP diagnosis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C1A5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diagnosed with hypertension by a doctor?”</w:t>
            </w:r>
          </w:p>
          <w:p w14:paraId="38AA8D3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01F921A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5B43A979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7D90A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HBP treatment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0E1BD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“Are you currently taking any antihypertensive medication prescribed by a doctor or other healthcare professional?”</w:t>
            </w:r>
          </w:p>
          <w:p w14:paraId="044DE9D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3C10601A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46E192D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C9739A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HBP control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4C35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Blood pressure within the normal range at the end-of-year follow-up</w:t>
            </w:r>
          </w:p>
          <w:p w14:paraId="68A5FB9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42B2227B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Blood pressure measurement</w:t>
            </w:r>
          </w:p>
        </w:tc>
      </w:tr>
      <w:tr w14:paraId="1131339E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CBFB61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Type 2 diabetes mellitus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T2DM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screening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7A2E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had your blood glucose measured by a doctor, nurse, or other healthcare professional?”</w:t>
            </w:r>
          </w:p>
          <w:p w14:paraId="0AB29DD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015E13F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1F5C0293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95E70E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T2DM diagnosis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DBAF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diagnosed with T2DM by a doctor?”</w:t>
            </w:r>
          </w:p>
          <w:p w14:paraId="3B8AAB1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51D2CF00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1169EDDE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B977F">
            <w:pPr>
              <w:widowControl/>
              <w:ind w:left="210" w:left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T2DM treatment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4FB1A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“Are you currently receiving a type 2 diabetes treatment plan prescribed by a doctor or other healthcare professional?”</w:t>
            </w:r>
          </w:p>
          <w:p w14:paraId="425F880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65F209AC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6FC2022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D72415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T2DM control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90099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Blood glucose within the normal range at the end-of-year follow-up</w:t>
            </w:r>
          </w:p>
          <w:p w14:paraId="47CC455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028CD487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Blood glucose measurement</w:t>
            </w:r>
          </w:p>
        </w:tc>
      </w:tr>
      <w:tr w14:paraId="56DFB273">
        <w:trPr>
          <w:jc w:val="center"/>
        </w:trPr>
        <w:tc>
          <w:tcPr>
            <w:tcW w:w="8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 w:themeFill="background1" w:themeFillShade="F2"/>
          </w:tcPr>
          <w:p w14:paraId="00DA6EF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Health risk behaviors</w:t>
            </w:r>
          </w:p>
        </w:tc>
      </w:tr>
      <w:tr w14:paraId="013A758D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CDD2DF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Smoking status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1FAC4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“Do you currently smoke?”</w:t>
            </w:r>
          </w:p>
          <w:p w14:paraId="6F21C00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7CD1371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408872B7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BC44C4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Drinking status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A6E2E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alcohol consumption over the past three months</w:t>
            </w:r>
          </w:p>
          <w:p w14:paraId="145C8D9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3DB0BE7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0 = Never drink alcohol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1 = Once per month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2 = 2–3 times per month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3 = Once per week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4 = 2–3 times per week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5 = 4–6 times per week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6 = Once per day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7 = Twice per day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8 = More than twice per day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9 = Other, please specify</w:t>
            </w:r>
          </w:p>
        </w:tc>
      </w:tr>
      <w:tr w14:paraId="03E0C70E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A59DE3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Sugar consumption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A6EB4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consumption of sugary foods/drinks</w:t>
            </w:r>
          </w:p>
          <w:p w14:paraId="4F9CC62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4C6AAB5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1 = almost every day/daily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7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333B4A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2 = often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5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 w14:paraId="04B41DF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3 = sometimes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3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0CED3A4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4 = rarely or never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1 day</w:t>
            </w:r>
            <w:r>
              <w:rPr>
                <w:rFonts w:ascii="Times New Roman" w:hAnsi="Times New Roman" w:cs="Times New Roman"/>
                <w:color w:val="00000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14:paraId="79F9C897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4105BA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Salted vegetables consumption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859FC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consumption of salted vegetables</w:t>
            </w:r>
          </w:p>
          <w:p w14:paraId="1F4EEAF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3198A12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1 = almost every day/daily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7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476B417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2 = often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5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 w14:paraId="78BA519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3 = sometimes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3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1ED8B08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4 = rarely or never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1 day</w:t>
            </w:r>
            <w:r>
              <w:rPr>
                <w:rFonts w:ascii="Times New Roman" w:hAnsi="Times New Roman" w:cs="Times New Roman"/>
                <w:color w:val="00000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14:paraId="2C967165">
        <w:trPr>
          <w:jc w:val="center"/>
        </w:trPr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9151F9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Vegetable consumption</w:t>
            </w:r>
          </w:p>
        </w:tc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02A6B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consumption of vegetables</w:t>
            </w:r>
          </w:p>
          <w:p w14:paraId="08C335B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43F088E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1 = almost every day/daily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7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7DC083B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2 = often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5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 w14:paraId="5D8B05F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3 = sometimes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3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39708476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4 = rarely or never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1 day</w:t>
            </w:r>
            <w:r>
              <w:rPr>
                <w:rFonts w:ascii="Times New Roman" w:hAnsi="Times New Roman" w:cs="Times New Roman"/>
                <w:color w:val="00000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14:paraId="1FEC582D">
        <w:trPr>
          <w:jc w:val="center"/>
        </w:trPr>
        <w:tc>
          <w:tcPr>
            <w:tcW w:w="25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 w14:paraId="2288F0F5">
            <w:pPr>
              <w:widowControl/>
              <w:ind w:left="210" w:left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Physical exercise</w:t>
            </w:r>
          </w:p>
        </w:tc>
        <w:tc>
          <w:tcPr>
            <w:tcW w:w="57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A90A27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Hours of physical exercise per week</w:t>
            </w:r>
          </w:p>
          <w:p w14:paraId="19B6C48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</w:t>
            </w:r>
          </w:p>
          <w:p w14:paraId="139DE8D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</w:p>
          <w:p w14:paraId="2BF9BD9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= No related physical activity</w:t>
            </w:r>
          </w:p>
          <w:p w14:paraId="26EA587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 = Vigorous physical activity (e.g., lifting heavy objects, aerobic exercise, fast cycling)</w:t>
            </w:r>
          </w:p>
          <w:p w14:paraId="0751941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 = Moderate physical activity (e.g., lifting light objects, cycling at normal speed, playing doubles tennis; excluding walking)</w:t>
            </w:r>
          </w:p>
          <w:p w14:paraId="5FAA3627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 = Light physical activity (e.g., walking)</w:t>
            </w:r>
          </w:p>
        </w:tc>
      </w:tr>
    </w:tbl>
    <w:p w14:paraId="58C925AA">
      <w:pPr>
        <w:rPr>
          <w:rFonts w:hint="eastAsia" w:ascii="Times New Roman" w:hAnsi="Times New Roman" w:cs="Times New Roman"/>
          <w:i/>
          <w:iCs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BC84946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4. Prospective Cohort Visit and Data Collection Schedule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2750"/>
        <w:gridCol w:w="490"/>
        <w:gridCol w:w="490"/>
        <w:gridCol w:w="490"/>
        <w:gridCol w:w="491"/>
        <w:gridCol w:w="490"/>
        <w:gridCol w:w="490"/>
        <w:gridCol w:w="490"/>
        <w:gridCol w:w="492"/>
      </w:tblGrid>
      <w:tr w14:paraId="648EE753">
        <w:trPr>
          <w:tblHeader/>
          <w:jc w:val="center"/>
        </w:trPr>
        <w:tc>
          <w:tcPr>
            <w:tcW w:w="39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</w:tcPr>
          <w:p w14:paraId="2DAFFC31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bookmarkStart w:id="1" w:name="_Hlk167055826"/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Timepoint</w:t>
            </w:r>
          </w:p>
        </w:tc>
        <w:tc>
          <w:tcPr>
            <w:tcW w:w="19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536A9DA5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2024</w:t>
            </w:r>
          </w:p>
        </w:tc>
        <w:tc>
          <w:tcPr>
            <w:tcW w:w="19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3C2EA57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2025</w:t>
            </w:r>
          </w:p>
        </w:tc>
      </w:tr>
      <w:tr w14:paraId="0C24846F">
        <w:trPr>
          <w:jc w:val="center"/>
        </w:trPr>
        <w:tc>
          <w:tcPr>
            <w:tcW w:w="39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4D493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4FEE308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Q1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1585CC8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5EC4B4E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Q3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511E9B3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B3F1CF8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F471E9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66EB35F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Q3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E415C9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Q4</w:t>
            </w:r>
          </w:p>
        </w:tc>
      </w:tr>
      <w:tr w14:paraId="3404773D">
        <w:trPr>
          <w:jc w:val="center"/>
        </w:trPr>
        <w:tc>
          <w:tcPr>
            <w:tcW w:w="3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FF94394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Sign Informed Consent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A279E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C2A82F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5EFB3A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CBA05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D272C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98957D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FAB08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052654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0A2A183D">
        <w:trPr>
          <w:jc w:val="center"/>
        </w:trPr>
        <w:tc>
          <w:tcPr>
            <w:tcW w:w="3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A5F3135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QR Code Preliminary Screening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EF942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212493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290C38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6A9595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D48BB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01892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7F89A6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748427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24E6075B">
        <w:trPr>
          <w:jc w:val="center"/>
        </w:trPr>
        <w:tc>
          <w:tcPr>
            <w:tcW w:w="79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</w:tcPr>
          <w:p w14:paraId="0BF08334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Face-to-face / telephone interviews</w:t>
            </w:r>
          </w:p>
        </w:tc>
      </w:tr>
      <w:tr w14:paraId="007EDD9D">
        <w:trPr>
          <w:jc w:val="center"/>
        </w:trPr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7B50102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Demographics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5F460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Sex</w:t>
            </w:r>
            <w:r>
              <w:rPr>
                <w:rFonts w:ascii="Times New Roman" w:hAnsi="Times New Roman" w:eastAsia="宋体" w:cs="Times New Roman"/>
                <w:szCs w:val="21"/>
              </w:rPr>
              <w:t>, age, ethnicity, education level, marital status, employment status, occupation, income level, health insurance type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B18808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607407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F3FE58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155218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9F49F7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97A85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2236A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98443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72D48C6D">
        <w:trPr>
          <w:jc w:val="center"/>
        </w:trPr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E087068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Risk Factors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4CD0B3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Smoking, biomass fuel exposure, occupational exposure, family history (chronic respiratory diseases, including COPD, asthma, and bronchiectasis)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935171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4C47DA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14C8B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564903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DFD33E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5BCAE9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282748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1BD363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0E356105">
        <w:trPr>
          <w:jc w:val="center"/>
        </w:trPr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F1C2C4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Vaccination Inquiry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DAA0CA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Influenza vaccination, pneumonia vaccination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C5743C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AD0977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F5080F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E701C1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DF22CB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EAB4A1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454E3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9D7286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0D2D22A6">
        <w:trPr>
          <w:jc w:val="center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0D7A46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Disease Information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BC9F37B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COPD diagnosis date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D8E922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8974D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153A55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0FA902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7A40E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818B1F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71091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97734B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495F9EB7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970490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96BC04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COPD severity (ventilation function, quality of life score)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B7A5A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C5B5E2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837A72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A146AC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C51CF9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96295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BC41F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13AD73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4EEE8236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458B9BB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ADA2BC7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COPD exacerbations within one year prior to enrollment or since the last follow-up (including symptoms, outpatient visits, ER visits, and hospitalizations)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ECE39E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89006C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6081B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95D34B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7BBB47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06C8E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A55AB3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397504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10704470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F063F17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AF174B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Diabetes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and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hypertension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management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11D6C1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0C8920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99646E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52A95C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DC1FF2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65D2D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B57000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A9495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448DEDAF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DFE336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C06275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Comorbidities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321292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A34752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7EB3E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CC980B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5C8CE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E9572D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62CF6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7BACE6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476DB62B">
        <w:trPr>
          <w:jc w:val="center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3E4345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Treatment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B96279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COPD, diabetes, and hypertension treatment (care pathway treatment indicators and medication duration)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703868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D4C1F2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C54645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9A9F4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2DDEED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208BD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A199D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988D3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40FF58DC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F264E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C154D6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Medication and non-medication adherence (daily use, frequent use, occasional use, use only during exacerbations, or never used)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483D3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6605E8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A17908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5104DF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8B6B5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A209C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B5DE5F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4C2A4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4C30EE94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00D30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AD7F79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Disease-related knowledge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400386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815DA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8F1AD8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9AC4D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E7D8FA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1FC813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EF6C1E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B796C0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14C5A61B">
        <w:trPr>
          <w:jc w:val="center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3D6E8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Healthcare Resource Utilization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BC6AEFA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Out-of-pocket/total costs for COPD, diabetes, and hypertension within one year prior to enrollment or since the last follow-up (medication, outpatient treatment, and hospitalization)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033768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157CED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0A81E1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C9697B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846448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ABEF59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E0448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8B28C8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6EF1FD61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8220D6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432B97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Healthcare resource utilization within one year prior to enrollment or since the last follow-up (hospital visits and hospitalization days)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00D5B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142AD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0BB837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4B0645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E07640F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965B4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F39A09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0D2B83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1A3BF5E7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492658D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F4EC10B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Disease burden of COPD, diabetes, and hypertension within one year prior to enrollment or since the last follow-up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B508F4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C9546D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5CAD0B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B4C71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2462DA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51010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3A25D3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DDE8E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2BD900C0">
        <w:trPr>
          <w:jc w:val="center"/>
        </w:trPr>
        <w:tc>
          <w:tcPr>
            <w:tcW w:w="79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</w:tcPr>
          <w:p w14:paraId="0955638E">
            <w:pPr>
              <w:jc w:val="left"/>
              <w:rPr>
                <w:rStyle w:val="7"/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Physical examination</w:t>
            </w:r>
          </w:p>
        </w:tc>
      </w:tr>
      <w:tr w14:paraId="27D05235">
        <w:trPr>
          <w:jc w:val="center"/>
        </w:trPr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EFE8823">
            <w:pPr>
              <w:jc w:val="left"/>
              <w:rPr>
                <w:rStyle w:val="7"/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Body Measurements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5B97E02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Height (m), weight (kg), BMI, waist circumference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823DDA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2FB421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C23078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6E5A9F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3B5C78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FB4C12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4624AE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E0956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715C3657">
        <w:trPr>
          <w:jc w:val="center"/>
        </w:trPr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EE8129">
            <w:pPr>
              <w:jc w:val="left"/>
              <w:rPr>
                <w:rStyle w:val="7"/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Cardiometabolic Indicators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1DDEDCB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heart rate, blood pressure, blood glucose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9F84DC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5CD8F2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9F8E72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CC8171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2B6E8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3B22D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BB4024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3C901F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09E686C3">
        <w:trPr>
          <w:jc w:val="center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799DA5DB">
            <w:pPr>
              <w:jc w:val="left"/>
              <w:rPr>
                <w:rStyle w:val="7"/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S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pirometry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FF0C54F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szCs w:val="21"/>
              </w:rPr>
              <w:t>re-bronchodilation test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2CE403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815F2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72B723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C8AFB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60A1198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B51AF5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7C05C2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99BD27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74874031">
        <w:trPr>
          <w:jc w:val="center"/>
        </w:trPr>
        <w:tc>
          <w:tcPr>
            <w:tcW w:w="12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BCCA4A7">
            <w:pPr>
              <w:jc w:val="left"/>
              <w:rPr>
                <w:rStyle w:val="7"/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D59541"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Post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szCs w:val="21"/>
              </w:rPr>
              <w:t>bronchodilation test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0CB986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DA1C32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C8FAC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485F1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1747F7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D4B0C7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329097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5D0B4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0E3198B4">
        <w:trPr>
          <w:jc w:val="center"/>
        </w:trPr>
        <w:tc>
          <w:tcPr>
            <w:tcW w:w="79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</w:tcPr>
          <w:p w14:paraId="03B692FD">
            <w:pPr>
              <w:jc w:val="left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宋体" w:cs="Times New Roman"/>
                <w:szCs w:val="21"/>
              </w:rPr>
              <w:t>Intervention</w:t>
            </w:r>
          </w:p>
        </w:tc>
      </w:tr>
      <w:tr w14:paraId="57E5ABA1">
        <w:trPr>
          <w:jc w:val="center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BBEBFD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宋体" w:cs="Times New Roman"/>
                <w:szCs w:val="21"/>
              </w:rPr>
              <w:t>Multi-component Interventions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58FE0A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Implementation of intervention package for eligible participants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C1670C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F1E73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23F661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53B928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707A7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B17F18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99223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DC20925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3A4EB0C7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F61B8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C89D971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Intervention progress and adherence; re-education of non-adherent participants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F6772A7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EA6701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2282E0E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A7B8C0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0B6CFB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4A952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8493A4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C4CD330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7DE7A80C">
        <w:trPr>
          <w:jc w:val="center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E0A20C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FB5ABCE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Evaluation of intervention effectiveness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8CEB0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420783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CB13472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535B82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E5A51B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FBAB7D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DEEBA7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A74623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14:paraId="08793CFD">
        <w:trPr>
          <w:jc w:val="center"/>
        </w:trPr>
        <w:tc>
          <w:tcPr>
            <w:tcW w:w="3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B26C1AE">
            <w:pPr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I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ntention-to-treat and other analyses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8E10AA6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C62655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5D75934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1861779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3F7943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E1BE64A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5E94C1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A7D6ADC">
            <w:pPr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X</w:t>
            </w:r>
          </w:p>
        </w:tc>
      </w:tr>
      <w:bookmarkEnd w:id="1"/>
    </w:tbl>
    <w:p w14:paraId="00B8CBEF">
      <w:pPr>
        <w:rPr>
          <w:rFonts w:ascii="Times New Roman" w:hAnsi="Times New Roman" w:cs="Times New Roman"/>
          <w:i/>
          <w:iCs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i/>
          <w:iCs/>
          <w:szCs w:val="21"/>
        </w:rPr>
        <w:t>*Note: The proposed end date of data collection for the last participant is December 31, 2025.</w:t>
      </w:r>
      <w:bookmarkStart w:id="2" w:name="_GoBack"/>
      <w:bookmarkEnd w:id="2"/>
    </w:p>
    <w:p w14:paraId="53657755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5.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Minimal detectable difference in amount of smoking</w:t>
      </w:r>
    </w:p>
    <w:tbl>
      <w:tblPr>
        <w:tblStyle w:val="5"/>
        <w:tblW w:w="80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6"/>
        <w:gridCol w:w="1455"/>
        <w:gridCol w:w="1509"/>
        <w:gridCol w:w="1600"/>
        <w:gridCol w:w="1529"/>
      </w:tblGrid>
      <w:tr w14:paraId="5DA409D5">
        <w:trPr>
          <w:trHeight w:val="170" w:hRule="atLeast"/>
          <w:jc w:val="center"/>
        </w:trPr>
        <w:tc>
          <w:tcPr>
            <w:tcW w:w="1986" w:type="dxa"/>
            <w:tcBorders>
              <w:top w:val="single" w:color="000000" w:sz="4" w:space="0"/>
              <w:bottom w:val="single" w:color="000000" w:sz="4" w:space="0"/>
            </w:tcBorders>
          </w:tcPr>
          <w:p w14:paraId="769FE0C7">
            <w:pPr>
              <w:wordWrap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Proposed Sample</w:t>
            </w:r>
          </w:p>
          <w:p w14:paraId="6E7F1785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Size</w:t>
            </w:r>
          </w:p>
        </w:tc>
        <w:tc>
          <w:tcPr>
            <w:tcW w:w="145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B6327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ICC=0.005</w:t>
            </w:r>
          </w:p>
        </w:tc>
        <w:tc>
          <w:tcPr>
            <w:tcW w:w="150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B9EC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ICC=0.01</w:t>
            </w:r>
          </w:p>
        </w:tc>
        <w:tc>
          <w:tcPr>
            <w:tcW w:w="160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C1F0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ICC=0.025</w:t>
            </w:r>
          </w:p>
        </w:tc>
        <w:tc>
          <w:tcPr>
            <w:tcW w:w="152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417EA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ICC=0.05</w:t>
            </w:r>
          </w:p>
        </w:tc>
      </w:tr>
      <w:tr w14:paraId="4D83D1DC">
        <w:trPr>
          <w:trHeight w:val="170" w:hRule="atLeast"/>
          <w:jc w:val="center"/>
        </w:trPr>
        <w:tc>
          <w:tcPr>
            <w:tcW w:w="1986" w:type="dxa"/>
            <w:tcBorders>
              <w:top w:val="single" w:color="000000" w:sz="4" w:space="0"/>
            </w:tcBorders>
          </w:tcPr>
          <w:p w14:paraId="791A09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2000</w:t>
            </w:r>
          </w:p>
        </w:tc>
        <w:tc>
          <w:tcPr>
            <w:tcW w:w="1455" w:type="dxa"/>
            <w:tcBorders>
              <w:top w:val="single" w:color="000000" w:sz="4" w:space="0"/>
            </w:tcBorders>
          </w:tcPr>
          <w:p w14:paraId="76E4599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1.63</w:t>
            </w:r>
          </w:p>
        </w:tc>
        <w:tc>
          <w:tcPr>
            <w:tcW w:w="1509" w:type="dxa"/>
            <w:tcBorders>
              <w:top w:val="single" w:color="000000" w:sz="4" w:space="0"/>
            </w:tcBorders>
          </w:tcPr>
          <w:p w14:paraId="314CF42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2.11</w:t>
            </w:r>
          </w:p>
        </w:tc>
        <w:tc>
          <w:tcPr>
            <w:tcW w:w="1600" w:type="dxa"/>
            <w:tcBorders>
              <w:top w:val="single" w:color="000000" w:sz="4" w:space="0"/>
            </w:tcBorders>
          </w:tcPr>
          <w:p w14:paraId="703F6C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3.13</w:t>
            </w:r>
          </w:p>
        </w:tc>
        <w:tc>
          <w:tcPr>
            <w:tcW w:w="1529" w:type="dxa"/>
            <w:tcBorders>
              <w:top w:val="single" w:color="000000" w:sz="4" w:space="0"/>
            </w:tcBorders>
          </w:tcPr>
          <w:p w14:paraId="4C2BF5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4.33</w:t>
            </w:r>
          </w:p>
        </w:tc>
      </w:tr>
      <w:tr w14:paraId="77470B6F">
        <w:trPr>
          <w:trHeight w:val="170" w:hRule="atLeast"/>
          <w:jc w:val="center"/>
        </w:trPr>
        <w:tc>
          <w:tcPr>
            <w:tcW w:w="1986" w:type="dxa"/>
          </w:tcPr>
          <w:p w14:paraId="5516D61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3000</w:t>
            </w:r>
          </w:p>
        </w:tc>
        <w:tc>
          <w:tcPr>
            <w:tcW w:w="1455" w:type="dxa"/>
          </w:tcPr>
          <w:p w14:paraId="681F084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1.33</w:t>
            </w:r>
          </w:p>
        </w:tc>
        <w:tc>
          <w:tcPr>
            <w:tcW w:w="1509" w:type="dxa"/>
          </w:tcPr>
          <w:p w14:paraId="098DEE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1.72</w:t>
            </w:r>
          </w:p>
        </w:tc>
        <w:tc>
          <w:tcPr>
            <w:tcW w:w="1600" w:type="dxa"/>
          </w:tcPr>
          <w:p w14:paraId="2515BC7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2.56</w:t>
            </w:r>
          </w:p>
        </w:tc>
        <w:tc>
          <w:tcPr>
            <w:tcW w:w="1529" w:type="dxa"/>
          </w:tcPr>
          <w:p w14:paraId="4DEC24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3.54</w:t>
            </w:r>
          </w:p>
        </w:tc>
      </w:tr>
      <w:tr w14:paraId="3A0E887C">
        <w:trPr>
          <w:trHeight w:val="170" w:hRule="atLeast"/>
          <w:jc w:val="center"/>
        </w:trPr>
        <w:tc>
          <w:tcPr>
            <w:tcW w:w="1986" w:type="dxa"/>
          </w:tcPr>
          <w:p w14:paraId="7B8E89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4000</w:t>
            </w:r>
          </w:p>
        </w:tc>
        <w:tc>
          <w:tcPr>
            <w:tcW w:w="1455" w:type="dxa"/>
          </w:tcPr>
          <w:p w14:paraId="2637137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1.15</w:t>
            </w:r>
          </w:p>
        </w:tc>
        <w:tc>
          <w:tcPr>
            <w:tcW w:w="1509" w:type="dxa"/>
          </w:tcPr>
          <w:p w14:paraId="29F370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1.49</w:t>
            </w:r>
          </w:p>
        </w:tc>
        <w:tc>
          <w:tcPr>
            <w:tcW w:w="1600" w:type="dxa"/>
          </w:tcPr>
          <w:p w14:paraId="7B2689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2.22</w:t>
            </w:r>
          </w:p>
        </w:tc>
        <w:tc>
          <w:tcPr>
            <w:tcW w:w="1529" w:type="dxa"/>
          </w:tcPr>
          <w:p w14:paraId="107A2C9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3.07</w:t>
            </w:r>
          </w:p>
        </w:tc>
      </w:tr>
      <w:tr w14:paraId="143CF405">
        <w:trPr>
          <w:trHeight w:val="170" w:hRule="atLeast"/>
          <w:jc w:val="center"/>
        </w:trPr>
        <w:tc>
          <w:tcPr>
            <w:tcW w:w="1986" w:type="dxa"/>
            <w:tcBorders>
              <w:bottom w:val="single" w:color="000000" w:sz="4" w:space="0"/>
            </w:tcBorders>
          </w:tcPr>
          <w:p w14:paraId="5A96C3C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5000</w:t>
            </w:r>
          </w:p>
        </w:tc>
        <w:tc>
          <w:tcPr>
            <w:tcW w:w="1455" w:type="dxa"/>
            <w:tcBorders>
              <w:bottom w:val="single" w:color="000000" w:sz="4" w:space="0"/>
            </w:tcBorders>
          </w:tcPr>
          <w:p w14:paraId="64E1951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1.03</w:t>
            </w:r>
          </w:p>
        </w:tc>
        <w:tc>
          <w:tcPr>
            <w:tcW w:w="1509" w:type="dxa"/>
            <w:tcBorders>
              <w:bottom w:val="single" w:color="000000" w:sz="4" w:space="0"/>
            </w:tcBorders>
          </w:tcPr>
          <w:p w14:paraId="3D2261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1.33</w:t>
            </w:r>
          </w:p>
        </w:tc>
        <w:tc>
          <w:tcPr>
            <w:tcW w:w="1600" w:type="dxa"/>
            <w:tcBorders>
              <w:bottom w:val="single" w:color="000000" w:sz="4" w:space="0"/>
            </w:tcBorders>
          </w:tcPr>
          <w:p w14:paraId="6B15E25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1.98</w:t>
            </w:r>
          </w:p>
        </w:tc>
        <w:tc>
          <w:tcPr>
            <w:tcW w:w="1529" w:type="dxa"/>
            <w:tcBorders>
              <w:bottom w:val="single" w:color="000000" w:sz="4" w:space="0"/>
            </w:tcBorders>
          </w:tcPr>
          <w:p w14:paraId="41988B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2.74</w:t>
            </w:r>
          </w:p>
        </w:tc>
      </w:tr>
    </w:tbl>
    <w:p w14:paraId="016A0D08">
      <w:pPr>
        <w:ind w:firstLine="420"/>
        <w:rPr>
          <w:rFonts w:ascii="Times New Roman" w:hAnsi="Times New Roman" w:cs="Times New Roman"/>
          <w:sz w:val="24"/>
        </w:rPr>
      </w:pPr>
    </w:p>
    <w:p w14:paraId="51C049F3">
      <w:pPr>
        <w:rPr>
          <w:rFonts w:hint="eastAsia" w:ascii="Times New Roman" w:hAnsi="Times New Roman" w:cs="Times New Roman"/>
          <w:i/>
          <w:i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roman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EEECB9"/>
    <w:rsid w:val="FEEEE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rPr>
      <w:rFonts w:ascii="Times New Roman" w:hAnsi="Times New Roman" w:cs="Times New Roman"/>
      <w:sz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annotation reference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2025-09-26T14:43:00Z</dcterms:created>
  <dc:creator>芋泥鸭鸭</dc:creator>
  <cp:lastModifiedBy>芋泥鸭鸭</cp:lastModifiedBy>
  <dcterms:modified xsi:type="dcterms:W3CDTF">2025-09-26T14:45:14Z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8D53675F6A3D73641036D6684345DB58_41</vt:lpwstr>
  </property>
</Properties>
</file>