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758D31B5" w14:textId="77777777" w:rsidR="004B0C46" w:rsidRDefault="004B0C46" w:rsidP="004B0C46">
      <w:pPr>
        <w:spacing w:line="312" w:lineRule="auto"/>
        <w:rPr>
          <w:rFonts w:ascii="Arial" w:hAnsi="Arial" w:cs="Arial"/>
          <w:sz w:val="24"/>
        </w:rPr>
      </w:pPr>
      <w:r>
        <w:rPr>
          <w:rFonts w:ascii="Arial" w:hAnsi="Arial" w:cs="Arial" w:hint="eastAsia"/>
          <w:b/>
          <w:bCs/>
          <w:sz w:val="24"/>
          <w:szCs w:val="32"/>
        </w:rPr>
        <w:t xml:space="preserve">Extended Data </w:t>
      </w:r>
      <w:r>
        <w:rPr>
          <w:rFonts w:ascii="Arial" w:hAnsi="Arial" w:cs="Arial"/>
          <w:b/>
          <w:bCs/>
          <w:sz w:val="24"/>
          <w:szCs w:val="32"/>
        </w:rPr>
        <w:t>Fig</w:t>
      </w:r>
      <w:r>
        <w:rPr>
          <w:rFonts w:ascii="Arial" w:hAnsi="Arial" w:cs="Arial" w:hint="eastAsia"/>
          <w:b/>
          <w:bCs/>
          <w:sz w:val="24"/>
          <w:szCs w:val="32"/>
        </w:rPr>
        <w:t>. 1 Data quality of different scNanoCT&amp;ATAC-seq libraries</w:t>
      </w:r>
    </w:p>
    <w:p w14:paraId="44B8D042" w14:textId="77777777" w:rsidR="004B0C46" w:rsidRDefault="004B0C46" w:rsidP="004B0C46">
      <w:pPr>
        <w:pStyle w:val="ListParagraph"/>
        <w:numPr>
          <w:ilvl w:val="0"/>
          <w:numId w:val="2"/>
        </w:numPr>
        <w:spacing w:line="360" w:lineRule="auto"/>
        <w:rPr>
          <w:rFonts w:ascii="Arial" w:hAnsi="Arial" w:cs="Arial"/>
          <w:sz w:val="24"/>
          <w:szCs w:val="28"/>
        </w:rPr>
      </w:pPr>
      <w:r>
        <w:rPr>
          <w:rFonts w:ascii="Arial" w:hAnsi="Arial" w:cs="Arial" w:hint="eastAsia"/>
          <w:sz w:val="24"/>
          <w:szCs w:val="28"/>
        </w:rPr>
        <w:t>Fragment lengths of the scNanoCT&amp;ATAC-seq libraries targeting different histone marks measured by Qsep analyzer</w:t>
      </w:r>
      <w:r>
        <w:rPr>
          <w:rFonts w:ascii="Arial" w:hAnsi="Arial" w:cs="Arial"/>
          <w:sz w:val="24"/>
          <w:szCs w:val="28"/>
        </w:rPr>
        <w:t>.</w:t>
      </w:r>
    </w:p>
    <w:p w14:paraId="011A5636" w14:textId="77777777" w:rsidR="004B0C46" w:rsidRDefault="004B0C46" w:rsidP="004B0C46">
      <w:pPr>
        <w:pStyle w:val="ListParagraph"/>
        <w:numPr>
          <w:ilvl w:val="0"/>
          <w:numId w:val="2"/>
        </w:numPr>
        <w:spacing w:line="360" w:lineRule="auto"/>
        <w:rPr>
          <w:rFonts w:ascii="Arial" w:hAnsi="Arial" w:cs="Arial"/>
          <w:sz w:val="24"/>
          <w:szCs w:val="28"/>
        </w:rPr>
      </w:pPr>
      <w:r>
        <w:rPr>
          <w:rFonts w:ascii="Arial" w:hAnsi="Arial" w:cs="Arial" w:hint="eastAsia"/>
          <w:sz w:val="24"/>
          <w:szCs w:val="28"/>
        </w:rPr>
        <w:t>Read lengths of the scNanoCT&amp;ATAC-seq libraries targeting different histone marks</w:t>
      </w:r>
      <w:r>
        <w:rPr>
          <w:rFonts w:ascii="Arial" w:hAnsi="Arial" w:cs="Arial"/>
          <w:sz w:val="24"/>
          <w:szCs w:val="28"/>
        </w:rPr>
        <w:t>.</w:t>
      </w:r>
    </w:p>
    <w:p w14:paraId="6A6A0E1C" w14:textId="77777777" w:rsidR="004B0C46" w:rsidRDefault="004B0C46" w:rsidP="004B0C46">
      <w:pPr>
        <w:pStyle w:val="ListParagraph"/>
        <w:numPr>
          <w:ilvl w:val="0"/>
          <w:numId w:val="2"/>
        </w:numPr>
        <w:spacing w:line="360" w:lineRule="auto"/>
        <w:rPr>
          <w:rFonts w:ascii="Arial" w:hAnsi="Arial" w:cs="Arial"/>
          <w:sz w:val="24"/>
          <w:szCs w:val="28"/>
        </w:rPr>
      </w:pPr>
      <w:r>
        <w:rPr>
          <w:rFonts w:ascii="Arial" w:hAnsi="Arial" w:cs="Arial" w:hint="eastAsia"/>
          <w:sz w:val="24"/>
          <w:szCs w:val="28"/>
        </w:rPr>
        <w:t>Read lengths of different fragment types in the scNanoCT&amp;ATAC-seq libraries targeting different histone marks.</w:t>
      </w:r>
    </w:p>
    <w:p w14:paraId="01AC46BB" w14:textId="77777777" w:rsidR="004B0C46" w:rsidRDefault="004B0C46" w:rsidP="004B0C46">
      <w:pPr>
        <w:pStyle w:val="ListParagraph"/>
        <w:numPr>
          <w:ilvl w:val="0"/>
          <w:numId w:val="2"/>
        </w:numPr>
        <w:spacing w:line="360" w:lineRule="auto"/>
        <w:rPr>
          <w:rFonts w:ascii="Arial" w:hAnsi="Arial" w:cs="Arial"/>
          <w:sz w:val="24"/>
          <w:szCs w:val="28"/>
        </w:rPr>
      </w:pPr>
      <w:r>
        <w:rPr>
          <w:rFonts w:ascii="Arial" w:hAnsi="Arial" w:cs="Arial" w:hint="eastAsia"/>
          <w:sz w:val="24"/>
          <w:szCs w:val="28"/>
        </w:rPr>
        <w:t>Mapping ratios of reads in the scNanoCT&amp;ATAC-seq libraries and scNanoSeq-CUT&amp;Tag libraries targeting different histone marks.</w:t>
      </w:r>
    </w:p>
    <w:p w14:paraId="49222ADB" w14:textId="77777777" w:rsidR="004B0C46" w:rsidRDefault="004B0C46" w:rsidP="004B0C46">
      <w:pPr>
        <w:pStyle w:val="ListParagraph"/>
        <w:numPr>
          <w:ilvl w:val="0"/>
          <w:numId w:val="2"/>
        </w:numPr>
        <w:spacing w:line="360" w:lineRule="auto"/>
        <w:rPr>
          <w:rFonts w:ascii="Arial" w:hAnsi="Arial" w:cs="Arial"/>
          <w:sz w:val="24"/>
          <w:szCs w:val="28"/>
        </w:rPr>
      </w:pPr>
      <w:r>
        <w:rPr>
          <w:rFonts w:ascii="Arial" w:hAnsi="Arial" w:cs="Arial" w:hint="eastAsia"/>
          <w:sz w:val="24"/>
          <w:szCs w:val="28"/>
        </w:rPr>
        <w:t>Genome coverage of each single cells recalled in the scNanoCT&amp;ATAC-seq libraries and scNanoSeq-CUT&amp;Tag libraries targeting different histone marks.</w:t>
      </w:r>
    </w:p>
    <w:p w14:paraId="3ED2F2DF" w14:textId="77777777" w:rsidR="004B0C46" w:rsidRDefault="004B0C46" w:rsidP="004B0C46">
      <w:pPr>
        <w:pStyle w:val="ListParagraph"/>
        <w:spacing w:line="360" w:lineRule="auto"/>
        <w:ind w:left="0"/>
        <w:rPr>
          <w:rFonts w:ascii="Arial" w:hAnsi="Arial" w:cs="Arial"/>
          <w:sz w:val="24"/>
          <w:szCs w:val="28"/>
        </w:rPr>
      </w:pPr>
      <w:r>
        <w:rPr>
          <w:rFonts w:ascii="Arial" w:hAnsi="Arial" w:cs="Arial" w:hint="eastAsia"/>
          <w:sz w:val="24"/>
          <w:szCs w:val="28"/>
        </w:rPr>
        <w:t>(f-g) TSS enrichment of the read ends representing histone modification modality (f) and ATAC modality (g) in the scNanoCT&amp;ATAC-seq libraries and corresponding libraries by SMS-based single-modality methods.</w:t>
      </w:r>
    </w:p>
    <w:p w14:paraId="3DBC214A" w14:textId="77777777" w:rsidR="004B0C46" w:rsidRDefault="004B0C46" w:rsidP="004B0C46">
      <w:pPr>
        <w:pStyle w:val="ListParagraph"/>
        <w:spacing w:line="360" w:lineRule="auto"/>
        <w:ind w:left="0"/>
        <w:rPr>
          <w:rFonts w:ascii="Arial" w:hAnsi="Arial" w:cs="Arial"/>
          <w:sz w:val="24"/>
          <w:szCs w:val="28"/>
        </w:rPr>
      </w:pPr>
      <w:r>
        <w:rPr>
          <w:rFonts w:ascii="Arial" w:hAnsi="Arial" w:cs="Arial" w:hint="eastAsia"/>
          <w:sz w:val="24"/>
          <w:szCs w:val="28"/>
        </w:rPr>
        <w:t>(h) Nucleosome positioning patterns near the TSS revealed by the ATAC modality of scNanoCT&amp;ATAC-seq libraries.</w:t>
      </w:r>
    </w:p>
    <w:p w14:paraId="7555EA46" w14:textId="77777777" w:rsidR="004B0C46" w:rsidRDefault="004B0C46" w:rsidP="004B0C46">
      <w:pPr>
        <w:pStyle w:val="ListParagraph"/>
        <w:spacing w:line="360" w:lineRule="auto"/>
        <w:ind w:left="0"/>
        <w:rPr>
          <w:rFonts w:ascii="Arial" w:hAnsi="Arial" w:cs="Arial"/>
          <w:sz w:val="24"/>
          <w:szCs w:val="28"/>
        </w:rPr>
      </w:pPr>
    </w:p>
    <w:p w14:paraId="7C0969D3" w14:textId="77777777" w:rsidR="004B0C46" w:rsidRDefault="004B0C46" w:rsidP="004B0C46">
      <w:pPr>
        <w:pStyle w:val="ListParagraph"/>
        <w:spacing w:line="360" w:lineRule="auto"/>
        <w:ind w:left="0"/>
        <w:rPr>
          <w:rFonts w:ascii="Arial" w:hAnsi="Arial" w:cs="Arial"/>
          <w:b/>
          <w:bCs/>
          <w:sz w:val="24"/>
          <w:szCs w:val="32"/>
        </w:rPr>
      </w:pPr>
      <w:r>
        <w:rPr>
          <w:rFonts w:ascii="Arial" w:hAnsi="Arial" w:cs="Arial" w:hint="eastAsia"/>
          <w:b/>
          <w:bCs/>
          <w:sz w:val="24"/>
          <w:szCs w:val="32"/>
        </w:rPr>
        <w:t xml:space="preserve">Extended Data </w:t>
      </w:r>
      <w:r>
        <w:rPr>
          <w:rFonts w:ascii="Arial" w:hAnsi="Arial" w:cs="Arial"/>
          <w:b/>
          <w:bCs/>
          <w:sz w:val="24"/>
          <w:szCs w:val="32"/>
        </w:rPr>
        <w:t>Fig</w:t>
      </w:r>
      <w:r>
        <w:rPr>
          <w:rFonts w:ascii="Arial" w:hAnsi="Arial" w:cs="Arial" w:hint="eastAsia"/>
          <w:b/>
          <w:bCs/>
          <w:sz w:val="24"/>
          <w:szCs w:val="32"/>
        </w:rPr>
        <w:t>. 2 Reproducibility and accuracy of scNanoCT&amp;ATAC-seq in profiling each epimodality</w:t>
      </w:r>
    </w:p>
    <w:p w14:paraId="102DC129" w14:textId="77777777" w:rsidR="004B0C46" w:rsidRDefault="004B0C46" w:rsidP="004B0C46">
      <w:pPr>
        <w:pStyle w:val="ListParagraph"/>
        <w:numPr>
          <w:ilvl w:val="0"/>
          <w:numId w:val="3"/>
        </w:numPr>
        <w:spacing w:line="360" w:lineRule="auto"/>
        <w:rPr>
          <w:rFonts w:ascii="Arial" w:hAnsi="Arial" w:cs="Arial"/>
          <w:sz w:val="24"/>
          <w:szCs w:val="28"/>
        </w:rPr>
      </w:pPr>
      <w:r>
        <w:rPr>
          <w:rFonts w:ascii="Arial" w:hAnsi="Arial" w:cs="Arial" w:hint="eastAsia"/>
          <w:sz w:val="24"/>
          <w:szCs w:val="28"/>
        </w:rPr>
        <w:t>Reads correlations between data generated from two independent batches for each modality</w:t>
      </w:r>
      <w:r>
        <w:rPr>
          <w:rFonts w:ascii="Arial" w:hAnsi="Arial" w:cs="Arial"/>
          <w:sz w:val="24"/>
          <w:szCs w:val="28"/>
        </w:rPr>
        <w:t>.</w:t>
      </w:r>
      <w:r>
        <w:rPr>
          <w:rFonts w:ascii="Arial" w:hAnsi="Arial" w:cs="Arial" w:hint="eastAsia"/>
          <w:sz w:val="24"/>
          <w:szCs w:val="28"/>
        </w:rPr>
        <w:t xml:space="preserve"> The reads are summarized in each 10kb bin.</w:t>
      </w:r>
    </w:p>
    <w:p w14:paraId="4657FEF6" w14:textId="77777777" w:rsidR="004B0C46" w:rsidRDefault="004B0C46" w:rsidP="004B0C46">
      <w:pPr>
        <w:pStyle w:val="ListParagraph"/>
        <w:numPr>
          <w:ilvl w:val="0"/>
          <w:numId w:val="3"/>
        </w:numPr>
        <w:spacing w:line="360" w:lineRule="auto"/>
        <w:rPr>
          <w:rFonts w:ascii="Arial" w:hAnsi="Arial" w:cs="Arial"/>
          <w:sz w:val="24"/>
          <w:szCs w:val="28"/>
        </w:rPr>
      </w:pPr>
      <w:r>
        <w:rPr>
          <w:rFonts w:ascii="Arial" w:hAnsi="Arial" w:cs="Arial" w:hint="eastAsia"/>
          <w:sz w:val="24"/>
          <w:szCs w:val="28"/>
        </w:rPr>
        <w:t>Reads correlations of the ATAC modality (up) and histone modifications (bottom) from scNanoCT&amp;ATAC-seq libraries targeting different histone marks</w:t>
      </w:r>
      <w:r>
        <w:rPr>
          <w:rFonts w:ascii="Arial" w:hAnsi="Arial" w:cs="Arial"/>
          <w:sz w:val="24"/>
          <w:szCs w:val="28"/>
        </w:rPr>
        <w:t>.</w:t>
      </w:r>
      <w:r>
        <w:rPr>
          <w:rFonts w:ascii="Arial" w:hAnsi="Arial" w:cs="Arial" w:hint="eastAsia"/>
          <w:sz w:val="24"/>
          <w:szCs w:val="28"/>
        </w:rPr>
        <w:t xml:space="preserve"> The reads are summarized in each 10kb bin.</w:t>
      </w:r>
    </w:p>
    <w:p w14:paraId="38DCFEA1" w14:textId="77777777" w:rsidR="004B0C46" w:rsidRDefault="004B0C46" w:rsidP="004B0C46">
      <w:pPr>
        <w:pStyle w:val="ListParagraph"/>
        <w:numPr>
          <w:ilvl w:val="0"/>
          <w:numId w:val="3"/>
        </w:numPr>
        <w:spacing w:line="360" w:lineRule="auto"/>
        <w:rPr>
          <w:rFonts w:ascii="Arial" w:hAnsi="Arial" w:cs="Arial"/>
          <w:sz w:val="24"/>
          <w:szCs w:val="28"/>
        </w:rPr>
      </w:pPr>
      <w:r>
        <w:rPr>
          <w:rFonts w:ascii="Arial" w:hAnsi="Arial" w:cs="Arial" w:hint="eastAsia"/>
          <w:sz w:val="24"/>
          <w:szCs w:val="28"/>
        </w:rPr>
        <w:t>Overlap ratios of the ATAC peaks (up) and Cut&amp;Tag peaks (bottom) between libraries from different methods.</w:t>
      </w:r>
    </w:p>
    <w:p w14:paraId="11214979" w14:textId="77777777" w:rsidR="004B0C46" w:rsidRDefault="004B0C46" w:rsidP="004B0C46">
      <w:pPr>
        <w:pStyle w:val="ListParagraph"/>
        <w:numPr>
          <w:ilvl w:val="0"/>
          <w:numId w:val="3"/>
        </w:numPr>
        <w:spacing w:line="360" w:lineRule="auto"/>
        <w:rPr>
          <w:rFonts w:ascii="Arial" w:hAnsi="Arial" w:cs="Arial"/>
          <w:sz w:val="24"/>
          <w:szCs w:val="28"/>
        </w:rPr>
      </w:pPr>
      <w:r>
        <w:rPr>
          <w:rFonts w:ascii="Arial" w:hAnsi="Arial" w:cs="Arial" w:hint="eastAsia"/>
          <w:sz w:val="24"/>
          <w:szCs w:val="28"/>
        </w:rPr>
        <w:t>Reads correlations of the ATAC modality (up) and histone modifications (bottom) between libraries from different methods. The reads are summarized in each 10kb bin.</w:t>
      </w:r>
    </w:p>
    <w:p w14:paraId="450C5869" w14:textId="77777777" w:rsidR="004B0C46" w:rsidRDefault="004B0C46" w:rsidP="004B0C46">
      <w:pPr>
        <w:pStyle w:val="ListParagraph"/>
        <w:spacing w:line="360" w:lineRule="auto"/>
        <w:ind w:left="0"/>
        <w:rPr>
          <w:rFonts w:ascii="Arial" w:hAnsi="Arial" w:cs="Arial"/>
          <w:sz w:val="24"/>
          <w:szCs w:val="28"/>
        </w:rPr>
      </w:pPr>
    </w:p>
    <w:p w14:paraId="05A8897E" w14:textId="77777777" w:rsidR="004B0C46" w:rsidRDefault="004B0C46" w:rsidP="004B0C46">
      <w:pPr>
        <w:pStyle w:val="ListParagraph"/>
        <w:spacing w:line="360" w:lineRule="auto"/>
        <w:ind w:left="0"/>
        <w:rPr>
          <w:rFonts w:ascii="Arial" w:hAnsi="Arial" w:cs="Arial"/>
          <w:b/>
          <w:bCs/>
          <w:sz w:val="24"/>
          <w:szCs w:val="32"/>
        </w:rPr>
      </w:pPr>
      <w:r>
        <w:rPr>
          <w:rFonts w:ascii="Arial" w:hAnsi="Arial" w:cs="Arial" w:hint="eastAsia"/>
          <w:b/>
          <w:bCs/>
          <w:sz w:val="24"/>
          <w:szCs w:val="32"/>
        </w:rPr>
        <w:t xml:space="preserve">Extended Data </w:t>
      </w:r>
      <w:r>
        <w:rPr>
          <w:rFonts w:ascii="Arial" w:hAnsi="Arial" w:cs="Arial"/>
          <w:b/>
          <w:bCs/>
          <w:sz w:val="24"/>
          <w:szCs w:val="32"/>
        </w:rPr>
        <w:t>Fig</w:t>
      </w:r>
      <w:r>
        <w:rPr>
          <w:rFonts w:ascii="Arial" w:hAnsi="Arial" w:cs="Arial" w:hint="eastAsia"/>
          <w:b/>
          <w:bCs/>
          <w:sz w:val="24"/>
          <w:szCs w:val="32"/>
        </w:rPr>
        <w:t>. 3 Genomic distributions of each epimodality</w:t>
      </w:r>
    </w:p>
    <w:p w14:paraId="2DAF55FB" w14:textId="77777777" w:rsidR="004B0C46" w:rsidRDefault="004B0C46" w:rsidP="004B0C46">
      <w:pPr>
        <w:pStyle w:val="ListParagraph"/>
        <w:numPr>
          <w:ilvl w:val="0"/>
          <w:numId w:val="4"/>
        </w:numPr>
        <w:spacing w:line="360" w:lineRule="auto"/>
        <w:rPr>
          <w:rFonts w:ascii="Arial" w:hAnsi="Arial" w:cs="Arial"/>
          <w:sz w:val="24"/>
          <w:szCs w:val="28"/>
        </w:rPr>
      </w:pPr>
      <w:r>
        <w:rPr>
          <w:rFonts w:ascii="Arial" w:hAnsi="Arial" w:cs="Arial" w:hint="eastAsia"/>
          <w:sz w:val="24"/>
          <w:szCs w:val="28"/>
        </w:rPr>
        <w:t>Relative enrichment of each epimodality data generated by scNanoCT&amp;ATAC-seq to the ENCODE peaks.</w:t>
      </w:r>
    </w:p>
    <w:p w14:paraId="3A82424B" w14:textId="77777777" w:rsidR="004B0C46" w:rsidRDefault="004B0C46" w:rsidP="004B0C46">
      <w:pPr>
        <w:pStyle w:val="ListParagraph"/>
        <w:numPr>
          <w:ilvl w:val="0"/>
          <w:numId w:val="4"/>
        </w:numPr>
        <w:spacing w:line="360" w:lineRule="auto"/>
        <w:rPr>
          <w:rFonts w:ascii="Arial" w:hAnsi="Arial" w:cs="Arial"/>
          <w:sz w:val="24"/>
          <w:szCs w:val="28"/>
        </w:rPr>
      </w:pPr>
      <w:r>
        <w:rPr>
          <w:rFonts w:ascii="Arial" w:hAnsi="Arial" w:cs="Arial" w:hint="eastAsia"/>
          <w:sz w:val="24"/>
          <w:szCs w:val="28"/>
        </w:rPr>
        <w:t xml:space="preserve">Genomic distributions of the peaks from each epimodality data generated by </w:t>
      </w:r>
      <w:r>
        <w:rPr>
          <w:rFonts w:ascii="Arial" w:hAnsi="Arial" w:cs="Arial" w:hint="eastAsia"/>
          <w:sz w:val="24"/>
          <w:szCs w:val="28"/>
        </w:rPr>
        <w:lastRenderedPageBreak/>
        <w:t>scNanoCT&amp;ATAC-seq.</w:t>
      </w:r>
    </w:p>
    <w:p w14:paraId="3236155B" w14:textId="77777777" w:rsidR="004B0C46" w:rsidRDefault="004B0C46" w:rsidP="004B0C46">
      <w:pPr>
        <w:pStyle w:val="ListParagraph"/>
        <w:numPr>
          <w:ilvl w:val="0"/>
          <w:numId w:val="4"/>
        </w:numPr>
        <w:spacing w:line="360" w:lineRule="auto"/>
        <w:rPr>
          <w:rFonts w:ascii="Arial" w:hAnsi="Arial" w:cs="Arial"/>
          <w:sz w:val="24"/>
          <w:szCs w:val="28"/>
        </w:rPr>
      </w:pPr>
      <w:r>
        <w:rPr>
          <w:rFonts w:ascii="Arial" w:hAnsi="Arial" w:cs="Arial" w:hint="eastAsia"/>
          <w:sz w:val="24"/>
          <w:szCs w:val="28"/>
        </w:rPr>
        <w:t>CRE distributions of the peaks from each epimodality data generated by scNanoCT&amp;ATAC-seq.</w:t>
      </w:r>
    </w:p>
    <w:p w14:paraId="5FDE234A" w14:textId="77777777" w:rsidR="004B0C46" w:rsidRDefault="004B0C46" w:rsidP="004B0C46">
      <w:pPr>
        <w:spacing w:line="360" w:lineRule="auto"/>
        <w:rPr>
          <w:rFonts w:ascii="Arial" w:hAnsi="Arial" w:cs="Arial"/>
          <w:sz w:val="24"/>
          <w:szCs w:val="28"/>
        </w:rPr>
      </w:pPr>
    </w:p>
    <w:p w14:paraId="67FCC8EA" w14:textId="77777777" w:rsidR="004B0C46" w:rsidRDefault="004B0C46" w:rsidP="004B0C46">
      <w:pPr>
        <w:spacing w:line="360" w:lineRule="auto"/>
        <w:rPr>
          <w:rFonts w:ascii="Arial" w:hAnsi="Arial" w:cs="Arial"/>
          <w:b/>
          <w:bCs/>
          <w:sz w:val="24"/>
          <w:szCs w:val="32"/>
        </w:rPr>
      </w:pPr>
      <w:r>
        <w:rPr>
          <w:rFonts w:ascii="Arial" w:hAnsi="Arial" w:cs="Arial" w:hint="eastAsia"/>
          <w:b/>
          <w:bCs/>
          <w:sz w:val="24"/>
          <w:szCs w:val="32"/>
        </w:rPr>
        <w:t xml:space="preserve">Extended Data </w:t>
      </w:r>
      <w:r>
        <w:rPr>
          <w:rFonts w:ascii="Arial" w:hAnsi="Arial" w:cs="Arial"/>
          <w:b/>
          <w:bCs/>
          <w:sz w:val="24"/>
          <w:szCs w:val="32"/>
        </w:rPr>
        <w:t>Fig</w:t>
      </w:r>
      <w:r>
        <w:rPr>
          <w:rFonts w:ascii="Arial" w:hAnsi="Arial" w:cs="Arial" w:hint="eastAsia"/>
          <w:b/>
          <w:bCs/>
          <w:sz w:val="24"/>
          <w:szCs w:val="32"/>
        </w:rPr>
        <w:t>. 4 scNanoCT&amp;ATAC-seq clearly separate different cell types with each epimodality</w:t>
      </w:r>
    </w:p>
    <w:p w14:paraId="67B49C96" w14:textId="77777777" w:rsidR="004B0C46" w:rsidRDefault="004B0C46" w:rsidP="004B0C46">
      <w:pPr>
        <w:pStyle w:val="ListParagraph"/>
        <w:numPr>
          <w:ilvl w:val="0"/>
          <w:numId w:val="5"/>
        </w:numPr>
        <w:spacing w:line="360" w:lineRule="auto"/>
        <w:rPr>
          <w:rFonts w:ascii="Arial" w:hAnsi="Arial" w:cs="Arial"/>
          <w:sz w:val="24"/>
          <w:szCs w:val="28"/>
        </w:rPr>
      </w:pPr>
      <w:r>
        <w:rPr>
          <w:rFonts w:ascii="Arial" w:hAnsi="Arial" w:cs="Arial" w:hint="eastAsia"/>
          <w:sz w:val="24"/>
          <w:szCs w:val="28"/>
        </w:rPr>
        <w:t xml:space="preserve">UMAP of GM12878 and K562 cells based on the ATAC signals. Histone modifications detected simultaneously by the cells are shown on the right. </w:t>
      </w:r>
    </w:p>
    <w:p w14:paraId="16E80FB2" w14:textId="77777777" w:rsidR="004B0C46" w:rsidRDefault="004B0C46" w:rsidP="004B0C46">
      <w:pPr>
        <w:pStyle w:val="ListParagraph"/>
        <w:numPr>
          <w:ilvl w:val="0"/>
          <w:numId w:val="5"/>
        </w:numPr>
        <w:spacing w:line="360" w:lineRule="auto"/>
        <w:rPr>
          <w:rFonts w:ascii="Arial" w:hAnsi="Arial" w:cs="Arial"/>
          <w:sz w:val="24"/>
          <w:szCs w:val="28"/>
        </w:rPr>
      </w:pPr>
      <w:r>
        <w:rPr>
          <w:rFonts w:ascii="Arial" w:hAnsi="Arial" w:cs="Arial" w:hint="eastAsia"/>
          <w:sz w:val="24"/>
          <w:szCs w:val="28"/>
        </w:rPr>
        <w:t>UMAP of GM12878 and K562 cells based on each histone modification data generated by scNanoCT&amp;ATAC-seq.</w:t>
      </w:r>
    </w:p>
    <w:p w14:paraId="5FAED40A" w14:textId="77777777" w:rsidR="004B0C46" w:rsidRDefault="004B0C46" w:rsidP="004B0C46">
      <w:pPr>
        <w:pStyle w:val="ListParagraph"/>
        <w:numPr>
          <w:ilvl w:val="0"/>
          <w:numId w:val="5"/>
        </w:numPr>
        <w:spacing w:line="360" w:lineRule="auto"/>
        <w:rPr>
          <w:rFonts w:ascii="Arial" w:hAnsi="Arial" w:cs="Arial"/>
          <w:sz w:val="24"/>
          <w:szCs w:val="28"/>
        </w:rPr>
      </w:pPr>
      <w:r>
        <w:rPr>
          <w:rFonts w:ascii="Arial" w:hAnsi="Arial" w:cs="Arial" w:hint="eastAsia"/>
          <w:sz w:val="24"/>
          <w:szCs w:val="28"/>
        </w:rPr>
        <w:t>Heatmap showing the cell type specific and common peaks for each epimodality.</w:t>
      </w:r>
    </w:p>
    <w:p w14:paraId="51095C33" w14:textId="77777777" w:rsidR="004B0C46" w:rsidRDefault="004B0C46" w:rsidP="004B0C46">
      <w:pPr>
        <w:pStyle w:val="ListParagraph"/>
        <w:numPr>
          <w:ilvl w:val="0"/>
          <w:numId w:val="5"/>
        </w:numPr>
        <w:spacing w:line="360" w:lineRule="auto"/>
        <w:rPr>
          <w:rFonts w:ascii="Arial" w:hAnsi="Arial" w:cs="Arial"/>
          <w:sz w:val="24"/>
          <w:szCs w:val="28"/>
        </w:rPr>
      </w:pPr>
      <w:r>
        <w:rPr>
          <w:rFonts w:ascii="Arial" w:hAnsi="Arial" w:cs="Arial" w:hint="eastAsia"/>
          <w:sz w:val="24"/>
          <w:szCs w:val="28"/>
        </w:rPr>
        <w:t>Representative GO terms of cell type specific ATAC peaks related genes.</w:t>
      </w:r>
    </w:p>
    <w:p w14:paraId="6F22DED3" w14:textId="77777777" w:rsidR="004B0C46" w:rsidRDefault="004B0C46" w:rsidP="004B0C46">
      <w:pPr>
        <w:pStyle w:val="ListParagraph"/>
        <w:numPr>
          <w:ilvl w:val="0"/>
          <w:numId w:val="5"/>
        </w:numPr>
        <w:spacing w:line="360" w:lineRule="auto"/>
        <w:rPr>
          <w:rFonts w:ascii="Arial" w:hAnsi="Arial" w:cs="Arial"/>
          <w:sz w:val="24"/>
          <w:szCs w:val="28"/>
        </w:rPr>
      </w:pPr>
      <w:r>
        <w:rPr>
          <w:rFonts w:ascii="Arial" w:hAnsi="Arial" w:cs="Arial" w:hint="eastAsia"/>
          <w:sz w:val="24"/>
          <w:szCs w:val="28"/>
        </w:rPr>
        <w:t>Signal scores of each epimodality in the representative marker genes (GATA1 for K562, MS4A1 for GM12878).</w:t>
      </w:r>
    </w:p>
    <w:p w14:paraId="27CB3DBD" w14:textId="77777777" w:rsidR="004B0C46" w:rsidRDefault="004B0C46" w:rsidP="004B0C46">
      <w:pPr>
        <w:pStyle w:val="ListParagraph"/>
        <w:spacing w:line="360" w:lineRule="auto"/>
        <w:ind w:left="0"/>
        <w:rPr>
          <w:rFonts w:ascii="Arial" w:hAnsi="Arial" w:cs="Arial"/>
          <w:sz w:val="24"/>
          <w:szCs w:val="28"/>
        </w:rPr>
      </w:pPr>
    </w:p>
    <w:p w14:paraId="3B0C4384" w14:textId="77777777" w:rsidR="004B0C46" w:rsidRDefault="004B0C46" w:rsidP="004B0C46">
      <w:pPr>
        <w:pStyle w:val="ListParagraph"/>
        <w:spacing w:line="360" w:lineRule="auto"/>
        <w:ind w:left="0"/>
        <w:rPr>
          <w:rFonts w:ascii="Arial" w:hAnsi="Arial" w:cs="Arial"/>
          <w:b/>
          <w:bCs/>
          <w:sz w:val="24"/>
          <w:szCs w:val="32"/>
        </w:rPr>
      </w:pPr>
      <w:r>
        <w:rPr>
          <w:rFonts w:ascii="Arial" w:hAnsi="Arial" w:cs="Arial" w:hint="eastAsia"/>
          <w:b/>
          <w:bCs/>
          <w:sz w:val="24"/>
          <w:szCs w:val="32"/>
        </w:rPr>
        <w:t xml:space="preserve">Extended Data </w:t>
      </w:r>
      <w:r>
        <w:rPr>
          <w:rFonts w:ascii="Arial" w:hAnsi="Arial" w:cs="Arial"/>
          <w:b/>
          <w:bCs/>
          <w:sz w:val="24"/>
          <w:szCs w:val="32"/>
        </w:rPr>
        <w:t>Fig</w:t>
      </w:r>
      <w:r>
        <w:rPr>
          <w:rFonts w:ascii="Arial" w:hAnsi="Arial" w:cs="Arial" w:hint="eastAsia"/>
          <w:b/>
          <w:bCs/>
          <w:sz w:val="24"/>
          <w:szCs w:val="32"/>
        </w:rPr>
        <w:t>.</w:t>
      </w:r>
      <w:r>
        <w:rPr>
          <w:rFonts w:ascii="Arial" w:hAnsi="Arial" w:cs="Arial" w:hint="eastAsia"/>
          <w:sz w:val="24"/>
          <w:szCs w:val="28"/>
        </w:rPr>
        <w:t xml:space="preserve"> </w:t>
      </w:r>
      <w:r>
        <w:rPr>
          <w:rFonts w:ascii="Arial" w:hAnsi="Arial" w:cs="Arial" w:hint="eastAsia"/>
          <w:b/>
          <w:bCs/>
          <w:sz w:val="24"/>
          <w:szCs w:val="32"/>
        </w:rPr>
        <w:t>5 scNanoCT&amp;ATAC-seq accurately captures genomic SVs</w:t>
      </w:r>
    </w:p>
    <w:p w14:paraId="60870035" w14:textId="77777777" w:rsidR="004B0C46" w:rsidRDefault="004B0C46" w:rsidP="004B0C46">
      <w:pPr>
        <w:pStyle w:val="ListParagraph"/>
        <w:numPr>
          <w:ilvl w:val="0"/>
          <w:numId w:val="6"/>
        </w:numPr>
        <w:spacing w:line="360" w:lineRule="auto"/>
        <w:rPr>
          <w:rFonts w:ascii="Arial" w:hAnsi="Arial" w:cs="Arial"/>
          <w:sz w:val="24"/>
          <w:szCs w:val="28"/>
        </w:rPr>
      </w:pPr>
      <w:r>
        <w:rPr>
          <w:rFonts w:ascii="Arial" w:hAnsi="Arial" w:cs="Arial" w:hint="eastAsia"/>
          <w:sz w:val="24"/>
          <w:szCs w:val="28"/>
        </w:rPr>
        <w:t>Barplot showing the number of each type of SVs captured by scNanoCT&amp;ATAC-seq and ONT-based bulk WGS.</w:t>
      </w:r>
    </w:p>
    <w:p w14:paraId="361FE89E" w14:textId="77777777" w:rsidR="004B0C46" w:rsidRDefault="004B0C46" w:rsidP="004B0C46">
      <w:pPr>
        <w:pStyle w:val="ListParagraph"/>
        <w:numPr>
          <w:ilvl w:val="0"/>
          <w:numId w:val="6"/>
        </w:numPr>
        <w:spacing w:line="360" w:lineRule="auto"/>
        <w:rPr>
          <w:rFonts w:ascii="Arial" w:hAnsi="Arial" w:cs="Arial"/>
          <w:sz w:val="24"/>
          <w:szCs w:val="28"/>
        </w:rPr>
      </w:pPr>
      <w:r>
        <w:rPr>
          <w:rFonts w:ascii="Arial" w:hAnsi="Arial" w:cs="Arial" w:hint="eastAsia"/>
          <w:sz w:val="24"/>
          <w:szCs w:val="28"/>
        </w:rPr>
        <w:t>Venn diagram showing the overlap of breakpoints detected by scNanoCT&amp;ATAC-seq and ONT-based bulk WGS.</w:t>
      </w:r>
    </w:p>
    <w:p w14:paraId="012BB671" w14:textId="77777777" w:rsidR="004B0C46" w:rsidRDefault="004B0C46" w:rsidP="004B0C46">
      <w:pPr>
        <w:pStyle w:val="ListParagraph"/>
        <w:numPr>
          <w:ilvl w:val="0"/>
          <w:numId w:val="6"/>
        </w:numPr>
        <w:spacing w:line="360" w:lineRule="auto"/>
        <w:rPr>
          <w:rFonts w:ascii="Arial" w:hAnsi="Arial" w:cs="Arial"/>
          <w:sz w:val="24"/>
          <w:szCs w:val="28"/>
        </w:rPr>
      </w:pPr>
      <w:r>
        <w:rPr>
          <w:rFonts w:ascii="Arial" w:hAnsi="Arial" w:cs="Arial" w:hint="eastAsia"/>
          <w:sz w:val="24"/>
          <w:szCs w:val="28"/>
        </w:rPr>
        <w:t>IGV tracks showing the reads supporting fusion of the two chromosome regions.</w:t>
      </w:r>
    </w:p>
    <w:p w14:paraId="0502B3A5" w14:textId="77777777" w:rsidR="004B0C46" w:rsidRDefault="004B0C46" w:rsidP="004B0C46">
      <w:pPr>
        <w:pStyle w:val="ListParagraph"/>
        <w:numPr>
          <w:ilvl w:val="0"/>
          <w:numId w:val="6"/>
        </w:numPr>
        <w:spacing w:line="360" w:lineRule="auto"/>
        <w:rPr>
          <w:rFonts w:ascii="Arial" w:hAnsi="Arial" w:cs="Arial"/>
          <w:sz w:val="24"/>
          <w:szCs w:val="28"/>
        </w:rPr>
      </w:pPr>
      <w:r>
        <w:rPr>
          <w:rFonts w:ascii="Arial" w:hAnsi="Arial" w:cs="Arial" w:hint="eastAsia"/>
          <w:sz w:val="24"/>
          <w:szCs w:val="28"/>
        </w:rPr>
        <w:t>Gel picture of the PCR products using primer pairs indicated in panel c.</w:t>
      </w:r>
    </w:p>
    <w:p w14:paraId="53B262F6" w14:textId="77777777" w:rsidR="004B0C46" w:rsidRDefault="004B0C46" w:rsidP="004B0C46">
      <w:pPr>
        <w:pStyle w:val="ListParagraph"/>
        <w:spacing w:line="360" w:lineRule="auto"/>
        <w:ind w:left="0"/>
        <w:rPr>
          <w:rFonts w:ascii="Arial" w:hAnsi="Arial" w:cs="Arial"/>
          <w:sz w:val="24"/>
          <w:szCs w:val="28"/>
        </w:rPr>
      </w:pPr>
    </w:p>
    <w:p w14:paraId="7D8B482B" w14:textId="77777777" w:rsidR="004B0C46" w:rsidRDefault="004B0C46" w:rsidP="004B0C46">
      <w:pPr>
        <w:pStyle w:val="ListParagraph"/>
        <w:spacing w:line="360" w:lineRule="auto"/>
        <w:ind w:left="0"/>
        <w:rPr>
          <w:rFonts w:ascii="Arial" w:hAnsi="Arial" w:cs="Arial"/>
          <w:b/>
          <w:bCs/>
          <w:sz w:val="24"/>
          <w:szCs w:val="32"/>
        </w:rPr>
      </w:pPr>
      <w:r>
        <w:rPr>
          <w:rFonts w:ascii="Arial" w:hAnsi="Arial" w:cs="Arial" w:hint="eastAsia"/>
          <w:b/>
          <w:bCs/>
          <w:sz w:val="24"/>
          <w:szCs w:val="32"/>
        </w:rPr>
        <w:t xml:space="preserve">Extended Data </w:t>
      </w:r>
      <w:r>
        <w:rPr>
          <w:rFonts w:ascii="Arial" w:hAnsi="Arial" w:cs="Arial"/>
          <w:b/>
          <w:bCs/>
          <w:sz w:val="24"/>
          <w:szCs w:val="32"/>
        </w:rPr>
        <w:t>Fig</w:t>
      </w:r>
      <w:r>
        <w:rPr>
          <w:rFonts w:ascii="Arial" w:hAnsi="Arial" w:cs="Arial" w:hint="eastAsia"/>
          <w:b/>
          <w:bCs/>
          <w:sz w:val="24"/>
          <w:szCs w:val="32"/>
        </w:rPr>
        <w:t>. 6</w:t>
      </w:r>
      <w:r>
        <w:rPr>
          <w:rFonts w:ascii="Arial" w:hAnsi="Arial" w:cs="Arial" w:hint="eastAsia"/>
          <w:sz w:val="24"/>
          <w:szCs w:val="28"/>
        </w:rPr>
        <w:t xml:space="preserve"> </w:t>
      </w:r>
      <w:r>
        <w:rPr>
          <w:rFonts w:ascii="Arial" w:hAnsi="Arial" w:cs="Arial" w:hint="eastAsia"/>
          <w:b/>
          <w:bCs/>
          <w:sz w:val="24"/>
          <w:szCs w:val="28"/>
        </w:rPr>
        <w:t>S</w:t>
      </w:r>
      <w:r>
        <w:rPr>
          <w:rFonts w:ascii="Arial" w:hAnsi="Arial" w:cs="Arial" w:hint="eastAsia"/>
          <w:b/>
          <w:bCs/>
          <w:sz w:val="24"/>
          <w:szCs w:val="32"/>
        </w:rPr>
        <w:t>cNanoCT&amp;ATAC-seq accurately detects the CNVs</w:t>
      </w:r>
    </w:p>
    <w:p w14:paraId="635CA18A" w14:textId="77777777" w:rsidR="004B0C46" w:rsidRDefault="004B0C46" w:rsidP="004B0C46">
      <w:pPr>
        <w:pStyle w:val="ListParagraph"/>
        <w:spacing w:line="360" w:lineRule="auto"/>
        <w:ind w:left="0" w:firstLineChars="100" w:firstLine="240"/>
        <w:rPr>
          <w:rFonts w:ascii="Arial" w:hAnsi="Arial" w:cs="Arial"/>
          <w:sz w:val="24"/>
          <w:szCs w:val="28"/>
        </w:rPr>
      </w:pPr>
      <w:r>
        <w:rPr>
          <w:rFonts w:ascii="Arial" w:hAnsi="Arial" w:cs="Arial" w:hint="eastAsia"/>
          <w:sz w:val="24"/>
          <w:szCs w:val="28"/>
        </w:rPr>
        <w:t>CNV results of different scNanoCT&amp;ATAC-seq reactions and ONT-based bulk WGS. Representative copy gain and loss are indicated through red and blue dashed box respectively.</w:t>
      </w:r>
    </w:p>
    <w:p w14:paraId="73AE1827" w14:textId="77777777" w:rsidR="004B0C46" w:rsidRDefault="004B0C46" w:rsidP="004B0C46">
      <w:pPr>
        <w:spacing w:line="360" w:lineRule="auto"/>
        <w:rPr>
          <w:rFonts w:ascii="Arial" w:hAnsi="Arial" w:cs="Arial"/>
          <w:b/>
          <w:bCs/>
          <w:sz w:val="24"/>
          <w:szCs w:val="32"/>
        </w:rPr>
      </w:pPr>
    </w:p>
    <w:p w14:paraId="78E17505" w14:textId="77777777" w:rsidR="004B0C46" w:rsidRDefault="004B0C46" w:rsidP="004B0C46">
      <w:pPr>
        <w:spacing w:line="360" w:lineRule="auto"/>
        <w:rPr>
          <w:rFonts w:ascii="Arial" w:hAnsi="Arial" w:cs="Arial"/>
          <w:sz w:val="24"/>
          <w:szCs w:val="28"/>
        </w:rPr>
      </w:pPr>
      <w:r>
        <w:rPr>
          <w:rFonts w:ascii="Arial" w:hAnsi="Arial" w:cs="Arial" w:hint="eastAsia"/>
          <w:b/>
          <w:bCs/>
          <w:sz w:val="24"/>
          <w:szCs w:val="32"/>
        </w:rPr>
        <w:t xml:space="preserve">Extended Data </w:t>
      </w:r>
      <w:r>
        <w:rPr>
          <w:rFonts w:ascii="Arial" w:hAnsi="Arial" w:cs="Arial"/>
          <w:b/>
          <w:bCs/>
          <w:sz w:val="24"/>
          <w:szCs w:val="32"/>
        </w:rPr>
        <w:t>Fig</w:t>
      </w:r>
      <w:r>
        <w:rPr>
          <w:rFonts w:ascii="Arial" w:hAnsi="Arial" w:cs="Arial" w:hint="eastAsia"/>
          <w:b/>
          <w:bCs/>
          <w:sz w:val="24"/>
          <w:szCs w:val="32"/>
        </w:rPr>
        <w:t>. 7</w:t>
      </w:r>
      <w:r>
        <w:rPr>
          <w:rFonts w:ascii="Arial" w:hAnsi="Arial" w:cs="Arial" w:hint="eastAsia"/>
          <w:sz w:val="24"/>
          <w:szCs w:val="28"/>
        </w:rPr>
        <w:t xml:space="preserve"> </w:t>
      </w:r>
      <w:r>
        <w:rPr>
          <w:rFonts w:ascii="Arial" w:hAnsi="Arial" w:cs="Arial" w:hint="eastAsia"/>
          <w:b/>
          <w:bCs/>
          <w:sz w:val="24"/>
          <w:szCs w:val="28"/>
        </w:rPr>
        <w:t>Single-cell chromatin states evaluation</w:t>
      </w:r>
      <w:r>
        <w:rPr>
          <w:rFonts w:ascii="Arial" w:hAnsi="Arial" w:cs="Arial" w:hint="eastAsia"/>
          <w:sz w:val="24"/>
          <w:szCs w:val="28"/>
        </w:rPr>
        <w:t xml:space="preserve"> </w:t>
      </w:r>
    </w:p>
    <w:p w14:paraId="7C532D89" w14:textId="77777777" w:rsidR="004B0C46" w:rsidRDefault="004B0C46" w:rsidP="004B0C46">
      <w:pPr>
        <w:pStyle w:val="ListParagraph"/>
        <w:numPr>
          <w:ilvl w:val="0"/>
          <w:numId w:val="7"/>
        </w:numPr>
        <w:spacing w:line="360" w:lineRule="auto"/>
        <w:rPr>
          <w:rFonts w:ascii="Arial" w:hAnsi="Arial" w:cs="Arial"/>
          <w:sz w:val="24"/>
          <w:szCs w:val="28"/>
        </w:rPr>
      </w:pPr>
      <w:r>
        <w:rPr>
          <w:rFonts w:ascii="Arial" w:hAnsi="Arial" w:cs="Arial" w:hint="eastAsia"/>
          <w:sz w:val="24"/>
          <w:szCs w:val="28"/>
        </w:rPr>
        <w:t>The probability transition across the 10 emission states.</w:t>
      </w:r>
    </w:p>
    <w:p w14:paraId="1E06D031" w14:textId="77777777" w:rsidR="004B0C46" w:rsidRDefault="004B0C46" w:rsidP="004B0C46">
      <w:pPr>
        <w:pStyle w:val="ListParagraph"/>
        <w:numPr>
          <w:ilvl w:val="0"/>
          <w:numId w:val="7"/>
        </w:numPr>
        <w:spacing w:line="360" w:lineRule="auto"/>
        <w:rPr>
          <w:rFonts w:ascii="Arial" w:hAnsi="Arial" w:cs="Arial"/>
          <w:sz w:val="24"/>
          <w:szCs w:val="28"/>
        </w:rPr>
      </w:pPr>
      <w:r>
        <w:rPr>
          <w:rFonts w:ascii="Arial" w:hAnsi="Arial" w:cs="Arial" w:hint="eastAsia"/>
          <w:sz w:val="24"/>
          <w:szCs w:val="28"/>
        </w:rPr>
        <w:t>Heatmap showing the enrichment of each emission state in different genomic elements.</w:t>
      </w:r>
    </w:p>
    <w:p w14:paraId="066D9F2D" w14:textId="77777777" w:rsidR="004B0C46" w:rsidRDefault="004B0C46" w:rsidP="004B0C46">
      <w:pPr>
        <w:pStyle w:val="ListParagraph"/>
        <w:numPr>
          <w:ilvl w:val="0"/>
          <w:numId w:val="7"/>
        </w:numPr>
        <w:spacing w:line="360" w:lineRule="auto"/>
        <w:rPr>
          <w:rFonts w:ascii="Arial" w:hAnsi="Arial" w:cs="Arial"/>
          <w:sz w:val="24"/>
          <w:szCs w:val="28"/>
        </w:rPr>
      </w:pPr>
      <w:r>
        <w:rPr>
          <w:rFonts w:ascii="Arial" w:hAnsi="Arial" w:cs="Arial" w:hint="eastAsia"/>
          <w:sz w:val="24"/>
          <w:szCs w:val="28"/>
        </w:rPr>
        <w:t>Enrichment of each emission state in the TSS and TES regions.</w:t>
      </w:r>
    </w:p>
    <w:p w14:paraId="36803DBE" w14:textId="77777777" w:rsidR="004B0C46" w:rsidRDefault="004B0C46" w:rsidP="004B0C46">
      <w:pPr>
        <w:pStyle w:val="ListParagraph"/>
        <w:numPr>
          <w:ilvl w:val="0"/>
          <w:numId w:val="7"/>
        </w:numPr>
        <w:spacing w:line="360" w:lineRule="auto"/>
        <w:rPr>
          <w:rFonts w:ascii="Arial" w:hAnsi="Arial" w:cs="Arial"/>
          <w:sz w:val="24"/>
          <w:szCs w:val="28"/>
        </w:rPr>
      </w:pPr>
      <w:r>
        <w:rPr>
          <w:rFonts w:ascii="Arial" w:hAnsi="Arial" w:cs="Arial"/>
          <w:sz w:val="24"/>
          <w:szCs w:val="28"/>
        </w:rPr>
        <w:t>Average expression levels</w:t>
      </w:r>
      <w:r>
        <w:rPr>
          <w:rFonts w:ascii="Arial" w:hAnsi="Arial" w:cs="Arial" w:hint="eastAsia"/>
          <w:sz w:val="24"/>
          <w:szCs w:val="28"/>
        </w:rPr>
        <w:t xml:space="preserve"> </w:t>
      </w:r>
      <w:r>
        <w:rPr>
          <w:rFonts w:ascii="Arial" w:hAnsi="Arial" w:cs="Arial"/>
          <w:sz w:val="24"/>
          <w:szCs w:val="28"/>
        </w:rPr>
        <w:t>of genes</w:t>
      </w:r>
      <w:r>
        <w:rPr>
          <w:rFonts w:ascii="Arial" w:hAnsi="Arial" w:cs="Arial" w:hint="eastAsia"/>
          <w:sz w:val="24"/>
          <w:szCs w:val="28"/>
        </w:rPr>
        <w:t xml:space="preserve"> (left) and the proportion of expressed genes </w:t>
      </w:r>
      <w:r>
        <w:rPr>
          <w:rFonts w:ascii="Arial" w:hAnsi="Arial" w:cs="Arial" w:hint="eastAsia"/>
          <w:sz w:val="24"/>
          <w:szCs w:val="28"/>
        </w:rPr>
        <w:lastRenderedPageBreak/>
        <w:t>(right)</w:t>
      </w:r>
      <w:r>
        <w:rPr>
          <w:rFonts w:ascii="Arial" w:hAnsi="Arial" w:cs="Arial"/>
          <w:sz w:val="24"/>
          <w:szCs w:val="28"/>
        </w:rPr>
        <w:t xml:space="preserve"> located in each chromatin state</w:t>
      </w:r>
      <w:r>
        <w:rPr>
          <w:rFonts w:ascii="Arial" w:hAnsi="Arial" w:cs="Arial" w:hint="eastAsia"/>
          <w:sz w:val="24"/>
          <w:szCs w:val="28"/>
        </w:rPr>
        <w:t xml:space="preserve"> in K562 cells</w:t>
      </w:r>
      <w:r>
        <w:rPr>
          <w:rFonts w:ascii="Arial" w:hAnsi="Arial" w:cs="Arial"/>
          <w:sz w:val="24"/>
          <w:szCs w:val="28"/>
        </w:rPr>
        <w:t>.</w:t>
      </w:r>
    </w:p>
    <w:p w14:paraId="70CD64EF" w14:textId="77777777" w:rsidR="004B0C46" w:rsidRDefault="004B0C46" w:rsidP="004B0C46">
      <w:pPr>
        <w:pStyle w:val="ListParagraph"/>
        <w:numPr>
          <w:ilvl w:val="0"/>
          <w:numId w:val="7"/>
        </w:numPr>
        <w:spacing w:line="360" w:lineRule="auto"/>
        <w:rPr>
          <w:rFonts w:ascii="Arial" w:hAnsi="Arial" w:cs="Arial"/>
          <w:sz w:val="24"/>
          <w:szCs w:val="28"/>
        </w:rPr>
      </w:pPr>
      <w:r>
        <w:rPr>
          <w:rFonts w:ascii="Arial" w:hAnsi="Arial" w:cs="Arial"/>
          <w:sz w:val="24"/>
          <w:szCs w:val="28"/>
        </w:rPr>
        <w:t xml:space="preserve">Average signal </w:t>
      </w:r>
      <w:r>
        <w:rPr>
          <w:rFonts w:ascii="Arial" w:hAnsi="Arial" w:cs="Arial" w:hint="eastAsia"/>
          <w:sz w:val="24"/>
          <w:szCs w:val="28"/>
        </w:rPr>
        <w:t>of each epi-modality in the</w:t>
      </w:r>
      <w:r>
        <w:rPr>
          <w:rFonts w:ascii="Arial" w:hAnsi="Arial" w:cs="Arial"/>
          <w:sz w:val="24"/>
          <w:szCs w:val="28"/>
        </w:rPr>
        <w:t xml:space="preserve"> </w:t>
      </w:r>
      <w:r>
        <w:rPr>
          <w:rFonts w:ascii="Arial" w:hAnsi="Arial" w:cs="Arial" w:hint="eastAsia"/>
          <w:sz w:val="24"/>
          <w:szCs w:val="28"/>
        </w:rPr>
        <w:t>a</w:t>
      </w:r>
      <w:r>
        <w:rPr>
          <w:rFonts w:ascii="Arial" w:hAnsi="Arial" w:cs="Arial"/>
          <w:sz w:val="24"/>
          <w:szCs w:val="28"/>
        </w:rPr>
        <w:t xml:space="preserve">ctive (E1-E5, </w:t>
      </w:r>
      <w:r>
        <w:rPr>
          <w:rFonts w:ascii="Arial" w:hAnsi="Arial" w:cs="Arial" w:hint="eastAsia"/>
          <w:sz w:val="24"/>
          <w:szCs w:val="28"/>
        </w:rPr>
        <w:t>left</w:t>
      </w:r>
      <w:r>
        <w:rPr>
          <w:rFonts w:ascii="Arial" w:hAnsi="Arial" w:cs="Arial"/>
          <w:sz w:val="24"/>
          <w:szCs w:val="28"/>
        </w:rPr>
        <w:t xml:space="preserve">) </w:t>
      </w:r>
      <w:r>
        <w:rPr>
          <w:rFonts w:ascii="Arial" w:hAnsi="Arial" w:cs="Arial" w:hint="eastAsia"/>
          <w:sz w:val="24"/>
          <w:szCs w:val="28"/>
        </w:rPr>
        <w:t>and r</w:t>
      </w:r>
      <w:r>
        <w:rPr>
          <w:rFonts w:ascii="Arial" w:hAnsi="Arial" w:cs="Arial"/>
          <w:sz w:val="24"/>
          <w:szCs w:val="28"/>
        </w:rPr>
        <w:t xml:space="preserve">epressive (E6-E10, </w:t>
      </w:r>
      <w:r>
        <w:rPr>
          <w:rFonts w:ascii="Arial" w:hAnsi="Arial" w:cs="Arial" w:hint="eastAsia"/>
          <w:sz w:val="24"/>
          <w:szCs w:val="28"/>
        </w:rPr>
        <w:t>right</w:t>
      </w:r>
      <w:r>
        <w:rPr>
          <w:rFonts w:ascii="Arial" w:hAnsi="Arial" w:cs="Arial"/>
          <w:sz w:val="24"/>
          <w:szCs w:val="28"/>
        </w:rPr>
        <w:t xml:space="preserve">) </w:t>
      </w:r>
      <w:r>
        <w:rPr>
          <w:rFonts w:ascii="Arial" w:hAnsi="Arial" w:cs="Arial" w:hint="eastAsia"/>
          <w:sz w:val="24"/>
          <w:szCs w:val="28"/>
        </w:rPr>
        <w:t>regions in K562 cells</w:t>
      </w:r>
      <w:r>
        <w:rPr>
          <w:rFonts w:ascii="Arial" w:hAnsi="Arial" w:cs="Arial"/>
          <w:sz w:val="24"/>
          <w:szCs w:val="28"/>
        </w:rPr>
        <w:t>.</w:t>
      </w:r>
    </w:p>
    <w:p w14:paraId="12A60689" w14:textId="77777777" w:rsidR="004B0C46" w:rsidRDefault="004B0C46" w:rsidP="004B0C46">
      <w:pPr>
        <w:pStyle w:val="ListParagraph"/>
        <w:numPr>
          <w:ilvl w:val="0"/>
          <w:numId w:val="7"/>
        </w:numPr>
        <w:spacing w:line="360" w:lineRule="auto"/>
        <w:rPr>
          <w:rFonts w:ascii="Arial" w:hAnsi="Arial" w:cs="Arial"/>
          <w:sz w:val="24"/>
          <w:szCs w:val="28"/>
        </w:rPr>
      </w:pPr>
      <w:r>
        <w:rPr>
          <w:rFonts w:ascii="Arial" w:hAnsi="Arial" w:cs="Arial" w:hint="eastAsia"/>
          <w:sz w:val="24"/>
          <w:szCs w:val="28"/>
        </w:rPr>
        <w:t>Histone mark information</w:t>
      </w:r>
      <w:r>
        <w:rPr>
          <w:rFonts w:ascii="Arial" w:hAnsi="Arial" w:cs="Arial"/>
          <w:sz w:val="24"/>
          <w:szCs w:val="28"/>
        </w:rPr>
        <w:t xml:space="preserve"> of </w:t>
      </w:r>
      <w:r>
        <w:rPr>
          <w:rFonts w:ascii="Arial" w:hAnsi="Arial" w:cs="Arial" w:hint="eastAsia"/>
          <w:sz w:val="24"/>
          <w:szCs w:val="28"/>
        </w:rPr>
        <w:t>each</w:t>
      </w:r>
      <w:r>
        <w:rPr>
          <w:rFonts w:ascii="Arial" w:hAnsi="Arial" w:cs="Arial"/>
          <w:sz w:val="24"/>
          <w:szCs w:val="28"/>
        </w:rPr>
        <w:t xml:space="preserve"> cell.</w:t>
      </w:r>
      <w:r>
        <w:rPr>
          <w:rFonts w:ascii="Arial" w:hAnsi="Arial" w:cs="Arial" w:hint="eastAsia"/>
          <w:sz w:val="24"/>
          <w:szCs w:val="28"/>
        </w:rPr>
        <w:t xml:space="preserve"> Related to Fig. 3c.</w:t>
      </w:r>
    </w:p>
    <w:p w14:paraId="065563DB" w14:textId="77777777" w:rsidR="004B0C46" w:rsidRDefault="004B0C46" w:rsidP="004B0C46">
      <w:pPr>
        <w:pStyle w:val="ListParagraph"/>
        <w:numPr>
          <w:ilvl w:val="0"/>
          <w:numId w:val="7"/>
        </w:numPr>
        <w:spacing w:line="360" w:lineRule="auto"/>
        <w:rPr>
          <w:rFonts w:ascii="Arial" w:hAnsi="Arial" w:cs="Arial"/>
          <w:sz w:val="24"/>
          <w:szCs w:val="28"/>
        </w:rPr>
      </w:pPr>
      <w:r>
        <w:rPr>
          <w:rFonts w:ascii="Arial" w:hAnsi="Arial" w:cs="Arial" w:hint="eastAsia"/>
          <w:sz w:val="24"/>
          <w:szCs w:val="28"/>
        </w:rPr>
        <w:t>Feature plot showing the A/R scores of the representative genes in single cells. Gene expression data of the two cell types were downloaded from ENCODE.</w:t>
      </w:r>
    </w:p>
    <w:p w14:paraId="14E470DF" w14:textId="77777777" w:rsidR="004B0C46" w:rsidRDefault="004B0C46" w:rsidP="004B0C46">
      <w:pPr>
        <w:pStyle w:val="ListParagraph"/>
        <w:spacing w:line="360" w:lineRule="auto"/>
        <w:ind w:left="0"/>
        <w:rPr>
          <w:rFonts w:ascii="Arial" w:hAnsi="Arial" w:cs="Arial"/>
          <w:sz w:val="24"/>
          <w:szCs w:val="28"/>
        </w:rPr>
      </w:pPr>
    </w:p>
    <w:p w14:paraId="1ACAEA37" w14:textId="77777777" w:rsidR="004B0C46" w:rsidRDefault="004B0C46" w:rsidP="004B0C46">
      <w:pPr>
        <w:pStyle w:val="ListParagraph"/>
        <w:spacing w:line="360" w:lineRule="auto"/>
        <w:ind w:left="0"/>
        <w:rPr>
          <w:rFonts w:ascii="Arial" w:hAnsi="Arial" w:cs="Arial"/>
          <w:sz w:val="24"/>
          <w:szCs w:val="28"/>
        </w:rPr>
      </w:pPr>
      <w:r>
        <w:rPr>
          <w:rFonts w:ascii="Arial" w:hAnsi="Arial" w:cs="Arial" w:hint="eastAsia"/>
          <w:b/>
          <w:bCs/>
          <w:sz w:val="24"/>
          <w:szCs w:val="32"/>
        </w:rPr>
        <w:t xml:space="preserve">Extended Data </w:t>
      </w:r>
      <w:r>
        <w:rPr>
          <w:rFonts w:ascii="Arial" w:hAnsi="Arial" w:cs="Arial"/>
          <w:b/>
          <w:bCs/>
          <w:sz w:val="24"/>
          <w:szCs w:val="32"/>
        </w:rPr>
        <w:t>Fig</w:t>
      </w:r>
      <w:r>
        <w:rPr>
          <w:rFonts w:ascii="Arial" w:hAnsi="Arial" w:cs="Arial" w:hint="eastAsia"/>
          <w:b/>
          <w:bCs/>
          <w:sz w:val="24"/>
          <w:szCs w:val="32"/>
        </w:rPr>
        <w:t>. 8</w:t>
      </w:r>
      <w:r>
        <w:rPr>
          <w:rFonts w:ascii="Arial" w:hAnsi="Arial" w:cs="Arial" w:hint="eastAsia"/>
          <w:sz w:val="24"/>
          <w:szCs w:val="28"/>
        </w:rPr>
        <w:t xml:space="preserve"> </w:t>
      </w:r>
      <w:r>
        <w:rPr>
          <w:rFonts w:ascii="Arial" w:hAnsi="Arial" w:cs="Arial" w:hint="eastAsia"/>
          <w:b/>
          <w:bCs/>
          <w:sz w:val="24"/>
          <w:szCs w:val="32"/>
        </w:rPr>
        <w:t xml:space="preserve">Characters of the two modes of </w:t>
      </w:r>
      <w:r>
        <w:rPr>
          <w:rFonts w:ascii="Arial" w:hAnsi="Arial" w:cs="Arial"/>
          <w:b/>
          <w:bCs/>
          <w:sz w:val="24"/>
          <w:szCs w:val="32"/>
        </w:rPr>
        <w:t>H3K9me3 modification</w:t>
      </w:r>
    </w:p>
    <w:p w14:paraId="7587F33A" w14:textId="77777777" w:rsidR="004B0C46" w:rsidRDefault="004B0C46" w:rsidP="004B0C46">
      <w:pPr>
        <w:pStyle w:val="ListParagraph"/>
        <w:numPr>
          <w:ilvl w:val="0"/>
          <w:numId w:val="8"/>
        </w:numPr>
        <w:spacing w:line="360" w:lineRule="auto"/>
        <w:rPr>
          <w:rFonts w:ascii="Arial" w:hAnsi="Arial" w:cs="Arial"/>
          <w:sz w:val="24"/>
          <w:szCs w:val="28"/>
        </w:rPr>
      </w:pPr>
      <w:r>
        <w:rPr>
          <w:rFonts w:ascii="Arial" w:hAnsi="Arial" w:cs="Arial" w:hint="eastAsia"/>
          <w:sz w:val="24"/>
          <w:szCs w:val="28"/>
        </w:rPr>
        <w:t xml:space="preserve">Probability of </w:t>
      </w:r>
      <w:r>
        <w:rPr>
          <w:rFonts w:ascii="Arial" w:hAnsi="Arial" w:cs="Arial"/>
          <w:sz w:val="24"/>
          <w:szCs w:val="28"/>
        </w:rPr>
        <w:t>H3K9me3 modification</w:t>
      </w:r>
      <w:r>
        <w:rPr>
          <w:rFonts w:ascii="Arial" w:hAnsi="Arial" w:cs="Arial" w:hint="eastAsia"/>
          <w:sz w:val="24"/>
          <w:szCs w:val="28"/>
        </w:rPr>
        <w:t xml:space="preserve"> in each chromatin state.</w:t>
      </w:r>
    </w:p>
    <w:p w14:paraId="7B8B018F" w14:textId="77777777" w:rsidR="004B0C46" w:rsidRDefault="004B0C46" w:rsidP="004B0C46">
      <w:pPr>
        <w:pStyle w:val="ListParagraph"/>
        <w:numPr>
          <w:ilvl w:val="0"/>
          <w:numId w:val="8"/>
        </w:numPr>
        <w:spacing w:line="360" w:lineRule="auto"/>
        <w:rPr>
          <w:rFonts w:ascii="Arial" w:hAnsi="Arial" w:cs="Arial"/>
          <w:sz w:val="24"/>
          <w:szCs w:val="28"/>
        </w:rPr>
      </w:pPr>
      <w:r>
        <w:rPr>
          <w:rFonts w:ascii="Arial" w:hAnsi="Arial" w:cs="Arial" w:hint="eastAsia"/>
          <w:sz w:val="24"/>
          <w:szCs w:val="28"/>
        </w:rPr>
        <w:t>D</w:t>
      </w:r>
      <w:r>
        <w:rPr>
          <w:rFonts w:ascii="Arial" w:hAnsi="Arial" w:cs="Arial"/>
          <w:sz w:val="24"/>
          <w:szCs w:val="28"/>
        </w:rPr>
        <w:t>istribution</w:t>
      </w:r>
      <w:r>
        <w:rPr>
          <w:rFonts w:ascii="Arial" w:hAnsi="Arial" w:cs="Arial" w:hint="eastAsia"/>
          <w:sz w:val="24"/>
          <w:szCs w:val="28"/>
        </w:rPr>
        <w:t xml:space="preserve"> of the p</w:t>
      </w:r>
      <w:r>
        <w:rPr>
          <w:rFonts w:ascii="Arial" w:hAnsi="Arial" w:cs="Arial"/>
          <w:sz w:val="24"/>
          <w:szCs w:val="28"/>
        </w:rPr>
        <w:t xml:space="preserve">eak length </w:t>
      </w:r>
      <w:r>
        <w:rPr>
          <w:rFonts w:ascii="Arial" w:hAnsi="Arial" w:cs="Arial" w:hint="eastAsia"/>
          <w:sz w:val="24"/>
          <w:szCs w:val="28"/>
        </w:rPr>
        <w:t>for</w:t>
      </w:r>
      <w:r>
        <w:rPr>
          <w:rFonts w:ascii="Arial" w:hAnsi="Arial" w:cs="Arial"/>
          <w:sz w:val="24"/>
          <w:szCs w:val="28"/>
        </w:rPr>
        <w:t xml:space="preserve"> the two </w:t>
      </w:r>
      <w:r>
        <w:rPr>
          <w:rFonts w:ascii="Arial" w:hAnsi="Arial" w:cs="Arial" w:hint="eastAsia"/>
          <w:sz w:val="24"/>
          <w:szCs w:val="28"/>
        </w:rPr>
        <w:t xml:space="preserve">modes of </w:t>
      </w:r>
      <w:r>
        <w:rPr>
          <w:rFonts w:ascii="Arial" w:hAnsi="Arial" w:cs="Arial"/>
          <w:sz w:val="24"/>
          <w:szCs w:val="28"/>
        </w:rPr>
        <w:t>H3K9me3</w:t>
      </w:r>
      <w:r>
        <w:rPr>
          <w:rFonts w:ascii="Arial" w:hAnsi="Arial" w:cs="Arial" w:hint="eastAsia"/>
          <w:sz w:val="24"/>
          <w:szCs w:val="28"/>
        </w:rPr>
        <w:t xml:space="preserve"> peaks</w:t>
      </w:r>
      <w:r>
        <w:rPr>
          <w:rFonts w:ascii="Arial" w:hAnsi="Arial" w:cs="Arial"/>
          <w:sz w:val="24"/>
          <w:szCs w:val="28"/>
        </w:rPr>
        <w:t xml:space="preserve"> in </w:t>
      </w:r>
      <w:r>
        <w:rPr>
          <w:rFonts w:ascii="Arial" w:hAnsi="Arial" w:cs="Arial" w:hint="eastAsia"/>
          <w:sz w:val="24"/>
          <w:szCs w:val="28"/>
        </w:rPr>
        <w:t>K562</w:t>
      </w:r>
      <w:r>
        <w:rPr>
          <w:rFonts w:ascii="Arial" w:hAnsi="Arial" w:cs="Arial"/>
          <w:sz w:val="24"/>
          <w:szCs w:val="28"/>
        </w:rPr>
        <w:t xml:space="preserve"> cells.</w:t>
      </w:r>
    </w:p>
    <w:p w14:paraId="1EC7D724" w14:textId="77777777" w:rsidR="004B0C46" w:rsidRDefault="004B0C46" w:rsidP="004B0C46">
      <w:pPr>
        <w:pStyle w:val="ListParagraph"/>
        <w:numPr>
          <w:ilvl w:val="0"/>
          <w:numId w:val="8"/>
        </w:numPr>
        <w:spacing w:line="360" w:lineRule="auto"/>
        <w:rPr>
          <w:rFonts w:ascii="Arial" w:hAnsi="Arial" w:cs="Arial"/>
          <w:sz w:val="24"/>
          <w:szCs w:val="28"/>
        </w:rPr>
      </w:pPr>
      <w:r>
        <w:rPr>
          <w:rFonts w:ascii="Arial" w:hAnsi="Arial" w:cs="Arial"/>
          <w:sz w:val="24"/>
          <w:szCs w:val="28"/>
        </w:rPr>
        <w:t xml:space="preserve">Relative enrichment of H3K9me3 to ATAC signal </w:t>
      </w:r>
      <w:r>
        <w:rPr>
          <w:rFonts w:ascii="Arial" w:hAnsi="Arial" w:cs="Arial" w:hint="eastAsia"/>
          <w:sz w:val="24"/>
          <w:szCs w:val="28"/>
        </w:rPr>
        <w:t xml:space="preserve">in each mode of </w:t>
      </w:r>
      <w:r>
        <w:rPr>
          <w:rFonts w:ascii="Arial" w:hAnsi="Arial" w:cs="Arial"/>
          <w:sz w:val="24"/>
          <w:szCs w:val="28"/>
        </w:rPr>
        <w:t>H3K9me3</w:t>
      </w:r>
      <w:r>
        <w:rPr>
          <w:rFonts w:ascii="Arial" w:hAnsi="Arial" w:cs="Arial" w:hint="eastAsia"/>
          <w:sz w:val="24"/>
          <w:szCs w:val="28"/>
        </w:rPr>
        <w:t xml:space="preserve"> peaks </w:t>
      </w:r>
      <w:r>
        <w:rPr>
          <w:rFonts w:ascii="Arial" w:hAnsi="Arial" w:cs="Arial"/>
          <w:sz w:val="24"/>
          <w:szCs w:val="28"/>
        </w:rPr>
        <w:t xml:space="preserve">in </w:t>
      </w:r>
      <w:r>
        <w:rPr>
          <w:rFonts w:ascii="Arial" w:hAnsi="Arial" w:cs="Arial" w:hint="eastAsia"/>
          <w:sz w:val="24"/>
          <w:szCs w:val="28"/>
        </w:rPr>
        <w:t>K562</w:t>
      </w:r>
      <w:r>
        <w:rPr>
          <w:rFonts w:ascii="Arial" w:hAnsi="Arial" w:cs="Arial"/>
          <w:sz w:val="24"/>
          <w:szCs w:val="28"/>
        </w:rPr>
        <w:t xml:space="preserve"> cells.</w:t>
      </w:r>
      <w:r>
        <w:rPr>
          <w:rFonts w:ascii="Arial" w:hAnsi="Arial" w:cs="Arial" w:hint="eastAsia"/>
          <w:sz w:val="24"/>
          <w:szCs w:val="28"/>
        </w:rPr>
        <w:t>补充统计</w:t>
      </w:r>
    </w:p>
    <w:p w14:paraId="73955438" w14:textId="77777777" w:rsidR="004B0C46" w:rsidRDefault="004B0C46" w:rsidP="004B0C46">
      <w:pPr>
        <w:pStyle w:val="ListParagraph"/>
        <w:numPr>
          <w:ilvl w:val="0"/>
          <w:numId w:val="8"/>
        </w:numPr>
        <w:spacing w:line="360" w:lineRule="auto"/>
        <w:rPr>
          <w:rFonts w:ascii="Arial" w:hAnsi="Arial" w:cs="Arial"/>
          <w:sz w:val="24"/>
          <w:szCs w:val="28"/>
        </w:rPr>
      </w:pPr>
      <w:r>
        <w:rPr>
          <w:rFonts w:ascii="Arial" w:hAnsi="Arial" w:cs="Arial"/>
          <w:sz w:val="24"/>
          <w:szCs w:val="28"/>
        </w:rPr>
        <w:t>Average expression levels</w:t>
      </w:r>
      <w:r>
        <w:rPr>
          <w:rFonts w:ascii="Arial" w:hAnsi="Arial" w:cs="Arial" w:hint="eastAsia"/>
          <w:sz w:val="24"/>
          <w:szCs w:val="28"/>
        </w:rPr>
        <w:t xml:space="preserve"> </w:t>
      </w:r>
      <w:r>
        <w:rPr>
          <w:rFonts w:ascii="Arial" w:hAnsi="Arial" w:cs="Arial"/>
          <w:sz w:val="24"/>
          <w:szCs w:val="28"/>
        </w:rPr>
        <w:t>of genes</w:t>
      </w:r>
      <w:r>
        <w:rPr>
          <w:rFonts w:ascii="Arial" w:hAnsi="Arial" w:cs="Arial" w:hint="eastAsia"/>
          <w:sz w:val="24"/>
          <w:szCs w:val="28"/>
        </w:rPr>
        <w:t xml:space="preserve"> (left) and the proportion of expressed genes (right)</w:t>
      </w:r>
      <w:r>
        <w:rPr>
          <w:rFonts w:ascii="Arial" w:hAnsi="Arial" w:cs="Arial"/>
          <w:sz w:val="24"/>
          <w:szCs w:val="28"/>
        </w:rPr>
        <w:t xml:space="preserve"> located in each </w:t>
      </w:r>
      <w:r>
        <w:rPr>
          <w:rFonts w:ascii="Arial" w:hAnsi="Arial" w:cs="Arial" w:hint="eastAsia"/>
          <w:sz w:val="24"/>
          <w:szCs w:val="28"/>
        </w:rPr>
        <w:t xml:space="preserve">mode of </w:t>
      </w:r>
      <w:r>
        <w:rPr>
          <w:rFonts w:ascii="Arial" w:hAnsi="Arial" w:cs="Arial"/>
          <w:sz w:val="24"/>
          <w:szCs w:val="28"/>
        </w:rPr>
        <w:t>H3K9me3</w:t>
      </w:r>
      <w:r>
        <w:rPr>
          <w:rFonts w:ascii="Arial" w:hAnsi="Arial" w:cs="Arial" w:hint="eastAsia"/>
          <w:sz w:val="24"/>
          <w:szCs w:val="28"/>
        </w:rPr>
        <w:t xml:space="preserve"> peaks in K562 cells</w:t>
      </w:r>
      <w:r>
        <w:rPr>
          <w:rFonts w:ascii="Arial" w:hAnsi="Arial" w:cs="Arial"/>
          <w:sz w:val="24"/>
          <w:szCs w:val="28"/>
        </w:rPr>
        <w:t>.</w:t>
      </w:r>
    </w:p>
    <w:p w14:paraId="42CCE7DF" w14:textId="77777777" w:rsidR="004B0C46" w:rsidRDefault="004B0C46" w:rsidP="004B0C46">
      <w:pPr>
        <w:pStyle w:val="ListParagraph"/>
        <w:numPr>
          <w:ilvl w:val="0"/>
          <w:numId w:val="8"/>
        </w:numPr>
        <w:spacing w:line="360" w:lineRule="auto"/>
        <w:rPr>
          <w:rFonts w:ascii="Arial" w:hAnsi="Arial" w:cs="Arial"/>
          <w:sz w:val="24"/>
          <w:szCs w:val="28"/>
        </w:rPr>
      </w:pPr>
      <w:r>
        <w:rPr>
          <w:rFonts w:ascii="Arial" w:hAnsi="Arial" w:cs="Arial" w:hint="eastAsia"/>
          <w:sz w:val="24"/>
          <w:szCs w:val="28"/>
        </w:rPr>
        <w:t>Overlap between H3K9me3 peaks from scNanoCT&amp;ATAC-seq and bulk ChIP-seq data of GM12878 cells and ATAC peaks from ENCODE</w:t>
      </w:r>
      <w:r>
        <w:rPr>
          <w:rFonts w:ascii="Arial" w:hAnsi="Arial" w:cs="Arial"/>
          <w:sz w:val="24"/>
          <w:szCs w:val="28"/>
        </w:rPr>
        <w:t>.</w:t>
      </w:r>
    </w:p>
    <w:p w14:paraId="49E835D8" w14:textId="77777777" w:rsidR="004B0C46" w:rsidRDefault="004B0C46" w:rsidP="004B0C46">
      <w:pPr>
        <w:pStyle w:val="ListParagraph"/>
        <w:numPr>
          <w:ilvl w:val="0"/>
          <w:numId w:val="8"/>
        </w:numPr>
        <w:spacing w:line="360" w:lineRule="auto"/>
        <w:rPr>
          <w:rFonts w:ascii="Arial" w:hAnsi="Arial" w:cs="Arial"/>
          <w:sz w:val="24"/>
          <w:szCs w:val="28"/>
        </w:rPr>
      </w:pPr>
      <w:r>
        <w:rPr>
          <w:rFonts w:ascii="Arial" w:hAnsi="Arial" w:cs="Arial" w:hint="eastAsia"/>
          <w:sz w:val="24"/>
          <w:szCs w:val="28"/>
        </w:rPr>
        <w:t>Distributions of the two modes of H3K9me3 peaks across the TSS regions.</w:t>
      </w:r>
    </w:p>
    <w:p w14:paraId="6C668585" w14:textId="77777777" w:rsidR="004B0C46" w:rsidRDefault="004B0C46" w:rsidP="004B0C46">
      <w:pPr>
        <w:pStyle w:val="ListParagraph"/>
        <w:numPr>
          <w:ilvl w:val="0"/>
          <w:numId w:val="8"/>
        </w:numPr>
        <w:spacing w:line="360" w:lineRule="auto"/>
        <w:rPr>
          <w:rFonts w:ascii="Arial" w:hAnsi="Arial" w:cs="Arial"/>
          <w:sz w:val="24"/>
          <w:szCs w:val="28"/>
        </w:rPr>
      </w:pPr>
      <w:r>
        <w:rPr>
          <w:rFonts w:ascii="Arial" w:hAnsi="Arial" w:cs="Arial" w:hint="eastAsia"/>
          <w:sz w:val="24"/>
          <w:szCs w:val="28"/>
        </w:rPr>
        <w:t>Barplot showing the percentage of cell type-specific and non-specific H3K9me3 peaks under each mode.</w:t>
      </w:r>
    </w:p>
    <w:p w14:paraId="341D284B" w14:textId="77777777" w:rsidR="004B0C46" w:rsidRDefault="004B0C46" w:rsidP="004B0C46">
      <w:pPr>
        <w:pStyle w:val="ListParagraph"/>
        <w:numPr>
          <w:ilvl w:val="0"/>
          <w:numId w:val="4"/>
        </w:numPr>
        <w:spacing w:line="360" w:lineRule="auto"/>
        <w:rPr>
          <w:rFonts w:ascii="Arial" w:hAnsi="Arial" w:cs="Arial"/>
          <w:sz w:val="24"/>
          <w:szCs w:val="28"/>
        </w:rPr>
      </w:pPr>
      <w:r>
        <w:rPr>
          <w:rFonts w:ascii="Arial" w:hAnsi="Arial" w:cs="Arial" w:hint="eastAsia"/>
          <w:sz w:val="24"/>
          <w:szCs w:val="28"/>
        </w:rPr>
        <w:t>CRE distributions of the two modes of H3K9me3 peaks.</w:t>
      </w:r>
    </w:p>
    <w:p w14:paraId="5D9F8B27" w14:textId="77777777" w:rsidR="004B0C46" w:rsidRDefault="004B0C46" w:rsidP="004B0C46">
      <w:pPr>
        <w:pStyle w:val="ListParagraph"/>
        <w:numPr>
          <w:ilvl w:val="0"/>
          <w:numId w:val="8"/>
        </w:numPr>
        <w:spacing w:line="360" w:lineRule="auto"/>
        <w:rPr>
          <w:rFonts w:ascii="Arial" w:hAnsi="Arial" w:cs="Arial"/>
          <w:sz w:val="24"/>
          <w:szCs w:val="28"/>
        </w:rPr>
      </w:pPr>
      <w:r>
        <w:rPr>
          <w:rFonts w:ascii="Arial" w:hAnsi="Arial" w:cs="Arial" w:hint="eastAsia"/>
          <w:sz w:val="24"/>
          <w:szCs w:val="28"/>
        </w:rPr>
        <w:t>A/B compartment distributions of the two modes of H3K9me3 peaks.</w:t>
      </w:r>
    </w:p>
    <w:p w14:paraId="4CAA4310" w14:textId="77777777" w:rsidR="004B0C46" w:rsidRDefault="004B0C46" w:rsidP="004B0C46">
      <w:pPr>
        <w:pStyle w:val="ListParagraph"/>
        <w:numPr>
          <w:ilvl w:val="0"/>
          <w:numId w:val="8"/>
        </w:numPr>
        <w:spacing w:line="360" w:lineRule="auto"/>
        <w:rPr>
          <w:rFonts w:ascii="Arial" w:hAnsi="Arial" w:cs="Arial"/>
          <w:sz w:val="24"/>
          <w:szCs w:val="28"/>
        </w:rPr>
      </w:pPr>
      <w:r>
        <w:rPr>
          <w:rFonts w:ascii="Arial" w:hAnsi="Arial" w:cs="Arial" w:hint="eastAsia"/>
          <w:sz w:val="24"/>
          <w:szCs w:val="28"/>
        </w:rPr>
        <w:t>Ratio of inter-reads spanning H3K9me3 and ATAC peaks under each mode.</w:t>
      </w:r>
      <w:r>
        <w:rPr>
          <w:rFonts w:ascii="Arial" w:hAnsi="Arial" w:cs="Arial" w:hint="eastAsia"/>
          <w:sz w:val="24"/>
          <w:szCs w:val="28"/>
        </w:rPr>
        <w:t>补充统计。</w:t>
      </w:r>
    </w:p>
    <w:p w14:paraId="3ADBAC3B" w14:textId="77777777" w:rsidR="004B0C46" w:rsidRDefault="004B0C46" w:rsidP="004B0C46">
      <w:pPr>
        <w:pStyle w:val="ListParagraph"/>
        <w:spacing w:line="360" w:lineRule="auto"/>
        <w:ind w:left="0"/>
        <w:rPr>
          <w:rFonts w:ascii="Arial" w:hAnsi="Arial" w:cs="Arial"/>
          <w:sz w:val="24"/>
          <w:szCs w:val="28"/>
        </w:rPr>
      </w:pPr>
    </w:p>
    <w:p w14:paraId="186B3119" w14:textId="77777777" w:rsidR="004B0C46" w:rsidRDefault="004B0C46" w:rsidP="004B0C46">
      <w:pPr>
        <w:pStyle w:val="ListParagraph"/>
        <w:spacing w:line="360" w:lineRule="auto"/>
        <w:ind w:left="0"/>
        <w:rPr>
          <w:rFonts w:ascii="Arial" w:hAnsi="Arial" w:cs="Arial"/>
          <w:sz w:val="24"/>
          <w:szCs w:val="28"/>
        </w:rPr>
      </w:pPr>
      <w:r>
        <w:rPr>
          <w:rFonts w:ascii="Arial" w:hAnsi="Arial" w:cs="Arial" w:hint="eastAsia"/>
          <w:b/>
          <w:bCs/>
          <w:sz w:val="24"/>
          <w:szCs w:val="32"/>
        </w:rPr>
        <w:t xml:space="preserve">Extended Data </w:t>
      </w:r>
      <w:r>
        <w:rPr>
          <w:rFonts w:ascii="Arial" w:hAnsi="Arial" w:cs="Arial"/>
          <w:b/>
          <w:bCs/>
          <w:sz w:val="24"/>
          <w:szCs w:val="32"/>
        </w:rPr>
        <w:t>Fig</w:t>
      </w:r>
      <w:r>
        <w:rPr>
          <w:rFonts w:ascii="Arial" w:hAnsi="Arial" w:cs="Arial" w:hint="eastAsia"/>
          <w:b/>
          <w:bCs/>
          <w:sz w:val="24"/>
          <w:szCs w:val="32"/>
        </w:rPr>
        <w:t xml:space="preserve">. 9 The two modes of </w:t>
      </w:r>
      <w:r>
        <w:rPr>
          <w:rFonts w:ascii="Arial" w:hAnsi="Arial" w:cs="Arial"/>
          <w:b/>
          <w:bCs/>
          <w:sz w:val="24"/>
          <w:szCs w:val="32"/>
        </w:rPr>
        <w:t>H3K9me3</w:t>
      </w:r>
      <w:r>
        <w:rPr>
          <w:rFonts w:ascii="Arial" w:hAnsi="Arial" w:cs="Arial" w:hint="eastAsia"/>
          <w:b/>
          <w:bCs/>
          <w:sz w:val="24"/>
          <w:szCs w:val="32"/>
        </w:rPr>
        <w:t xml:space="preserve"> enriched for different TE elements</w:t>
      </w:r>
    </w:p>
    <w:p w14:paraId="63474181" w14:textId="77777777" w:rsidR="004B0C46" w:rsidRDefault="004B0C46" w:rsidP="004B0C46">
      <w:pPr>
        <w:pStyle w:val="ListParagraph"/>
        <w:numPr>
          <w:ilvl w:val="0"/>
          <w:numId w:val="9"/>
        </w:numPr>
        <w:spacing w:line="360" w:lineRule="auto"/>
        <w:rPr>
          <w:rFonts w:ascii="Arial" w:hAnsi="Arial" w:cs="Arial"/>
          <w:sz w:val="24"/>
          <w:szCs w:val="28"/>
        </w:rPr>
      </w:pPr>
      <w:r>
        <w:rPr>
          <w:rFonts w:ascii="Arial" w:hAnsi="Arial" w:cs="Arial" w:hint="eastAsia"/>
          <w:sz w:val="24"/>
          <w:szCs w:val="28"/>
        </w:rPr>
        <w:t>Differential ATAC, E2-</w:t>
      </w:r>
      <w:r>
        <w:rPr>
          <w:rFonts w:ascii="Arial" w:hAnsi="Arial" w:cs="Arial"/>
          <w:sz w:val="24"/>
          <w:szCs w:val="28"/>
        </w:rPr>
        <w:t>H3K9me3</w:t>
      </w:r>
      <w:r>
        <w:rPr>
          <w:rFonts w:ascii="Arial" w:hAnsi="Arial" w:cs="Arial" w:hint="eastAsia"/>
          <w:sz w:val="24"/>
          <w:szCs w:val="28"/>
        </w:rPr>
        <w:t xml:space="preserve"> and E10-</w:t>
      </w:r>
      <w:r>
        <w:rPr>
          <w:rFonts w:ascii="Arial" w:hAnsi="Arial" w:cs="Arial"/>
          <w:sz w:val="24"/>
          <w:szCs w:val="28"/>
        </w:rPr>
        <w:t>H3K9me3</w:t>
      </w:r>
      <w:r>
        <w:rPr>
          <w:rFonts w:ascii="Arial" w:hAnsi="Arial" w:cs="Arial" w:hint="eastAsia"/>
          <w:sz w:val="24"/>
          <w:szCs w:val="28"/>
        </w:rPr>
        <w:t xml:space="preserve"> peaks between K562 and GM12878 cells.</w:t>
      </w:r>
    </w:p>
    <w:p w14:paraId="3FA8DF42" w14:textId="77777777" w:rsidR="004B0C46" w:rsidRDefault="004B0C46" w:rsidP="004B0C46">
      <w:pPr>
        <w:pStyle w:val="ListParagraph"/>
        <w:numPr>
          <w:ilvl w:val="0"/>
          <w:numId w:val="9"/>
        </w:numPr>
        <w:spacing w:line="360" w:lineRule="auto"/>
        <w:rPr>
          <w:rFonts w:ascii="Arial" w:hAnsi="Arial" w:cs="Arial"/>
          <w:sz w:val="24"/>
          <w:szCs w:val="28"/>
        </w:rPr>
      </w:pPr>
      <w:r>
        <w:rPr>
          <w:rFonts w:ascii="Arial" w:hAnsi="Arial" w:cs="Arial" w:hint="eastAsia"/>
          <w:sz w:val="24"/>
          <w:szCs w:val="28"/>
        </w:rPr>
        <w:t xml:space="preserve">Gene score of cell type marker genes (IRF1 for GM12878, GATA1 for K562) and the corresponding motif scores calculated by the ATAC and </w:t>
      </w:r>
      <w:r>
        <w:rPr>
          <w:rFonts w:ascii="Arial" w:hAnsi="Arial" w:cs="Arial"/>
          <w:sz w:val="24"/>
          <w:szCs w:val="28"/>
        </w:rPr>
        <w:t>H3K9me3</w:t>
      </w:r>
      <w:r>
        <w:rPr>
          <w:rFonts w:ascii="Arial" w:hAnsi="Arial" w:cs="Arial" w:hint="eastAsia"/>
          <w:sz w:val="24"/>
          <w:szCs w:val="28"/>
        </w:rPr>
        <w:t xml:space="preserve"> modalities respectively.</w:t>
      </w:r>
    </w:p>
    <w:p w14:paraId="4C89C84F" w14:textId="77777777" w:rsidR="004B0C46" w:rsidRDefault="004B0C46" w:rsidP="004B0C46">
      <w:pPr>
        <w:pStyle w:val="ListParagraph"/>
        <w:numPr>
          <w:ilvl w:val="0"/>
          <w:numId w:val="9"/>
        </w:numPr>
        <w:spacing w:line="360" w:lineRule="auto"/>
        <w:rPr>
          <w:rFonts w:ascii="Arial" w:hAnsi="Arial" w:cs="Arial"/>
          <w:sz w:val="24"/>
          <w:szCs w:val="28"/>
        </w:rPr>
      </w:pPr>
      <w:r>
        <w:rPr>
          <w:rFonts w:ascii="Arial" w:hAnsi="Arial" w:cs="Arial" w:hint="eastAsia"/>
          <w:sz w:val="24"/>
          <w:szCs w:val="28"/>
        </w:rPr>
        <w:t>Top enriched TF motifs using E2-</w:t>
      </w:r>
      <w:r>
        <w:rPr>
          <w:rFonts w:ascii="Arial" w:hAnsi="Arial" w:cs="Arial"/>
          <w:sz w:val="24"/>
          <w:szCs w:val="28"/>
        </w:rPr>
        <w:t>H3K9me3</w:t>
      </w:r>
      <w:r>
        <w:rPr>
          <w:rFonts w:ascii="Arial" w:hAnsi="Arial" w:cs="Arial" w:hint="eastAsia"/>
          <w:sz w:val="24"/>
          <w:szCs w:val="28"/>
        </w:rPr>
        <w:t xml:space="preserve"> (up) and E10-</w:t>
      </w:r>
      <w:r>
        <w:rPr>
          <w:rFonts w:ascii="Arial" w:hAnsi="Arial" w:cs="Arial"/>
          <w:sz w:val="24"/>
          <w:szCs w:val="28"/>
        </w:rPr>
        <w:t>H3K9me3</w:t>
      </w:r>
      <w:r>
        <w:rPr>
          <w:rFonts w:ascii="Arial" w:hAnsi="Arial" w:cs="Arial" w:hint="eastAsia"/>
          <w:sz w:val="24"/>
          <w:szCs w:val="28"/>
        </w:rPr>
        <w:t xml:space="preserve"> (bottom) </w:t>
      </w:r>
      <w:r>
        <w:rPr>
          <w:rFonts w:ascii="Arial" w:hAnsi="Arial" w:cs="Arial" w:hint="eastAsia"/>
          <w:sz w:val="24"/>
          <w:szCs w:val="28"/>
        </w:rPr>
        <w:lastRenderedPageBreak/>
        <w:t>peaks in each cell type. The venn diagrams on the right show the overlap of the top 20 enriched TFs in each cell type.</w:t>
      </w:r>
    </w:p>
    <w:p w14:paraId="5CD656AA" w14:textId="77777777" w:rsidR="004B0C46" w:rsidRDefault="004B0C46" w:rsidP="004B0C46">
      <w:pPr>
        <w:pStyle w:val="ListParagraph"/>
        <w:numPr>
          <w:ilvl w:val="0"/>
          <w:numId w:val="9"/>
        </w:numPr>
        <w:spacing w:line="360" w:lineRule="auto"/>
        <w:rPr>
          <w:rFonts w:ascii="Arial" w:hAnsi="Arial" w:cs="Arial"/>
          <w:sz w:val="24"/>
          <w:szCs w:val="28"/>
        </w:rPr>
      </w:pPr>
      <w:r>
        <w:rPr>
          <w:rFonts w:ascii="Arial" w:hAnsi="Arial" w:cs="Arial" w:hint="eastAsia"/>
          <w:sz w:val="24"/>
          <w:szCs w:val="28"/>
        </w:rPr>
        <w:t>Dotplot showing the top enriched motif sequences using E2-</w:t>
      </w:r>
      <w:r>
        <w:rPr>
          <w:rFonts w:ascii="Arial" w:hAnsi="Arial" w:cs="Arial"/>
          <w:sz w:val="24"/>
          <w:szCs w:val="28"/>
        </w:rPr>
        <w:t>H3K9me3</w:t>
      </w:r>
      <w:r>
        <w:rPr>
          <w:rFonts w:ascii="Arial" w:hAnsi="Arial" w:cs="Arial" w:hint="eastAsia"/>
          <w:sz w:val="24"/>
          <w:szCs w:val="28"/>
        </w:rPr>
        <w:t xml:space="preserve"> (up) and E10-</w:t>
      </w:r>
      <w:r>
        <w:rPr>
          <w:rFonts w:ascii="Arial" w:hAnsi="Arial" w:cs="Arial"/>
          <w:sz w:val="24"/>
          <w:szCs w:val="28"/>
        </w:rPr>
        <w:t>H3K9me3</w:t>
      </w:r>
      <w:r>
        <w:rPr>
          <w:rFonts w:ascii="Arial" w:hAnsi="Arial" w:cs="Arial" w:hint="eastAsia"/>
          <w:sz w:val="24"/>
          <w:szCs w:val="28"/>
        </w:rPr>
        <w:t xml:space="preserve"> (bottom) peaks in each cell type</w:t>
      </w:r>
      <w:r>
        <w:rPr>
          <w:rFonts w:ascii="Arial" w:hAnsi="Arial" w:cs="Arial"/>
          <w:sz w:val="24"/>
          <w:szCs w:val="28"/>
        </w:rPr>
        <w:t>.</w:t>
      </w:r>
    </w:p>
    <w:p w14:paraId="25C79B0A" w14:textId="77777777" w:rsidR="004B0C46" w:rsidRDefault="004B0C46" w:rsidP="004B0C46">
      <w:pPr>
        <w:pStyle w:val="ListParagraph"/>
        <w:numPr>
          <w:ilvl w:val="0"/>
          <w:numId w:val="9"/>
        </w:numPr>
        <w:spacing w:line="360" w:lineRule="auto"/>
        <w:rPr>
          <w:rFonts w:ascii="Arial" w:hAnsi="Arial" w:cs="Arial"/>
          <w:sz w:val="24"/>
          <w:szCs w:val="28"/>
        </w:rPr>
      </w:pPr>
      <w:r>
        <w:rPr>
          <w:rFonts w:ascii="Arial" w:hAnsi="Arial" w:cs="Arial" w:hint="eastAsia"/>
          <w:sz w:val="24"/>
          <w:szCs w:val="28"/>
        </w:rPr>
        <w:t xml:space="preserve">Venn diagram showing the number of shared and specific TE copies detected by each method. Boxplot on the right displays the signal intensity of </w:t>
      </w:r>
      <w:r>
        <w:rPr>
          <w:rFonts w:ascii="Arial" w:hAnsi="Arial" w:cs="Arial"/>
          <w:sz w:val="24"/>
          <w:szCs w:val="28"/>
        </w:rPr>
        <w:t>H3K9me3</w:t>
      </w:r>
      <w:r>
        <w:rPr>
          <w:rFonts w:ascii="Arial" w:hAnsi="Arial" w:cs="Arial" w:hint="eastAsia"/>
          <w:sz w:val="24"/>
          <w:szCs w:val="28"/>
        </w:rPr>
        <w:t xml:space="preserve"> on TE copies categorized by length.</w:t>
      </w:r>
    </w:p>
    <w:p w14:paraId="75939BF5" w14:textId="77777777" w:rsidR="004B0C46" w:rsidRDefault="004B0C46" w:rsidP="004B0C46">
      <w:pPr>
        <w:pStyle w:val="ListParagraph"/>
        <w:numPr>
          <w:ilvl w:val="0"/>
          <w:numId w:val="9"/>
        </w:numPr>
        <w:spacing w:line="360" w:lineRule="auto"/>
        <w:rPr>
          <w:rFonts w:ascii="Arial" w:hAnsi="Arial" w:cs="Arial"/>
          <w:sz w:val="24"/>
          <w:szCs w:val="28"/>
        </w:rPr>
      </w:pPr>
      <w:r>
        <w:rPr>
          <w:rFonts w:ascii="Arial" w:hAnsi="Arial" w:cs="Arial" w:hint="eastAsia"/>
          <w:sz w:val="24"/>
          <w:szCs w:val="28"/>
        </w:rPr>
        <w:t>TE distributions of the two modes of H3K9me3 peaks in each cell type.</w:t>
      </w:r>
    </w:p>
    <w:p w14:paraId="3AD2F13A" w14:textId="77777777" w:rsidR="004B0C46" w:rsidRDefault="004B0C46" w:rsidP="004B0C46">
      <w:pPr>
        <w:pStyle w:val="ListParagraph"/>
        <w:spacing w:line="360" w:lineRule="auto"/>
        <w:ind w:left="0"/>
        <w:rPr>
          <w:rFonts w:ascii="Arial" w:hAnsi="Arial" w:cs="Arial"/>
          <w:sz w:val="24"/>
          <w:szCs w:val="28"/>
        </w:rPr>
      </w:pPr>
    </w:p>
    <w:p w14:paraId="497D1536" w14:textId="77777777" w:rsidR="004B0C46" w:rsidRDefault="004B0C46" w:rsidP="004B0C46">
      <w:pPr>
        <w:pStyle w:val="ListParagraph"/>
        <w:spacing w:line="360" w:lineRule="auto"/>
        <w:ind w:left="0"/>
        <w:rPr>
          <w:rFonts w:ascii="Arial" w:hAnsi="Arial" w:cs="Arial"/>
          <w:b/>
          <w:bCs/>
          <w:sz w:val="24"/>
          <w:szCs w:val="32"/>
        </w:rPr>
      </w:pPr>
      <w:r>
        <w:rPr>
          <w:rFonts w:ascii="Arial" w:hAnsi="Arial" w:cs="Arial" w:hint="eastAsia"/>
          <w:b/>
          <w:bCs/>
          <w:sz w:val="24"/>
          <w:szCs w:val="32"/>
        </w:rPr>
        <w:t xml:space="preserve">Extended Data </w:t>
      </w:r>
      <w:r>
        <w:rPr>
          <w:rFonts w:ascii="Arial" w:hAnsi="Arial" w:cs="Arial"/>
          <w:b/>
          <w:bCs/>
          <w:sz w:val="24"/>
          <w:szCs w:val="32"/>
        </w:rPr>
        <w:t>Fig</w:t>
      </w:r>
      <w:r>
        <w:rPr>
          <w:rFonts w:ascii="Arial" w:hAnsi="Arial" w:cs="Arial" w:hint="eastAsia"/>
          <w:b/>
          <w:bCs/>
          <w:sz w:val="24"/>
          <w:szCs w:val="32"/>
        </w:rPr>
        <w:t>. 10 Characters of interacting E-P pairs captured by scNanoCT&amp;ATAC-seq</w:t>
      </w:r>
    </w:p>
    <w:p w14:paraId="5EA39BF8" w14:textId="77777777" w:rsidR="004B0C46" w:rsidRDefault="004B0C46" w:rsidP="004B0C46">
      <w:pPr>
        <w:pStyle w:val="ListParagraph"/>
        <w:numPr>
          <w:ilvl w:val="0"/>
          <w:numId w:val="10"/>
        </w:numPr>
        <w:spacing w:line="360" w:lineRule="auto"/>
        <w:rPr>
          <w:rFonts w:ascii="Arial" w:hAnsi="Arial" w:cs="Arial"/>
          <w:sz w:val="24"/>
          <w:szCs w:val="28"/>
        </w:rPr>
      </w:pPr>
      <w:r>
        <w:rPr>
          <w:rFonts w:ascii="Arial" w:hAnsi="Arial" w:cs="Arial" w:hint="eastAsia"/>
          <w:sz w:val="24"/>
          <w:szCs w:val="32"/>
        </w:rPr>
        <w:t>CR</w:t>
      </w:r>
      <w:r>
        <w:rPr>
          <w:rFonts w:ascii="Arial" w:hAnsi="Arial" w:cs="Arial" w:hint="eastAsia"/>
          <w:sz w:val="24"/>
          <w:szCs w:val="28"/>
        </w:rPr>
        <w:t>E distributions of the promoters and enhancers defined in this dataset.</w:t>
      </w:r>
    </w:p>
    <w:p w14:paraId="45A373C0" w14:textId="77777777" w:rsidR="004B0C46" w:rsidRDefault="004B0C46" w:rsidP="004B0C46">
      <w:pPr>
        <w:pStyle w:val="ListParagraph"/>
        <w:numPr>
          <w:ilvl w:val="0"/>
          <w:numId w:val="10"/>
        </w:numPr>
        <w:spacing w:line="360" w:lineRule="auto"/>
        <w:rPr>
          <w:rFonts w:ascii="Arial" w:hAnsi="Arial" w:cs="Arial"/>
          <w:sz w:val="24"/>
          <w:szCs w:val="28"/>
        </w:rPr>
      </w:pPr>
      <w:r>
        <w:rPr>
          <w:rFonts w:ascii="Arial" w:hAnsi="Arial" w:cs="Arial" w:hint="eastAsia"/>
          <w:sz w:val="24"/>
          <w:szCs w:val="28"/>
        </w:rPr>
        <w:t>Representative GO terms of common promoters in GM12878 and K562 cells.</w:t>
      </w:r>
    </w:p>
    <w:p w14:paraId="2A9C73DA" w14:textId="77777777" w:rsidR="004B0C46" w:rsidRDefault="004B0C46" w:rsidP="004B0C46">
      <w:pPr>
        <w:pStyle w:val="ListParagraph"/>
        <w:numPr>
          <w:ilvl w:val="0"/>
          <w:numId w:val="10"/>
        </w:numPr>
        <w:spacing w:line="360" w:lineRule="auto"/>
        <w:rPr>
          <w:rFonts w:ascii="Arial" w:hAnsi="Arial" w:cs="Arial"/>
          <w:sz w:val="24"/>
          <w:szCs w:val="28"/>
        </w:rPr>
      </w:pPr>
      <w:r>
        <w:rPr>
          <w:rFonts w:ascii="Arial" w:hAnsi="Arial" w:cs="Arial" w:hint="eastAsia"/>
          <w:sz w:val="24"/>
          <w:szCs w:val="28"/>
        </w:rPr>
        <w:t>Distance distribution of interacting E-P pairs and the nearest enhancers to the promoters which did not detected with interacting enhancers.</w:t>
      </w:r>
    </w:p>
    <w:p w14:paraId="4F1549A3" w14:textId="77777777" w:rsidR="004B0C46" w:rsidRDefault="004B0C46" w:rsidP="004B0C46">
      <w:pPr>
        <w:pStyle w:val="ListParagraph"/>
        <w:numPr>
          <w:ilvl w:val="0"/>
          <w:numId w:val="10"/>
        </w:numPr>
        <w:spacing w:line="360" w:lineRule="auto"/>
        <w:rPr>
          <w:rFonts w:ascii="Arial" w:hAnsi="Arial" w:cs="Arial"/>
          <w:sz w:val="24"/>
          <w:szCs w:val="28"/>
        </w:rPr>
      </w:pPr>
      <w:r>
        <w:rPr>
          <w:rFonts w:ascii="Arial" w:hAnsi="Arial" w:cs="Arial" w:hint="eastAsia"/>
          <w:sz w:val="24"/>
          <w:szCs w:val="28"/>
        </w:rPr>
        <w:t>Barplot showing the number of promoters detected with different number of interacting enhancers in each cell type.</w:t>
      </w:r>
    </w:p>
    <w:p w14:paraId="7EB6CB14" w14:textId="77777777" w:rsidR="004B0C46" w:rsidRDefault="004B0C46" w:rsidP="004B0C46">
      <w:pPr>
        <w:pStyle w:val="ListParagraph"/>
        <w:numPr>
          <w:ilvl w:val="0"/>
          <w:numId w:val="10"/>
        </w:numPr>
        <w:spacing w:line="360" w:lineRule="auto"/>
        <w:rPr>
          <w:rFonts w:ascii="Arial" w:hAnsi="Arial" w:cs="Arial"/>
          <w:sz w:val="24"/>
          <w:szCs w:val="28"/>
        </w:rPr>
      </w:pPr>
      <w:r>
        <w:rPr>
          <w:rFonts w:ascii="Arial" w:hAnsi="Arial" w:cs="Arial" w:hint="eastAsia"/>
          <w:sz w:val="24"/>
          <w:szCs w:val="28"/>
        </w:rPr>
        <w:t>Interaction score of E-P pairs with different distances.</w:t>
      </w:r>
    </w:p>
    <w:p w14:paraId="4599A870" w14:textId="77777777" w:rsidR="004B0C46" w:rsidRDefault="004B0C46" w:rsidP="004B0C46">
      <w:pPr>
        <w:pStyle w:val="ListParagraph"/>
        <w:numPr>
          <w:ilvl w:val="0"/>
          <w:numId w:val="10"/>
        </w:numPr>
        <w:spacing w:line="360" w:lineRule="auto"/>
        <w:rPr>
          <w:rFonts w:ascii="Arial" w:hAnsi="Arial" w:cs="Arial"/>
          <w:sz w:val="24"/>
          <w:szCs w:val="28"/>
        </w:rPr>
      </w:pPr>
      <w:r>
        <w:rPr>
          <w:rFonts w:ascii="Arial" w:hAnsi="Arial" w:cs="Arial" w:hint="eastAsia"/>
          <w:sz w:val="24"/>
          <w:szCs w:val="28"/>
        </w:rPr>
        <w:t>Correlation between gene expression level and number of supporting E-P reads (up) in each cell type. Boxplot in the bottom shows the expression levels of genes detected with different number of interacting enhancers.</w:t>
      </w:r>
    </w:p>
    <w:p w14:paraId="32DFB95D" w14:textId="77777777" w:rsidR="004B0C46" w:rsidRDefault="004B0C46" w:rsidP="004B0C46">
      <w:pPr>
        <w:pStyle w:val="ListParagraph"/>
        <w:numPr>
          <w:ilvl w:val="0"/>
          <w:numId w:val="10"/>
        </w:numPr>
        <w:spacing w:line="360" w:lineRule="auto"/>
        <w:rPr>
          <w:rFonts w:ascii="Arial" w:hAnsi="Arial" w:cs="Arial"/>
          <w:sz w:val="24"/>
          <w:szCs w:val="28"/>
        </w:rPr>
      </w:pPr>
      <w:r>
        <w:rPr>
          <w:rFonts w:ascii="Arial" w:hAnsi="Arial" w:cs="Arial" w:hint="eastAsia"/>
          <w:sz w:val="24"/>
          <w:szCs w:val="28"/>
        </w:rPr>
        <w:t>Ranking of enhancers according to the relative E-P interaction score between GM12878 and K562 cells.</w:t>
      </w:r>
    </w:p>
    <w:p w14:paraId="4BD6F51C" w14:textId="77777777" w:rsidR="004B0C46" w:rsidRDefault="004B0C46" w:rsidP="004B0C46">
      <w:pPr>
        <w:pStyle w:val="ListParagraph"/>
        <w:spacing w:line="360" w:lineRule="auto"/>
        <w:ind w:left="0"/>
        <w:rPr>
          <w:rFonts w:ascii="Arial" w:hAnsi="Arial" w:cs="Arial"/>
          <w:sz w:val="24"/>
          <w:szCs w:val="28"/>
        </w:rPr>
      </w:pPr>
    </w:p>
    <w:p w14:paraId="10860239" w14:textId="77777777" w:rsidR="004B0C46" w:rsidRDefault="004B0C46" w:rsidP="004B0C46">
      <w:pPr>
        <w:pStyle w:val="ListParagraph"/>
        <w:spacing w:line="360" w:lineRule="auto"/>
        <w:ind w:left="0"/>
        <w:rPr>
          <w:rFonts w:ascii="Arial" w:hAnsi="Arial" w:cs="Arial"/>
          <w:b/>
          <w:bCs/>
          <w:sz w:val="24"/>
          <w:szCs w:val="28"/>
        </w:rPr>
      </w:pPr>
      <w:r>
        <w:rPr>
          <w:rFonts w:ascii="Arial" w:hAnsi="Arial" w:cs="Arial" w:hint="eastAsia"/>
          <w:b/>
          <w:bCs/>
          <w:sz w:val="24"/>
          <w:szCs w:val="32"/>
        </w:rPr>
        <w:t xml:space="preserve">Extended Data </w:t>
      </w:r>
      <w:r>
        <w:rPr>
          <w:rFonts w:ascii="Arial" w:hAnsi="Arial" w:cs="Arial"/>
          <w:b/>
          <w:bCs/>
          <w:sz w:val="24"/>
          <w:szCs w:val="32"/>
        </w:rPr>
        <w:t>Fig</w:t>
      </w:r>
      <w:r>
        <w:rPr>
          <w:rFonts w:ascii="Arial" w:hAnsi="Arial" w:cs="Arial" w:hint="eastAsia"/>
          <w:b/>
          <w:bCs/>
          <w:sz w:val="24"/>
          <w:szCs w:val="32"/>
        </w:rPr>
        <w:t xml:space="preserve">. 11 Differences in </w:t>
      </w:r>
      <w:r>
        <w:rPr>
          <w:rFonts w:ascii="Arial" w:hAnsi="Arial" w:cs="Arial"/>
          <w:b/>
          <w:bCs/>
          <w:sz w:val="24"/>
          <w:szCs w:val="28"/>
        </w:rPr>
        <w:t>H3K9me3</w:t>
      </w:r>
      <w:r>
        <w:rPr>
          <w:rFonts w:ascii="Arial" w:hAnsi="Arial" w:cs="Arial" w:hint="eastAsia"/>
          <w:b/>
          <w:bCs/>
          <w:sz w:val="24"/>
          <w:szCs w:val="28"/>
        </w:rPr>
        <w:t xml:space="preserve"> modification between normal and tumor cells in LUAD</w:t>
      </w:r>
    </w:p>
    <w:p w14:paraId="00101064" w14:textId="77777777" w:rsidR="004B0C46" w:rsidRDefault="004B0C46" w:rsidP="004B0C46">
      <w:pPr>
        <w:pStyle w:val="ListParagraph"/>
        <w:numPr>
          <w:ilvl w:val="0"/>
          <w:numId w:val="11"/>
        </w:numPr>
        <w:spacing w:line="360" w:lineRule="auto"/>
        <w:rPr>
          <w:rFonts w:ascii="Arial" w:hAnsi="Arial" w:cs="Arial"/>
          <w:sz w:val="24"/>
          <w:szCs w:val="28"/>
        </w:rPr>
      </w:pPr>
      <w:r>
        <w:rPr>
          <w:rFonts w:ascii="Arial" w:hAnsi="Arial" w:cs="Arial" w:hint="eastAsia"/>
          <w:sz w:val="24"/>
          <w:szCs w:val="28"/>
        </w:rPr>
        <w:t>Sample region information of each cell. Related to Fig. 6a.</w:t>
      </w:r>
    </w:p>
    <w:p w14:paraId="03516AFA" w14:textId="77777777" w:rsidR="004B0C46" w:rsidRDefault="004B0C46" w:rsidP="004B0C46">
      <w:pPr>
        <w:pStyle w:val="ListParagraph"/>
        <w:numPr>
          <w:ilvl w:val="0"/>
          <w:numId w:val="11"/>
        </w:numPr>
        <w:spacing w:line="360" w:lineRule="auto"/>
        <w:rPr>
          <w:rFonts w:ascii="Arial" w:hAnsi="Arial" w:cs="Arial"/>
          <w:sz w:val="24"/>
          <w:szCs w:val="28"/>
        </w:rPr>
      </w:pPr>
      <w:r>
        <w:rPr>
          <w:rFonts w:ascii="Arial" w:hAnsi="Arial" w:cs="Arial" w:hint="eastAsia"/>
          <w:sz w:val="24"/>
          <w:szCs w:val="28"/>
        </w:rPr>
        <w:t>Heatmap showing the differentially accessible regions of each cell type. The representative cell type marker genes are labeled.</w:t>
      </w:r>
    </w:p>
    <w:p w14:paraId="6581B776" w14:textId="77777777" w:rsidR="004B0C46" w:rsidRDefault="004B0C46" w:rsidP="004B0C46">
      <w:pPr>
        <w:pStyle w:val="ListParagraph"/>
        <w:numPr>
          <w:ilvl w:val="0"/>
          <w:numId w:val="11"/>
        </w:numPr>
        <w:spacing w:line="360" w:lineRule="auto"/>
        <w:rPr>
          <w:rFonts w:ascii="Arial" w:hAnsi="Arial" w:cs="Arial"/>
          <w:sz w:val="24"/>
          <w:szCs w:val="28"/>
        </w:rPr>
      </w:pPr>
      <w:r>
        <w:rPr>
          <w:rFonts w:ascii="Arial" w:hAnsi="Arial" w:cs="Arial" w:hint="eastAsia"/>
          <w:sz w:val="24"/>
          <w:szCs w:val="28"/>
        </w:rPr>
        <w:t>The overall survival curve of patients grouped by expression level of each targeted gene.</w:t>
      </w:r>
    </w:p>
    <w:p w14:paraId="3C680BAB" w14:textId="77777777" w:rsidR="004B0C46" w:rsidRDefault="004B0C46" w:rsidP="004B0C46">
      <w:pPr>
        <w:pStyle w:val="ListParagraph"/>
        <w:numPr>
          <w:ilvl w:val="0"/>
          <w:numId w:val="11"/>
        </w:numPr>
        <w:spacing w:line="360" w:lineRule="auto"/>
        <w:rPr>
          <w:rFonts w:ascii="Arial" w:hAnsi="Arial" w:cs="Arial"/>
          <w:sz w:val="24"/>
          <w:szCs w:val="28"/>
        </w:rPr>
      </w:pPr>
      <w:r>
        <w:rPr>
          <w:rFonts w:ascii="Arial" w:hAnsi="Arial" w:cs="Arial" w:hint="eastAsia"/>
          <w:sz w:val="24"/>
          <w:szCs w:val="28"/>
        </w:rPr>
        <w:t>Heatmap showing the common and cell type specific H3K9me3 peaks between normal epithelial and tumor cells.</w:t>
      </w:r>
    </w:p>
    <w:p w14:paraId="7E9472AA" w14:textId="77777777" w:rsidR="004B0C46" w:rsidRDefault="004B0C46" w:rsidP="004B0C46">
      <w:pPr>
        <w:pStyle w:val="ListParagraph"/>
        <w:numPr>
          <w:ilvl w:val="0"/>
          <w:numId w:val="11"/>
        </w:numPr>
        <w:spacing w:line="360" w:lineRule="auto"/>
        <w:rPr>
          <w:rFonts w:ascii="Arial" w:hAnsi="Arial" w:cs="Arial"/>
          <w:sz w:val="24"/>
          <w:szCs w:val="28"/>
        </w:rPr>
      </w:pPr>
      <w:r>
        <w:rPr>
          <w:rFonts w:ascii="Arial" w:hAnsi="Arial" w:cs="Arial" w:hint="eastAsia"/>
          <w:sz w:val="24"/>
          <w:szCs w:val="28"/>
        </w:rPr>
        <w:t xml:space="preserve">Heatmap showing the definition of E2- and E10-H3K9me3 peaks in normal </w:t>
      </w:r>
      <w:r>
        <w:rPr>
          <w:rFonts w:ascii="Arial" w:hAnsi="Arial" w:cs="Arial" w:hint="eastAsia"/>
          <w:sz w:val="24"/>
          <w:szCs w:val="28"/>
        </w:rPr>
        <w:lastRenderedPageBreak/>
        <w:t>epithelial cells (left) and tumor cells (right). E2-H3K9me3 peaks show high ATAC signal while E10-H3K9me3 peaks do not.</w:t>
      </w:r>
    </w:p>
    <w:p w14:paraId="1FFFD1E8" w14:textId="77777777" w:rsidR="004B0C46" w:rsidRDefault="004B0C46" w:rsidP="004B0C46">
      <w:pPr>
        <w:pStyle w:val="ListParagraph"/>
        <w:numPr>
          <w:ilvl w:val="0"/>
          <w:numId w:val="11"/>
        </w:numPr>
        <w:spacing w:line="360" w:lineRule="auto"/>
        <w:rPr>
          <w:rFonts w:ascii="Arial" w:hAnsi="Arial" w:cs="Arial"/>
          <w:sz w:val="24"/>
          <w:szCs w:val="28"/>
        </w:rPr>
      </w:pPr>
      <w:r>
        <w:rPr>
          <w:rFonts w:ascii="Arial" w:hAnsi="Arial" w:cs="Arial" w:hint="eastAsia"/>
          <w:sz w:val="24"/>
          <w:szCs w:val="28"/>
        </w:rPr>
        <w:t>Differential E2-</w:t>
      </w:r>
      <w:r>
        <w:rPr>
          <w:rFonts w:ascii="Arial" w:hAnsi="Arial" w:cs="Arial"/>
          <w:sz w:val="24"/>
          <w:szCs w:val="28"/>
        </w:rPr>
        <w:t>H3K9me3</w:t>
      </w:r>
      <w:r>
        <w:rPr>
          <w:rFonts w:ascii="Arial" w:hAnsi="Arial" w:cs="Arial" w:hint="eastAsia"/>
          <w:sz w:val="24"/>
          <w:szCs w:val="28"/>
        </w:rPr>
        <w:t xml:space="preserve"> and E10-</w:t>
      </w:r>
      <w:r>
        <w:rPr>
          <w:rFonts w:ascii="Arial" w:hAnsi="Arial" w:cs="Arial"/>
          <w:sz w:val="24"/>
          <w:szCs w:val="28"/>
        </w:rPr>
        <w:t>H3K9me3</w:t>
      </w:r>
      <w:r>
        <w:rPr>
          <w:rFonts w:ascii="Arial" w:hAnsi="Arial" w:cs="Arial" w:hint="eastAsia"/>
          <w:sz w:val="24"/>
          <w:szCs w:val="28"/>
        </w:rPr>
        <w:t xml:space="preserve"> peaks between normal epithelial and tumor cells.</w:t>
      </w:r>
    </w:p>
    <w:p w14:paraId="3424655C" w14:textId="77777777" w:rsidR="004B0C46" w:rsidRDefault="004B0C46" w:rsidP="004B0C46">
      <w:pPr>
        <w:pStyle w:val="ListParagraph"/>
        <w:numPr>
          <w:ilvl w:val="0"/>
          <w:numId w:val="1"/>
        </w:numPr>
        <w:spacing w:line="360" w:lineRule="auto"/>
        <w:rPr>
          <w:rFonts w:ascii="Arial" w:hAnsi="Arial" w:cs="Arial"/>
          <w:sz w:val="24"/>
          <w:szCs w:val="28"/>
        </w:rPr>
      </w:pPr>
      <w:r>
        <w:rPr>
          <w:rFonts w:ascii="Arial" w:hAnsi="Arial" w:cs="Arial" w:hint="eastAsia"/>
          <w:sz w:val="24"/>
          <w:szCs w:val="28"/>
        </w:rPr>
        <w:t>Dotplot showing the enrichment of gain and loss of E2- and E10-</w:t>
      </w:r>
      <w:r>
        <w:rPr>
          <w:rFonts w:ascii="Arial" w:hAnsi="Arial" w:cs="Arial"/>
          <w:sz w:val="24"/>
          <w:szCs w:val="28"/>
        </w:rPr>
        <w:t>H3K9me3</w:t>
      </w:r>
      <w:r>
        <w:rPr>
          <w:rFonts w:ascii="Arial" w:hAnsi="Arial" w:cs="Arial" w:hint="eastAsia"/>
          <w:sz w:val="24"/>
          <w:szCs w:val="28"/>
        </w:rPr>
        <w:t xml:space="preserve"> peaks in the TE families.</w:t>
      </w:r>
    </w:p>
    <w:p w14:paraId="7FCD618C" w14:textId="77777777" w:rsidR="00EB4A2D" w:rsidRDefault="00EB4A2D"/>
    <w:sectPr w:rsidR="00EB4A2D">
      <w:pgSz w:w="11906" w:h="16838"/>
      <w:pgMar w:top="1440" w:right="1440" w:bottom="1440" w:left="1440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ptos">
    <w:charset w:val="00"/>
    <w:family w:val="swiss"/>
    <w:pitch w:val="variable"/>
    <w:sig w:usb0="20000287" w:usb1="00000003" w:usb2="00000000" w:usb3="00000000" w:csb0="0000019F" w:csb1="00000000"/>
  </w:font>
  <w:font w:name="Aptos Display">
    <w:charset w:val="00"/>
    <w:family w:val="swiss"/>
    <w:pitch w:val="variable"/>
    <w:sig w:usb0="20000287" w:usb1="00000003" w:usb2="00000000" w:usb3="00000000" w:csb0="000001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91261AD4"/>
    <w:multiLevelType w:val="multilevel"/>
    <w:tmpl w:val="91261AD4"/>
    <w:lvl w:ilvl="0">
      <w:start w:val="1"/>
      <w:numFmt w:val="lowerLetter"/>
      <w:lvlText w:val="(%1)"/>
      <w:lvlJc w:val="left"/>
      <w:pPr>
        <w:ind w:left="360" w:hanging="360"/>
      </w:pPr>
      <w:rPr>
        <w:rFonts w:hint="eastAsia"/>
      </w:rPr>
    </w:lvl>
    <w:lvl w:ilvl="1">
      <w:start w:val="1"/>
      <w:numFmt w:val="lowerLetter"/>
      <w:lvlText w:val="%2)"/>
      <w:lvlJc w:val="left"/>
      <w:pPr>
        <w:ind w:left="880" w:hanging="440"/>
      </w:pPr>
    </w:lvl>
    <w:lvl w:ilvl="2">
      <w:start w:val="1"/>
      <w:numFmt w:val="lowerRoman"/>
      <w:lvlText w:val="%3."/>
      <w:lvlJc w:val="right"/>
      <w:pPr>
        <w:ind w:left="1320" w:hanging="440"/>
      </w:pPr>
    </w:lvl>
    <w:lvl w:ilvl="3">
      <w:start w:val="1"/>
      <w:numFmt w:val="decimal"/>
      <w:lvlText w:val="%4."/>
      <w:lvlJc w:val="left"/>
      <w:pPr>
        <w:ind w:left="1760" w:hanging="440"/>
      </w:pPr>
    </w:lvl>
    <w:lvl w:ilvl="4">
      <w:start w:val="1"/>
      <w:numFmt w:val="lowerLetter"/>
      <w:lvlText w:val="%5)"/>
      <w:lvlJc w:val="left"/>
      <w:pPr>
        <w:ind w:left="2200" w:hanging="440"/>
      </w:pPr>
    </w:lvl>
    <w:lvl w:ilvl="5">
      <w:start w:val="1"/>
      <w:numFmt w:val="lowerRoman"/>
      <w:lvlText w:val="%6."/>
      <w:lvlJc w:val="right"/>
      <w:pPr>
        <w:ind w:left="2640" w:hanging="440"/>
      </w:pPr>
    </w:lvl>
    <w:lvl w:ilvl="6">
      <w:start w:val="1"/>
      <w:numFmt w:val="decimal"/>
      <w:lvlText w:val="%7."/>
      <w:lvlJc w:val="left"/>
      <w:pPr>
        <w:ind w:left="3080" w:hanging="440"/>
      </w:pPr>
    </w:lvl>
    <w:lvl w:ilvl="7">
      <w:start w:val="1"/>
      <w:numFmt w:val="lowerLetter"/>
      <w:lvlText w:val="%8)"/>
      <w:lvlJc w:val="left"/>
      <w:pPr>
        <w:ind w:left="3520" w:hanging="440"/>
      </w:pPr>
    </w:lvl>
    <w:lvl w:ilvl="8">
      <w:start w:val="1"/>
      <w:numFmt w:val="lowerRoman"/>
      <w:lvlText w:val="%9."/>
      <w:lvlJc w:val="right"/>
      <w:pPr>
        <w:ind w:left="3960" w:hanging="440"/>
      </w:pPr>
    </w:lvl>
  </w:abstractNum>
  <w:abstractNum w:abstractNumId="1" w15:restartNumberingAfterBreak="0">
    <w:nsid w:val="BD3F8527"/>
    <w:multiLevelType w:val="multilevel"/>
    <w:tmpl w:val="BD3F8527"/>
    <w:lvl w:ilvl="0">
      <w:start w:val="1"/>
      <w:numFmt w:val="lowerLetter"/>
      <w:lvlText w:val="(%1)"/>
      <w:lvlJc w:val="left"/>
      <w:pPr>
        <w:ind w:left="360" w:hanging="360"/>
      </w:pPr>
      <w:rPr>
        <w:rFonts w:hint="eastAsia"/>
      </w:rPr>
    </w:lvl>
    <w:lvl w:ilvl="1">
      <w:start w:val="1"/>
      <w:numFmt w:val="lowerLetter"/>
      <w:lvlText w:val="%2)"/>
      <w:lvlJc w:val="left"/>
      <w:pPr>
        <w:ind w:left="880" w:hanging="440"/>
      </w:pPr>
    </w:lvl>
    <w:lvl w:ilvl="2">
      <w:start w:val="1"/>
      <w:numFmt w:val="lowerRoman"/>
      <w:lvlText w:val="%3."/>
      <w:lvlJc w:val="right"/>
      <w:pPr>
        <w:ind w:left="1320" w:hanging="440"/>
      </w:pPr>
    </w:lvl>
    <w:lvl w:ilvl="3">
      <w:start w:val="1"/>
      <w:numFmt w:val="decimal"/>
      <w:lvlText w:val="%4."/>
      <w:lvlJc w:val="left"/>
      <w:pPr>
        <w:ind w:left="1760" w:hanging="440"/>
      </w:pPr>
    </w:lvl>
    <w:lvl w:ilvl="4">
      <w:start w:val="1"/>
      <w:numFmt w:val="lowerLetter"/>
      <w:lvlText w:val="%5)"/>
      <w:lvlJc w:val="left"/>
      <w:pPr>
        <w:ind w:left="2200" w:hanging="440"/>
      </w:pPr>
    </w:lvl>
    <w:lvl w:ilvl="5">
      <w:start w:val="1"/>
      <w:numFmt w:val="lowerRoman"/>
      <w:lvlText w:val="%6."/>
      <w:lvlJc w:val="right"/>
      <w:pPr>
        <w:ind w:left="2640" w:hanging="440"/>
      </w:pPr>
    </w:lvl>
    <w:lvl w:ilvl="6">
      <w:start w:val="1"/>
      <w:numFmt w:val="decimal"/>
      <w:lvlText w:val="%7."/>
      <w:lvlJc w:val="left"/>
      <w:pPr>
        <w:ind w:left="3080" w:hanging="440"/>
      </w:pPr>
    </w:lvl>
    <w:lvl w:ilvl="7">
      <w:start w:val="1"/>
      <w:numFmt w:val="lowerLetter"/>
      <w:lvlText w:val="%8)"/>
      <w:lvlJc w:val="left"/>
      <w:pPr>
        <w:ind w:left="3520" w:hanging="440"/>
      </w:pPr>
    </w:lvl>
    <w:lvl w:ilvl="8">
      <w:start w:val="1"/>
      <w:numFmt w:val="lowerRoman"/>
      <w:lvlText w:val="%9."/>
      <w:lvlJc w:val="right"/>
      <w:pPr>
        <w:ind w:left="3960" w:hanging="440"/>
      </w:pPr>
    </w:lvl>
  </w:abstractNum>
  <w:abstractNum w:abstractNumId="2" w15:restartNumberingAfterBreak="0">
    <w:nsid w:val="C3463A49"/>
    <w:multiLevelType w:val="multilevel"/>
    <w:tmpl w:val="C3463A49"/>
    <w:lvl w:ilvl="0">
      <w:start w:val="1"/>
      <w:numFmt w:val="lowerLetter"/>
      <w:lvlText w:val="(%1)"/>
      <w:lvlJc w:val="left"/>
      <w:pPr>
        <w:ind w:left="360" w:hanging="360"/>
      </w:pPr>
      <w:rPr>
        <w:rFonts w:hint="eastAsia"/>
      </w:rPr>
    </w:lvl>
    <w:lvl w:ilvl="1">
      <w:start w:val="1"/>
      <w:numFmt w:val="lowerLetter"/>
      <w:lvlText w:val="%2)"/>
      <w:lvlJc w:val="left"/>
      <w:pPr>
        <w:ind w:left="880" w:hanging="440"/>
      </w:pPr>
    </w:lvl>
    <w:lvl w:ilvl="2">
      <w:start w:val="1"/>
      <w:numFmt w:val="lowerRoman"/>
      <w:lvlText w:val="%3."/>
      <w:lvlJc w:val="right"/>
      <w:pPr>
        <w:ind w:left="1320" w:hanging="440"/>
      </w:pPr>
    </w:lvl>
    <w:lvl w:ilvl="3">
      <w:start w:val="1"/>
      <w:numFmt w:val="decimal"/>
      <w:lvlText w:val="%4."/>
      <w:lvlJc w:val="left"/>
      <w:pPr>
        <w:ind w:left="1760" w:hanging="440"/>
      </w:pPr>
    </w:lvl>
    <w:lvl w:ilvl="4">
      <w:start w:val="1"/>
      <w:numFmt w:val="lowerLetter"/>
      <w:lvlText w:val="%5)"/>
      <w:lvlJc w:val="left"/>
      <w:pPr>
        <w:ind w:left="2200" w:hanging="440"/>
      </w:pPr>
    </w:lvl>
    <w:lvl w:ilvl="5">
      <w:start w:val="1"/>
      <w:numFmt w:val="lowerRoman"/>
      <w:lvlText w:val="%6."/>
      <w:lvlJc w:val="right"/>
      <w:pPr>
        <w:ind w:left="2640" w:hanging="440"/>
      </w:pPr>
    </w:lvl>
    <w:lvl w:ilvl="6">
      <w:start w:val="1"/>
      <w:numFmt w:val="decimal"/>
      <w:lvlText w:val="%7."/>
      <w:lvlJc w:val="left"/>
      <w:pPr>
        <w:ind w:left="3080" w:hanging="440"/>
      </w:pPr>
    </w:lvl>
    <w:lvl w:ilvl="7">
      <w:start w:val="1"/>
      <w:numFmt w:val="lowerLetter"/>
      <w:lvlText w:val="%8)"/>
      <w:lvlJc w:val="left"/>
      <w:pPr>
        <w:ind w:left="3520" w:hanging="440"/>
      </w:pPr>
    </w:lvl>
    <w:lvl w:ilvl="8">
      <w:start w:val="1"/>
      <w:numFmt w:val="lowerRoman"/>
      <w:lvlText w:val="%9."/>
      <w:lvlJc w:val="right"/>
      <w:pPr>
        <w:ind w:left="3960" w:hanging="440"/>
      </w:pPr>
    </w:lvl>
  </w:abstractNum>
  <w:abstractNum w:abstractNumId="3" w15:restartNumberingAfterBreak="0">
    <w:nsid w:val="F2D7CCAE"/>
    <w:multiLevelType w:val="multilevel"/>
    <w:tmpl w:val="F2D7CCAE"/>
    <w:lvl w:ilvl="0">
      <w:start w:val="1"/>
      <w:numFmt w:val="lowerLetter"/>
      <w:lvlText w:val="(%1)"/>
      <w:lvlJc w:val="left"/>
      <w:pPr>
        <w:ind w:left="360" w:hanging="360"/>
      </w:pPr>
      <w:rPr>
        <w:rFonts w:hint="eastAsia"/>
      </w:rPr>
    </w:lvl>
    <w:lvl w:ilvl="1">
      <w:start w:val="1"/>
      <w:numFmt w:val="lowerLetter"/>
      <w:lvlText w:val="%2)"/>
      <w:lvlJc w:val="left"/>
      <w:pPr>
        <w:ind w:left="880" w:hanging="440"/>
      </w:pPr>
    </w:lvl>
    <w:lvl w:ilvl="2">
      <w:start w:val="1"/>
      <w:numFmt w:val="lowerRoman"/>
      <w:lvlText w:val="%3."/>
      <w:lvlJc w:val="right"/>
      <w:pPr>
        <w:ind w:left="1320" w:hanging="440"/>
      </w:pPr>
    </w:lvl>
    <w:lvl w:ilvl="3">
      <w:start w:val="1"/>
      <w:numFmt w:val="decimal"/>
      <w:lvlText w:val="%4."/>
      <w:lvlJc w:val="left"/>
      <w:pPr>
        <w:ind w:left="1760" w:hanging="440"/>
      </w:pPr>
    </w:lvl>
    <w:lvl w:ilvl="4">
      <w:start w:val="1"/>
      <w:numFmt w:val="lowerLetter"/>
      <w:lvlText w:val="%5)"/>
      <w:lvlJc w:val="left"/>
      <w:pPr>
        <w:ind w:left="2200" w:hanging="440"/>
      </w:pPr>
    </w:lvl>
    <w:lvl w:ilvl="5">
      <w:start w:val="1"/>
      <w:numFmt w:val="lowerRoman"/>
      <w:lvlText w:val="%6."/>
      <w:lvlJc w:val="right"/>
      <w:pPr>
        <w:ind w:left="2640" w:hanging="440"/>
      </w:pPr>
    </w:lvl>
    <w:lvl w:ilvl="6">
      <w:start w:val="1"/>
      <w:numFmt w:val="decimal"/>
      <w:lvlText w:val="%7."/>
      <w:lvlJc w:val="left"/>
      <w:pPr>
        <w:ind w:left="3080" w:hanging="440"/>
      </w:pPr>
    </w:lvl>
    <w:lvl w:ilvl="7">
      <w:start w:val="1"/>
      <w:numFmt w:val="lowerLetter"/>
      <w:lvlText w:val="%8)"/>
      <w:lvlJc w:val="left"/>
      <w:pPr>
        <w:ind w:left="3520" w:hanging="440"/>
      </w:pPr>
    </w:lvl>
    <w:lvl w:ilvl="8">
      <w:start w:val="1"/>
      <w:numFmt w:val="lowerRoman"/>
      <w:lvlText w:val="%9."/>
      <w:lvlJc w:val="right"/>
      <w:pPr>
        <w:ind w:left="3960" w:hanging="440"/>
      </w:pPr>
    </w:lvl>
  </w:abstractNum>
  <w:abstractNum w:abstractNumId="4" w15:restartNumberingAfterBreak="0">
    <w:nsid w:val="F45A972D"/>
    <w:multiLevelType w:val="multilevel"/>
    <w:tmpl w:val="F45A972D"/>
    <w:lvl w:ilvl="0">
      <w:start w:val="1"/>
      <w:numFmt w:val="lowerLetter"/>
      <w:lvlText w:val="(%1)"/>
      <w:lvlJc w:val="left"/>
      <w:pPr>
        <w:ind w:left="360" w:hanging="360"/>
      </w:pPr>
      <w:rPr>
        <w:rFonts w:hint="eastAsia"/>
      </w:rPr>
    </w:lvl>
    <w:lvl w:ilvl="1">
      <w:start w:val="1"/>
      <w:numFmt w:val="lowerLetter"/>
      <w:lvlText w:val="%2)"/>
      <w:lvlJc w:val="left"/>
      <w:pPr>
        <w:ind w:left="880" w:hanging="440"/>
      </w:pPr>
    </w:lvl>
    <w:lvl w:ilvl="2">
      <w:start w:val="1"/>
      <w:numFmt w:val="lowerRoman"/>
      <w:lvlText w:val="%3."/>
      <w:lvlJc w:val="right"/>
      <w:pPr>
        <w:ind w:left="1320" w:hanging="440"/>
      </w:pPr>
    </w:lvl>
    <w:lvl w:ilvl="3">
      <w:start w:val="1"/>
      <w:numFmt w:val="decimal"/>
      <w:lvlText w:val="%4."/>
      <w:lvlJc w:val="left"/>
      <w:pPr>
        <w:ind w:left="1760" w:hanging="440"/>
      </w:pPr>
    </w:lvl>
    <w:lvl w:ilvl="4">
      <w:start w:val="1"/>
      <w:numFmt w:val="lowerLetter"/>
      <w:lvlText w:val="%5)"/>
      <w:lvlJc w:val="left"/>
      <w:pPr>
        <w:ind w:left="2200" w:hanging="440"/>
      </w:pPr>
    </w:lvl>
    <w:lvl w:ilvl="5">
      <w:start w:val="1"/>
      <w:numFmt w:val="lowerRoman"/>
      <w:lvlText w:val="%6."/>
      <w:lvlJc w:val="right"/>
      <w:pPr>
        <w:ind w:left="2640" w:hanging="440"/>
      </w:pPr>
    </w:lvl>
    <w:lvl w:ilvl="6">
      <w:start w:val="1"/>
      <w:numFmt w:val="decimal"/>
      <w:lvlText w:val="%7."/>
      <w:lvlJc w:val="left"/>
      <w:pPr>
        <w:ind w:left="3080" w:hanging="440"/>
      </w:pPr>
    </w:lvl>
    <w:lvl w:ilvl="7">
      <w:start w:val="1"/>
      <w:numFmt w:val="lowerLetter"/>
      <w:lvlText w:val="%8)"/>
      <w:lvlJc w:val="left"/>
      <w:pPr>
        <w:ind w:left="3520" w:hanging="440"/>
      </w:pPr>
    </w:lvl>
    <w:lvl w:ilvl="8">
      <w:start w:val="1"/>
      <w:numFmt w:val="lowerRoman"/>
      <w:lvlText w:val="%9."/>
      <w:lvlJc w:val="right"/>
      <w:pPr>
        <w:ind w:left="3960" w:hanging="440"/>
      </w:pPr>
    </w:lvl>
  </w:abstractNum>
  <w:abstractNum w:abstractNumId="5" w15:restartNumberingAfterBreak="0">
    <w:nsid w:val="FCD0CBB6"/>
    <w:multiLevelType w:val="multilevel"/>
    <w:tmpl w:val="FCD0CBB6"/>
    <w:lvl w:ilvl="0">
      <w:start w:val="1"/>
      <w:numFmt w:val="lowerLetter"/>
      <w:lvlText w:val="(%1)"/>
      <w:lvlJc w:val="left"/>
      <w:pPr>
        <w:ind w:left="360" w:hanging="360"/>
      </w:pPr>
      <w:rPr>
        <w:rFonts w:hint="eastAsia"/>
      </w:rPr>
    </w:lvl>
    <w:lvl w:ilvl="1">
      <w:start w:val="1"/>
      <w:numFmt w:val="lowerLetter"/>
      <w:lvlText w:val="%2)"/>
      <w:lvlJc w:val="left"/>
      <w:pPr>
        <w:ind w:left="880" w:hanging="440"/>
      </w:pPr>
    </w:lvl>
    <w:lvl w:ilvl="2">
      <w:start w:val="1"/>
      <w:numFmt w:val="lowerRoman"/>
      <w:lvlText w:val="%3."/>
      <w:lvlJc w:val="right"/>
      <w:pPr>
        <w:ind w:left="1320" w:hanging="440"/>
      </w:pPr>
    </w:lvl>
    <w:lvl w:ilvl="3">
      <w:start w:val="1"/>
      <w:numFmt w:val="decimal"/>
      <w:lvlText w:val="%4."/>
      <w:lvlJc w:val="left"/>
      <w:pPr>
        <w:ind w:left="1760" w:hanging="440"/>
      </w:pPr>
    </w:lvl>
    <w:lvl w:ilvl="4">
      <w:start w:val="1"/>
      <w:numFmt w:val="lowerLetter"/>
      <w:lvlText w:val="%5)"/>
      <w:lvlJc w:val="left"/>
      <w:pPr>
        <w:ind w:left="2200" w:hanging="440"/>
      </w:pPr>
    </w:lvl>
    <w:lvl w:ilvl="5">
      <w:start w:val="1"/>
      <w:numFmt w:val="lowerRoman"/>
      <w:lvlText w:val="%6."/>
      <w:lvlJc w:val="right"/>
      <w:pPr>
        <w:ind w:left="2640" w:hanging="440"/>
      </w:pPr>
    </w:lvl>
    <w:lvl w:ilvl="6">
      <w:start w:val="1"/>
      <w:numFmt w:val="decimal"/>
      <w:lvlText w:val="%7."/>
      <w:lvlJc w:val="left"/>
      <w:pPr>
        <w:ind w:left="3080" w:hanging="440"/>
      </w:pPr>
    </w:lvl>
    <w:lvl w:ilvl="7">
      <w:start w:val="1"/>
      <w:numFmt w:val="lowerLetter"/>
      <w:lvlText w:val="%8)"/>
      <w:lvlJc w:val="left"/>
      <w:pPr>
        <w:ind w:left="3520" w:hanging="440"/>
      </w:pPr>
    </w:lvl>
    <w:lvl w:ilvl="8">
      <w:start w:val="1"/>
      <w:numFmt w:val="lowerRoman"/>
      <w:lvlText w:val="%9."/>
      <w:lvlJc w:val="right"/>
      <w:pPr>
        <w:ind w:left="3960" w:hanging="440"/>
      </w:pPr>
    </w:lvl>
  </w:abstractNum>
  <w:abstractNum w:abstractNumId="6" w15:restartNumberingAfterBreak="0">
    <w:nsid w:val="325A45E6"/>
    <w:multiLevelType w:val="multilevel"/>
    <w:tmpl w:val="325A45E6"/>
    <w:lvl w:ilvl="0">
      <w:start w:val="1"/>
      <w:numFmt w:val="lowerLetter"/>
      <w:lvlText w:val="(%1)"/>
      <w:lvlJc w:val="left"/>
      <w:pPr>
        <w:ind w:left="360" w:hanging="360"/>
      </w:pPr>
      <w:rPr>
        <w:rFonts w:hint="eastAsia"/>
      </w:rPr>
    </w:lvl>
    <w:lvl w:ilvl="1">
      <w:start w:val="1"/>
      <w:numFmt w:val="lowerLetter"/>
      <w:lvlText w:val="%2)"/>
      <w:lvlJc w:val="left"/>
      <w:pPr>
        <w:ind w:left="880" w:hanging="440"/>
      </w:pPr>
    </w:lvl>
    <w:lvl w:ilvl="2">
      <w:start w:val="1"/>
      <w:numFmt w:val="lowerRoman"/>
      <w:lvlText w:val="%3."/>
      <w:lvlJc w:val="right"/>
      <w:pPr>
        <w:ind w:left="1320" w:hanging="440"/>
      </w:pPr>
    </w:lvl>
    <w:lvl w:ilvl="3">
      <w:start w:val="1"/>
      <w:numFmt w:val="decimal"/>
      <w:lvlText w:val="%4."/>
      <w:lvlJc w:val="left"/>
      <w:pPr>
        <w:ind w:left="1760" w:hanging="440"/>
      </w:pPr>
    </w:lvl>
    <w:lvl w:ilvl="4">
      <w:start w:val="1"/>
      <w:numFmt w:val="lowerLetter"/>
      <w:lvlText w:val="%5)"/>
      <w:lvlJc w:val="left"/>
      <w:pPr>
        <w:ind w:left="2200" w:hanging="440"/>
      </w:pPr>
    </w:lvl>
    <w:lvl w:ilvl="5">
      <w:start w:val="1"/>
      <w:numFmt w:val="lowerRoman"/>
      <w:lvlText w:val="%6."/>
      <w:lvlJc w:val="right"/>
      <w:pPr>
        <w:ind w:left="2640" w:hanging="440"/>
      </w:pPr>
    </w:lvl>
    <w:lvl w:ilvl="6">
      <w:start w:val="1"/>
      <w:numFmt w:val="decimal"/>
      <w:lvlText w:val="%7."/>
      <w:lvlJc w:val="left"/>
      <w:pPr>
        <w:ind w:left="3080" w:hanging="440"/>
      </w:pPr>
    </w:lvl>
    <w:lvl w:ilvl="7">
      <w:start w:val="1"/>
      <w:numFmt w:val="lowerLetter"/>
      <w:lvlText w:val="%8)"/>
      <w:lvlJc w:val="left"/>
      <w:pPr>
        <w:ind w:left="3520" w:hanging="440"/>
      </w:pPr>
    </w:lvl>
    <w:lvl w:ilvl="8">
      <w:start w:val="1"/>
      <w:numFmt w:val="lowerRoman"/>
      <w:lvlText w:val="%9."/>
      <w:lvlJc w:val="right"/>
      <w:pPr>
        <w:ind w:left="3960" w:hanging="440"/>
      </w:pPr>
    </w:lvl>
  </w:abstractNum>
  <w:abstractNum w:abstractNumId="7" w15:restartNumberingAfterBreak="0">
    <w:nsid w:val="54F30D1D"/>
    <w:multiLevelType w:val="multilevel"/>
    <w:tmpl w:val="54F30D1D"/>
    <w:lvl w:ilvl="0">
      <w:start w:val="1"/>
      <w:numFmt w:val="lowerLetter"/>
      <w:lvlText w:val="(%1)"/>
      <w:lvlJc w:val="left"/>
      <w:pPr>
        <w:ind w:left="360" w:hanging="360"/>
      </w:pPr>
      <w:rPr>
        <w:rFonts w:hint="eastAsia"/>
      </w:rPr>
    </w:lvl>
    <w:lvl w:ilvl="1">
      <w:start w:val="1"/>
      <w:numFmt w:val="lowerLetter"/>
      <w:lvlText w:val="%2)"/>
      <w:lvlJc w:val="left"/>
      <w:pPr>
        <w:ind w:left="880" w:hanging="440"/>
      </w:pPr>
    </w:lvl>
    <w:lvl w:ilvl="2">
      <w:start w:val="1"/>
      <w:numFmt w:val="lowerRoman"/>
      <w:lvlText w:val="%3."/>
      <w:lvlJc w:val="right"/>
      <w:pPr>
        <w:ind w:left="1320" w:hanging="440"/>
      </w:pPr>
    </w:lvl>
    <w:lvl w:ilvl="3">
      <w:start w:val="1"/>
      <w:numFmt w:val="decimal"/>
      <w:lvlText w:val="%4."/>
      <w:lvlJc w:val="left"/>
      <w:pPr>
        <w:ind w:left="1760" w:hanging="440"/>
      </w:pPr>
    </w:lvl>
    <w:lvl w:ilvl="4">
      <w:start w:val="1"/>
      <w:numFmt w:val="lowerLetter"/>
      <w:lvlText w:val="%5)"/>
      <w:lvlJc w:val="left"/>
      <w:pPr>
        <w:ind w:left="2200" w:hanging="440"/>
      </w:pPr>
    </w:lvl>
    <w:lvl w:ilvl="5">
      <w:start w:val="1"/>
      <w:numFmt w:val="lowerRoman"/>
      <w:lvlText w:val="%6."/>
      <w:lvlJc w:val="right"/>
      <w:pPr>
        <w:ind w:left="2640" w:hanging="440"/>
      </w:pPr>
    </w:lvl>
    <w:lvl w:ilvl="6">
      <w:start w:val="1"/>
      <w:numFmt w:val="decimal"/>
      <w:lvlText w:val="%7."/>
      <w:lvlJc w:val="left"/>
      <w:pPr>
        <w:ind w:left="3080" w:hanging="440"/>
      </w:pPr>
    </w:lvl>
    <w:lvl w:ilvl="7">
      <w:start w:val="1"/>
      <w:numFmt w:val="lowerLetter"/>
      <w:lvlText w:val="%8)"/>
      <w:lvlJc w:val="left"/>
      <w:pPr>
        <w:ind w:left="3520" w:hanging="440"/>
      </w:pPr>
    </w:lvl>
    <w:lvl w:ilvl="8">
      <w:start w:val="1"/>
      <w:numFmt w:val="lowerRoman"/>
      <w:lvlText w:val="%9."/>
      <w:lvlJc w:val="right"/>
      <w:pPr>
        <w:ind w:left="3960" w:hanging="440"/>
      </w:pPr>
    </w:lvl>
  </w:abstractNum>
  <w:abstractNum w:abstractNumId="8" w15:restartNumberingAfterBreak="0">
    <w:nsid w:val="62D30D18"/>
    <w:multiLevelType w:val="multilevel"/>
    <w:tmpl w:val="62D30D18"/>
    <w:lvl w:ilvl="0">
      <w:start w:val="1"/>
      <w:numFmt w:val="lowerLetter"/>
      <w:lvlText w:val="(%1)"/>
      <w:lvlJc w:val="left"/>
      <w:pPr>
        <w:ind w:left="360" w:hanging="360"/>
      </w:pPr>
      <w:rPr>
        <w:rFonts w:hint="eastAsia"/>
      </w:rPr>
    </w:lvl>
    <w:lvl w:ilvl="1">
      <w:start w:val="1"/>
      <w:numFmt w:val="lowerLetter"/>
      <w:lvlText w:val="%2)"/>
      <w:lvlJc w:val="left"/>
      <w:pPr>
        <w:ind w:left="880" w:hanging="440"/>
      </w:pPr>
    </w:lvl>
    <w:lvl w:ilvl="2">
      <w:start w:val="1"/>
      <w:numFmt w:val="lowerRoman"/>
      <w:lvlText w:val="%3."/>
      <w:lvlJc w:val="right"/>
      <w:pPr>
        <w:ind w:left="1320" w:hanging="440"/>
      </w:pPr>
    </w:lvl>
    <w:lvl w:ilvl="3">
      <w:start w:val="1"/>
      <w:numFmt w:val="decimal"/>
      <w:lvlText w:val="%4."/>
      <w:lvlJc w:val="left"/>
      <w:pPr>
        <w:ind w:left="1760" w:hanging="440"/>
      </w:pPr>
    </w:lvl>
    <w:lvl w:ilvl="4">
      <w:start w:val="1"/>
      <w:numFmt w:val="lowerLetter"/>
      <w:lvlText w:val="%5)"/>
      <w:lvlJc w:val="left"/>
      <w:pPr>
        <w:ind w:left="2200" w:hanging="440"/>
      </w:pPr>
    </w:lvl>
    <w:lvl w:ilvl="5">
      <w:start w:val="1"/>
      <w:numFmt w:val="lowerRoman"/>
      <w:lvlText w:val="%6."/>
      <w:lvlJc w:val="right"/>
      <w:pPr>
        <w:ind w:left="2640" w:hanging="440"/>
      </w:pPr>
    </w:lvl>
    <w:lvl w:ilvl="6">
      <w:start w:val="1"/>
      <w:numFmt w:val="decimal"/>
      <w:lvlText w:val="%7."/>
      <w:lvlJc w:val="left"/>
      <w:pPr>
        <w:ind w:left="3080" w:hanging="440"/>
      </w:pPr>
    </w:lvl>
    <w:lvl w:ilvl="7">
      <w:start w:val="1"/>
      <w:numFmt w:val="lowerLetter"/>
      <w:lvlText w:val="%8)"/>
      <w:lvlJc w:val="left"/>
      <w:pPr>
        <w:ind w:left="3520" w:hanging="440"/>
      </w:pPr>
    </w:lvl>
    <w:lvl w:ilvl="8">
      <w:start w:val="1"/>
      <w:numFmt w:val="lowerRoman"/>
      <w:lvlText w:val="%9."/>
      <w:lvlJc w:val="right"/>
      <w:pPr>
        <w:ind w:left="3960" w:hanging="440"/>
      </w:pPr>
    </w:lvl>
  </w:abstractNum>
  <w:abstractNum w:abstractNumId="9" w15:restartNumberingAfterBreak="0">
    <w:nsid w:val="65CA7D25"/>
    <w:multiLevelType w:val="multilevel"/>
    <w:tmpl w:val="65CA7D25"/>
    <w:lvl w:ilvl="0">
      <w:start w:val="1"/>
      <w:numFmt w:val="lowerLetter"/>
      <w:lvlText w:val="(%1)"/>
      <w:lvlJc w:val="left"/>
      <w:pPr>
        <w:ind w:left="360" w:hanging="360"/>
      </w:pPr>
      <w:rPr>
        <w:rFonts w:hint="eastAsia"/>
      </w:rPr>
    </w:lvl>
    <w:lvl w:ilvl="1">
      <w:start w:val="1"/>
      <w:numFmt w:val="lowerLetter"/>
      <w:lvlText w:val="%2)"/>
      <w:lvlJc w:val="left"/>
      <w:pPr>
        <w:ind w:left="880" w:hanging="440"/>
      </w:pPr>
    </w:lvl>
    <w:lvl w:ilvl="2">
      <w:start w:val="1"/>
      <w:numFmt w:val="lowerRoman"/>
      <w:lvlText w:val="%3."/>
      <w:lvlJc w:val="right"/>
      <w:pPr>
        <w:ind w:left="1320" w:hanging="440"/>
      </w:pPr>
    </w:lvl>
    <w:lvl w:ilvl="3">
      <w:start w:val="1"/>
      <w:numFmt w:val="decimal"/>
      <w:lvlText w:val="%4."/>
      <w:lvlJc w:val="left"/>
      <w:pPr>
        <w:ind w:left="1760" w:hanging="440"/>
      </w:pPr>
    </w:lvl>
    <w:lvl w:ilvl="4">
      <w:start w:val="1"/>
      <w:numFmt w:val="lowerLetter"/>
      <w:lvlText w:val="%5)"/>
      <w:lvlJc w:val="left"/>
      <w:pPr>
        <w:ind w:left="2200" w:hanging="440"/>
      </w:pPr>
    </w:lvl>
    <w:lvl w:ilvl="5">
      <w:start w:val="1"/>
      <w:numFmt w:val="lowerRoman"/>
      <w:lvlText w:val="%6."/>
      <w:lvlJc w:val="right"/>
      <w:pPr>
        <w:ind w:left="2640" w:hanging="440"/>
      </w:pPr>
    </w:lvl>
    <w:lvl w:ilvl="6">
      <w:start w:val="1"/>
      <w:numFmt w:val="decimal"/>
      <w:lvlText w:val="%7."/>
      <w:lvlJc w:val="left"/>
      <w:pPr>
        <w:ind w:left="3080" w:hanging="440"/>
      </w:pPr>
    </w:lvl>
    <w:lvl w:ilvl="7">
      <w:start w:val="1"/>
      <w:numFmt w:val="lowerLetter"/>
      <w:lvlText w:val="%8)"/>
      <w:lvlJc w:val="left"/>
      <w:pPr>
        <w:ind w:left="3520" w:hanging="440"/>
      </w:pPr>
    </w:lvl>
    <w:lvl w:ilvl="8">
      <w:start w:val="1"/>
      <w:numFmt w:val="lowerRoman"/>
      <w:lvlText w:val="%9."/>
      <w:lvlJc w:val="right"/>
      <w:pPr>
        <w:ind w:left="3960" w:hanging="440"/>
      </w:pPr>
    </w:lvl>
  </w:abstractNum>
  <w:abstractNum w:abstractNumId="10" w15:restartNumberingAfterBreak="0">
    <w:nsid w:val="768B7C30"/>
    <w:multiLevelType w:val="multilevel"/>
    <w:tmpl w:val="768B7C30"/>
    <w:lvl w:ilvl="0">
      <w:start w:val="1"/>
      <w:numFmt w:val="lowerLetter"/>
      <w:lvlText w:val="(%1)"/>
      <w:lvlJc w:val="left"/>
      <w:pPr>
        <w:ind w:left="360" w:hanging="360"/>
      </w:pPr>
      <w:rPr>
        <w:rFonts w:hint="eastAsia"/>
      </w:rPr>
    </w:lvl>
    <w:lvl w:ilvl="1">
      <w:start w:val="1"/>
      <w:numFmt w:val="lowerLetter"/>
      <w:lvlText w:val="%2)"/>
      <w:lvlJc w:val="left"/>
      <w:pPr>
        <w:ind w:left="880" w:hanging="440"/>
      </w:pPr>
    </w:lvl>
    <w:lvl w:ilvl="2">
      <w:start w:val="1"/>
      <w:numFmt w:val="lowerRoman"/>
      <w:lvlText w:val="%3."/>
      <w:lvlJc w:val="right"/>
      <w:pPr>
        <w:ind w:left="1320" w:hanging="440"/>
      </w:pPr>
    </w:lvl>
    <w:lvl w:ilvl="3">
      <w:start w:val="1"/>
      <w:numFmt w:val="decimal"/>
      <w:lvlText w:val="%4."/>
      <w:lvlJc w:val="left"/>
      <w:pPr>
        <w:ind w:left="1760" w:hanging="440"/>
      </w:pPr>
    </w:lvl>
    <w:lvl w:ilvl="4">
      <w:start w:val="1"/>
      <w:numFmt w:val="lowerLetter"/>
      <w:lvlText w:val="%5)"/>
      <w:lvlJc w:val="left"/>
      <w:pPr>
        <w:ind w:left="2200" w:hanging="440"/>
      </w:pPr>
    </w:lvl>
    <w:lvl w:ilvl="5">
      <w:start w:val="1"/>
      <w:numFmt w:val="lowerRoman"/>
      <w:lvlText w:val="%6."/>
      <w:lvlJc w:val="right"/>
      <w:pPr>
        <w:ind w:left="2640" w:hanging="440"/>
      </w:pPr>
    </w:lvl>
    <w:lvl w:ilvl="6">
      <w:start w:val="1"/>
      <w:numFmt w:val="decimal"/>
      <w:lvlText w:val="%7."/>
      <w:lvlJc w:val="left"/>
      <w:pPr>
        <w:ind w:left="3080" w:hanging="440"/>
      </w:pPr>
    </w:lvl>
    <w:lvl w:ilvl="7">
      <w:start w:val="1"/>
      <w:numFmt w:val="lowerLetter"/>
      <w:lvlText w:val="%8)"/>
      <w:lvlJc w:val="left"/>
      <w:pPr>
        <w:ind w:left="3520" w:hanging="440"/>
      </w:pPr>
    </w:lvl>
    <w:lvl w:ilvl="8">
      <w:start w:val="1"/>
      <w:numFmt w:val="lowerRoman"/>
      <w:lvlText w:val="%9."/>
      <w:lvlJc w:val="right"/>
      <w:pPr>
        <w:ind w:left="3960" w:hanging="440"/>
      </w:pPr>
    </w:lvl>
  </w:abstractNum>
  <w:num w:numId="1" w16cid:durableId="807359018">
    <w:abstractNumId w:val="10"/>
  </w:num>
  <w:num w:numId="2" w16cid:durableId="278417687">
    <w:abstractNumId w:val="5"/>
  </w:num>
  <w:num w:numId="3" w16cid:durableId="1532837226">
    <w:abstractNumId w:val="1"/>
  </w:num>
  <w:num w:numId="4" w16cid:durableId="911426998">
    <w:abstractNumId w:val="7"/>
  </w:num>
  <w:num w:numId="5" w16cid:durableId="1443695315">
    <w:abstractNumId w:val="0"/>
  </w:num>
  <w:num w:numId="6" w16cid:durableId="1735008571">
    <w:abstractNumId w:val="2"/>
  </w:num>
  <w:num w:numId="7" w16cid:durableId="1543134013">
    <w:abstractNumId w:val="3"/>
  </w:num>
  <w:num w:numId="8" w16cid:durableId="1455515902">
    <w:abstractNumId w:val="9"/>
  </w:num>
  <w:num w:numId="9" w16cid:durableId="863446527">
    <w:abstractNumId w:val="8"/>
  </w:num>
  <w:num w:numId="10" w16cid:durableId="591087153">
    <w:abstractNumId w:val="6"/>
  </w:num>
  <w:num w:numId="11" w16cid:durableId="2071417623">
    <w:abstractNumId w:val="4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4B0C46"/>
    <w:rsid w:val="00177BCE"/>
    <w:rsid w:val="004B0C46"/>
    <w:rsid w:val="005C0D39"/>
    <w:rsid w:val="0070406C"/>
    <w:rsid w:val="00724754"/>
    <w:rsid w:val="00C321FA"/>
    <w:rsid w:val="00EB4A2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I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669EEB1C"/>
  <w15:chartTrackingRefBased/>
  <w15:docId w15:val="{2E6C1FA0-8187-41DA-8951-2017A7621D5F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4"/>
        <w:szCs w:val="24"/>
        <w:lang w:val="en-IN" w:eastAsia="en-US" w:bidi="ar-SA"/>
        <w14:ligatures w14:val="standardContextual"/>
      </w:rPr>
    </w:rPrDefault>
    <w:pPrDefault>
      <w:pPr>
        <w:spacing w:after="160" w:line="278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4B0C46"/>
    <w:pPr>
      <w:widowControl w:val="0"/>
      <w:spacing w:after="0" w:line="240" w:lineRule="auto"/>
      <w:jc w:val="both"/>
    </w:pPr>
    <w:rPr>
      <w:rFonts w:eastAsiaTheme="minorEastAsia"/>
      <w:sz w:val="21"/>
      <w:lang w:val="en-US" w:eastAsia="zh-CN"/>
      <w14:ligatures w14:val="none"/>
    </w:rPr>
  </w:style>
  <w:style w:type="paragraph" w:styleId="Heading1">
    <w:name w:val="heading 1"/>
    <w:basedOn w:val="Normal"/>
    <w:next w:val="Normal"/>
    <w:link w:val="Heading1Char"/>
    <w:uiPriority w:val="9"/>
    <w:qFormat/>
    <w:rsid w:val="004B0C46"/>
    <w:pPr>
      <w:keepNext/>
      <w:keepLines/>
      <w:spacing w:before="360" w:after="80"/>
      <w:outlineLvl w:val="0"/>
    </w:pPr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paragraph" w:styleId="Heading2">
    <w:name w:val="heading 2"/>
    <w:basedOn w:val="Normal"/>
    <w:next w:val="Normal"/>
    <w:link w:val="Heading2Char"/>
    <w:uiPriority w:val="9"/>
    <w:semiHidden/>
    <w:unhideWhenUsed/>
    <w:qFormat/>
    <w:rsid w:val="004B0C46"/>
    <w:pPr>
      <w:keepNext/>
      <w:keepLines/>
      <w:spacing w:before="160" w:after="80"/>
      <w:outlineLvl w:val="1"/>
    </w:pPr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paragraph" w:styleId="Heading3">
    <w:name w:val="heading 3"/>
    <w:basedOn w:val="Normal"/>
    <w:next w:val="Normal"/>
    <w:link w:val="Heading3Char"/>
    <w:uiPriority w:val="9"/>
    <w:semiHidden/>
    <w:unhideWhenUsed/>
    <w:qFormat/>
    <w:rsid w:val="004B0C46"/>
    <w:pPr>
      <w:keepNext/>
      <w:keepLines/>
      <w:spacing w:before="160" w:after="80"/>
      <w:outlineLvl w:val="2"/>
    </w:pPr>
    <w:rPr>
      <w:rFonts w:eastAsiaTheme="majorEastAsia" w:cstheme="majorBidi"/>
      <w:color w:val="0F4761" w:themeColor="accent1" w:themeShade="BF"/>
      <w:sz w:val="28"/>
      <w:szCs w:val="28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4B0C46"/>
    <w:pPr>
      <w:keepNext/>
      <w:keepLines/>
      <w:spacing w:before="80" w:after="40"/>
      <w:outlineLvl w:val="3"/>
    </w:pPr>
    <w:rPr>
      <w:rFonts w:eastAsiaTheme="majorEastAsia" w:cstheme="majorBidi"/>
      <w:i/>
      <w:iCs/>
      <w:color w:val="0F4761" w:themeColor="accent1" w:themeShade="BF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4B0C46"/>
    <w:pPr>
      <w:keepNext/>
      <w:keepLines/>
      <w:spacing w:before="80" w:after="40"/>
      <w:outlineLvl w:val="4"/>
    </w:pPr>
    <w:rPr>
      <w:rFonts w:eastAsiaTheme="majorEastAsia" w:cstheme="majorBidi"/>
      <w:color w:val="0F4761" w:themeColor="accent1" w:themeShade="BF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4B0C46"/>
    <w:pPr>
      <w:keepNext/>
      <w:keepLines/>
      <w:spacing w:before="40"/>
      <w:outlineLvl w:val="5"/>
    </w:pPr>
    <w:rPr>
      <w:rFonts w:eastAsiaTheme="majorEastAsia" w:cstheme="majorBidi"/>
      <w:i/>
      <w:iCs/>
      <w:color w:val="595959" w:themeColor="text1" w:themeTint="A6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4B0C46"/>
    <w:pPr>
      <w:keepNext/>
      <w:keepLines/>
      <w:spacing w:before="40"/>
      <w:outlineLvl w:val="6"/>
    </w:pPr>
    <w:rPr>
      <w:rFonts w:eastAsiaTheme="majorEastAsia" w:cstheme="majorBidi"/>
      <w:color w:val="595959" w:themeColor="text1" w:themeTint="A6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4B0C46"/>
    <w:pPr>
      <w:keepNext/>
      <w:keepLines/>
      <w:outlineLvl w:val="7"/>
    </w:pPr>
    <w:rPr>
      <w:rFonts w:eastAsiaTheme="majorEastAsia" w:cstheme="majorBidi"/>
      <w:i/>
      <w:iCs/>
      <w:color w:val="272727" w:themeColor="text1" w:themeTint="D8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4B0C46"/>
    <w:pPr>
      <w:keepNext/>
      <w:keepLines/>
      <w:outlineLvl w:val="8"/>
    </w:pPr>
    <w:rPr>
      <w:rFonts w:eastAsiaTheme="majorEastAsia" w:cstheme="majorBidi"/>
      <w:color w:val="272727" w:themeColor="text1" w:themeTint="D8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1Char">
    <w:name w:val="Heading 1 Char"/>
    <w:basedOn w:val="DefaultParagraphFont"/>
    <w:link w:val="Heading1"/>
    <w:uiPriority w:val="9"/>
    <w:rsid w:val="004B0C46"/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character" w:customStyle="1" w:styleId="Heading2Char">
    <w:name w:val="Heading 2 Char"/>
    <w:basedOn w:val="DefaultParagraphFont"/>
    <w:link w:val="Heading2"/>
    <w:uiPriority w:val="9"/>
    <w:semiHidden/>
    <w:rsid w:val="004B0C46"/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character" w:customStyle="1" w:styleId="Heading3Char">
    <w:name w:val="Heading 3 Char"/>
    <w:basedOn w:val="DefaultParagraphFont"/>
    <w:link w:val="Heading3"/>
    <w:uiPriority w:val="9"/>
    <w:semiHidden/>
    <w:rsid w:val="004B0C46"/>
    <w:rPr>
      <w:rFonts w:eastAsiaTheme="majorEastAsia" w:cstheme="majorBidi"/>
      <w:color w:val="0F4761" w:themeColor="accent1" w:themeShade="BF"/>
      <w:sz w:val="28"/>
      <w:szCs w:val="28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4B0C46"/>
    <w:rPr>
      <w:rFonts w:eastAsiaTheme="majorEastAsia" w:cstheme="majorBidi"/>
      <w:i/>
      <w:iCs/>
      <w:color w:val="0F4761" w:themeColor="accent1" w:themeShade="BF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4B0C46"/>
    <w:rPr>
      <w:rFonts w:eastAsiaTheme="majorEastAsia" w:cstheme="majorBidi"/>
      <w:color w:val="0F4761" w:themeColor="accent1" w:themeShade="B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4B0C46"/>
    <w:rPr>
      <w:rFonts w:eastAsiaTheme="majorEastAsia" w:cstheme="majorBidi"/>
      <w:i/>
      <w:iCs/>
      <w:color w:val="595959" w:themeColor="text1" w:themeTint="A6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4B0C46"/>
    <w:rPr>
      <w:rFonts w:eastAsiaTheme="majorEastAsia" w:cstheme="majorBidi"/>
      <w:color w:val="595959" w:themeColor="text1" w:themeTint="A6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4B0C46"/>
    <w:rPr>
      <w:rFonts w:eastAsiaTheme="majorEastAsia" w:cstheme="majorBidi"/>
      <w:i/>
      <w:iCs/>
      <w:color w:val="272727" w:themeColor="text1" w:themeTint="D8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4B0C46"/>
    <w:rPr>
      <w:rFonts w:eastAsiaTheme="majorEastAsia" w:cstheme="majorBidi"/>
      <w:color w:val="272727" w:themeColor="text1" w:themeTint="D8"/>
    </w:rPr>
  </w:style>
  <w:style w:type="paragraph" w:styleId="Title">
    <w:name w:val="Title"/>
    <w:basedOn w:val="Normal"/>
    <w:next w:val="Normal"/>
    <w:link w:val="TitleChar"/>
    <w:uiPriority w:val="10"/>
    <w:qFormat/>
    <w:rsid w:val="004B0C46"/>
    <w:pPr>
      <w:spacing w:after="80"/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character" w:customStyle="1" w:styleId="TitleChar">
    <w:name w:val="Title Char"/>
    <w:basedOn w:val="DefaultParagraphFont"/>
    <w:link w:val="Title"/>
    <w:uiPriority w:val="10"/>
    <w:rsid w:val="004B0C46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Subtitle">
    <w:name w:val="Subtitle"/>
    <w:basedOn w:val="Normal"/>
    <w:next w:val="Normal"/>
    <w:link w:val="SubtitleChar"/>
    <w:uiPriority w:val="11"/>
    <w:qFormat/>
    <w:rsid w:val="004B0C46"/>
    <w:pPr>
      <w:numPr>
        <w:ilvl w:val="1"/>
      </w:numPr>
    </w:pPr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character" w:customStyle="1" w:styleId="SubtitleChar">
    <w:name w:val="Subtitle Char"/>
    <w:basedOn w:val="DefaultParagraphFont"/>
    <w:link w:val="Subtitle"/>
    <w:uiPriority w:val="11"/>
    <w:rsid w:val="004B0C46"/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paragraph" w:styleId="Quote">
    <w:name w:val="Quote"/>
    <w:basedOn w:val="Normal"/>
    <w:next w:val="Normal"/>
    <w:link w:val="QuoteChar"/>
    <w:uiPriority w:val="29"/>
    <w:qFormat/>
    <w:rsid w:val="004B0C46"/>
    <w:pPr>
      <w:spacing w:before="160"/>
      <w:jc w:val="center"/>
    </w:pPr>
    <w:rPr>
      <w:i/>
      <w:iCs/>
      <w:color w:val="404040" w:themeColor="text1" w:themeTint="BF"/>
    </w:rPr>
  </w:style>
  <w:style w:type="character" w:customStyle="1" w:styleId="QuoteChar">
    <w:name w:val="Quote Char"/>
    <w:basedOn w:val="DefaultParagraphFont"/>
    <w:link w:val="Quote"/>
    <w:uiPriority w:val="29"/>
    <w:rsid w:val="004B0C46"/>
    <w:rPr>
      <w:i/>
      <w:iCs/>
      <w:color w:val="404040" w:themeColor="text1" w:themeTint="BF"/>
    </w:rPr>
  </w:style>
  <w:style w:type="paragraph" w:styleId="ListParagraph">
    <w:name w:val="List Paragraph"/>
    <w:basedOn w:val="Normal"/>
    <w:uiPriority w:val="34"/>
    <w:qFormat/>
    <w:rsid w:val="004B0C46"/>
    <w:pPr>
      <w:ind w:left="720"/>
      <w:contextualSpacing/>
    </w:pPr>
  </w:style>
  <w:style w:type="character" w:styleId="IntenseEmphasis">
    <w:name w:val="Intense Emphasis"/>
    <w:basedOn w:val="DefaultParagraphFont"/>
    <w:uiPriority w:val="21"/>
    <w:qFormat/>
    <w:rsid w:val="004B0C46"/>
    <w:rPr>
      <w:i/>
      <w:iCs/>
      <w:color w:val="0F4761" w:themeColor="accent1" w:themeShade="BF"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4B0C46"/>
    <w:pPr>
      <w:pBdr>
        <w:top w:val="single" w:sz="4" w:space="10" w:color="0F4761" w:themeColor="accent1" w:themeShade="BF"/>
        <w:bottom w:val="single" w:sz="4" w:space="10" w:color="0F4761" w:themeColor="accent1" w:themeShade="BF"/>
      </w:pBdr>
      <w:spacing w:before="360" w:after="360"/>
      <w:ind w:left="864" w:right="864"/>
      <w:jc w:val="center"/>
    </w:pPr>
    <w:rPr>
      <w:i/>
      <w:iCs/>
      <w:color w:val="0F4761" w:themeColor="accent1" w:themeShade="BF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4B0C46"/>
    <w:rPr>
      <w:i/>
      <w:iCs/>
      <w:color w:val="0F4761" w:themeColor="accent1" w:themeShade="BF"/>
    </w:rPr>
  </w:style>
  <w:style w:type="character" w:styleId="IntenseReference">
    <w:name w:val="Intense Reference"/>
    <w:basedOn w:val="DefaultParagraphFont"/>
    <w:uiPriority w:val="32"/>
    <w:qFormat/>
    <w:rsid w:val="004B0C46"/>
    <w:rPr>
      <w:b/>
      <w:bCs/>
      <w:smallCaps/>
      <w:color w:val="0F4761" w:themeColor="accent1" w:themeShade="BF"/>
      <w:spacing w:val="5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0E2841"/>
      </a:dk2>
      <a:lt2>
        <a:srgbClr val="E8E8E8"/>
      </a:lt2>
      <a:accent1>
        <a:srgbClr val="156082"/>
      </a:accent1>
      <a:accent2>
        <a:srgbClr val="E97132"/>
      </a:accent2>
      <a:accent3>
        <a:srgbClr val="196B24"/>
      </a:accent3>
      <a:accent4>
        <a:srgbClr val="0F9ED5"/>
      </a:accent4>
      <a:accent5>
        <a:srgbClr val="A02B93"/>
      </a:accent5>
      <a:accent6>
        <a:srgbClr val="4EA72E"/>
      </a:accent6>
      <a:hlink>
        <a:srgbClr val="467886"/>
      </a:hlink>
      <a:folHlink>
        <a:srgbClr val="96607D"/>
      </a:folHlink>
    </a:clrScheme>
    <a:fontScheme name="Office">
      <a:majorFont>
        <a:latin typeface="Aptos Display" panose="0211000402020202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Aptos" panose="0211000402020202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  <a:ln w="2540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  <a:extLst>
    <a:ext uri="{05A4C25C-085E-4340-85A3-A5531E510DB2}">
      <thm15:themeFamily xmlns:thm15="http://schemas.microsoft.com/office/thememl/2012/main" name="Office Theme" id="{2E142A2C-CD16-42D6-873A-C26D2A0506FA}" vid="{1BDDFF52-6CD6-40A5-AB3C-68EB2F1E4D0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5</Pages>
  <Words>1105</Words>
  <Characters>6478</Characters>
  <Application>Microsoft Office Word</Application>
  <DocSecurity>0</DocSecurity>
  <Lines>117</Lines>
  <Paragraphs>29</Paragraphs>
  <ScaleCrop>false</ScaleCrop>
  <Company/>
  <LinksUpToDate>false</LinksUpToDate>
  <CharactersWithSpaces>7554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Pradeep Gaikwad</dc:creator>
  <cp:keywords/>
  <dc:description/>
  <cp:lastModifiedBy>Pradeep Gaikwad</cp:lastModifiedBy>
  <cp:revision>1</cp:revision>
  <dcterms:created xsi:type="dcterms:W3CDTF">2026-01-09T05:30:00Z</dcterms:created>
  <dcterms:modified xsi:type="dcterms:W3CDTF">2026-01-09T05:31:00Z</dcterms:modified>
</cp:coreProperties>
</file>