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15C65E" w14:textId="77777777" w:rsidR="0074353D" w:rsidRPr="00D02796" w:rsidRDefault="0074353D" w:rsidP="0074353D">
      <w:pPr>
        <w:rPr>
          <w:sz w:val="21"/>
          <w:szCs w:val="21"/>
        </w:rPr>
      </w:pPr>
      <w:r w:rsidRPr="00DB1BFF">
        <w:rPr>
          <w:b/>
          <w:bCs/>
          <w:sz w:val="21"/>
          <w:szCs w:val="21"/>
        </w:rPr>
        <w:t>Supplementary Figure S1</w:t>
      </w:r>
      <w:r w:rsidRPr="00D02796">
        <w:rPr>
          <w:sz w:val="21"/>
          <w:szCs w:val="21"/>
        </w:rPr>
        <w:t>. Risk of bias assessment across 42 included studies.</w:t>
      </w:r>
    </w:p>
    <w:p w14:paraId="1267CA6F" w14:textId="77777777" w:rsidR="0074353D" w:rsidRPr="00D02796" w:rsidRDefault="0074353D" w:rsidP="0074353D">
      <w:pPr>
        <w:rPr>
          <w:sz w:val="21"/>
          <w:szCs w:val="21"/>
        </w:rPr>
      </w:pPr>
      <w:r w:rsidRPr="00D02796">
        <w:rPr>
          <w:rFonts w:hint="eastAsia"/>
          <w:sz w:val="21"/>
          <w:szCs w:val="21"/>
        </w:rPr>
        <w:t xml:space="preserve">Panel A shows the distribution of study quality ratings using the Newcastle-Ottawa Scale (NOS) for observational studies and the CHEERS 2022 checklist for health economic evaluations. Twenty-eight studies (67%) achieved high quality (NOS </w:t>
      </w:r>
      <w:r w:rsidRPr="00D02796">
        <w:rPr>
          <w:rFonts w:hint="eastAsia"/>
          <w:sz w:val="21"/>
          <w:szCs w:val="21"/>
        </w:rPr>
        <w:t>≥</w:t>
      </w:r>
      <w:r w:rsidRPr="00D02796">
        <w:rPr>
          <w:rFonts w:hint="eastAsia"/>
          <w:sz w:val="21"/>
          <w:szCs w:val="21"/>
        </w:rPr>
        <w:t>7 stars), 12 stud</w:t>
      </w:r>
      <w:r w:rsidRPr="00D02796">
        <w:rPr>
          <w:sz w:val="21"/>
          <w:szCs w:val="21"/>
        </w:rPr>
        <w:t>ies (28%) medium quality (NOS 4-6 stars), and 2 studies (5%) low quality (NOS &lt;4 stars). Panel B presents the risk of bias matrix displaying judgments across seven domains: selection of participants, comparability of groups, ascertainment of exposure/intervention, outcome assessment, adequacy of follow-up, selective reporting, and other biases. Green indicates low risk, yellow moderate risk, and red high risk of bias. The most common methodological limitations were inadequate control for confounding (35% of studies) and incomplete outcome data (24% of studies).</w:t>
      </w:r>
    </w:p>
    <w:p w14:paraId="1B3EAC0F" w14:textId="77777777" w:rsidR="0074353D" w:rsidRPr="007C1B52" w:rsidRDefault="0074353D" w:rsidP="0074353D">
      <w:pPr>
        <w:rPr>
          <w:sz w:val="21"/>
          <w:szCs w:val="21"/>
        </w:rPr>
      </w:pPr>
      <w:r w:rsidRPr="00DB1BFF">
        <w:rPr>
          <w:b/>
          <w:bCs/>
          <w:sz w:val="21"/>
          <w:szCs w:val="21"/>
        </w:rPr>
        <w:t>Supplementary Figure S2</w:t>
      </w:r>
      <w:r w:rsidRPr="007C1B52">
        <w:rPr>
          <w:sz w:val="21"/>
          <w:szCs w:val="21"/>
        </w:rPr>
        <w:t>. Forest plot of standardized mean difference in quality of life (PDQ-39 scores) between China and USA. The forest plot displays results from 8 studies comparing Parkinson's Disease Questionnaire-39 (PDQ-39) scores between Chinese and US patients in advanced disease stages. Each horizontal line represents one study, with the box size proportional to study weight and error bars indicating 95% confidence intervals. Positive values favor worse quality of life in Chinese patients. The pooled estimate (diamond) shows Chinese patients had significantly higher PDQ-39 scores (worse quality of life) with a mean difference of 17.6 points (95% CI: 14.2-21.0, p&lt;0.001), exceeding the minimal clinically important difference of 4.7 points. Substantial heterogeneity was observed (I²=78.3%, p&lt;0.001), prompting subgroup analyses by disease severity and urban-rural location.</w:t>
      </w:r>
    </w:p>
    <w:p w14:paraId="667B293A" w14:textId="77777777" w:rsidR="0074353D" w:rsidRPr="00791717" w:rsidRDefault="0074353D" w:rsidP="0074353D">
      <w:pPr>
        <w:rPr>
          <w:sz w:val="21"/>
          <w:szCs w:val="21"/>
        </w:rPr>
      </w:pPr>
      <w:r w:rsidRPr="004A0F5C">
        <w:rPr>
          <w:b/>
          <w:bCs/>
          <w:sz w:val="21"/>
          <w:szCs w:val="21"/>
        </w:rPr>
        <w:t>Supplementary Figure S3</w:t>
      </w:r>
      <w:r w:rsidRPr="00791717">
        <w:rPr>
          <w:sz w:val="21"/>
          <w:szCs w:val="21"/>
        </w:rPr>
        <w:t>. Forest plot of standardized mean difference in caregiver burden (Zarit Burden Interview scores) between China and USA.</w:t>
      </w:r>
    </w:p>
    <w:p w14:paraId="1DE98F4F" w14:textId="77777777" w:rsidR="0074353D" w:rsidRPr="00791717" w:rsidRDefault="0074353D" w:rsidP="0074353D">
      <w:pPr>
        <w:rPr>
          <w:sz w:val="21"/>
          <w:szCs w:val="21"/>
        </w:rPr>
      </w:pPr>
      <w:r w:rsidRPr="00791717">
        <w:rPr>
          <w:sz w:val="21"/>
          <w:szCs w:val="21"/>
        </w:rPr>
        <w:t>The forest plot presents meta-analysis of 6 studies comparing caregiver burden using the Zarit Burden Interview (ZBI) scale. Higher scores indicate greater caregiver burden. Chinese caregivers of advanced-stage PD patients experienced significantly higher burden (pooled mean difference: 10.2 points, 95% CI: 7.8-12.6, p&lt;0.001) compared to US caregivers. Moderate heterogeneity was detected (I²=68.4%, p=0.007). Sensitivity analysis excluding one outlier study (Zhong et al., 2020) reduced heterogeneity to I²=52.3% without changing the effect direction (mean difference: 9.8 points, 95% CI: 7.2-12.4). The difference exceeds the minimal clinically important difference of 4 points on the ZBI scale, indicating substantial clinical significance.</w:t>
      </w:r>
    </w:p>
    <w:p w14:paraId="1ACFEA88" w14:textId="77777777" w:rsidR="0074353D" w:rsidRPr="00354FCC" w:rsidRDefault="0074353D" w:rsidP="0074353D">
      <w:pPr>
        <w:rPr>
          <w:sz w:val="21"/>
          <w:szCs w:val="21"/>
        </w:rPr>
      </w:pPr>
      <w:r w:rsidRPr="004A0F5C">
        <w:rPr>
          <w:b/>
          <w:bCs/>
          <w:sz w:val="21"/>
          <w:szCs w:val="21"/>
        </w:rPr>
        <w:t>Supplementary Figure S4.</w:t>
      </w:r>
      <w:r w:rsidRPr="00354FCC">
        <w:rPr>
          <w:sz w:val="21"/>
          <w:szCs w:val="21"/>
        </w:rPr>
        <w:t xml:space="preserve"> Forest plot of odds ratio for rehabilitation service utilization comparing China and USA. The forest plot displays pooled odds ratios from 5 studies comparing rehabilitation service utilization rates between Chinese and US patients with advanced-stage Parkinson's disease. An odds ratio &lt;1.0 indicates lower utilization in China. The pooled estimate shows Chinese patients were 39% less likely to access rehabilitation services (OR=0.61, 95% CI: 0.48-0.78, p&lt;0.001) compared to US counterparts. Low to moderate heterogeneity was observed (I²=45.2%, p=0.12). The disparity persisted across different rehabilitation modalities including physical therapy, occupational therapy, and speech therapy, suggesting systemic barriers to rehabilitation access in China beyond individual therapy types.</w:t>
      </w:r>
    </w:p>
    <w:p w14:paraId="3353DB40" w14:textId="77777777" w:rsidR="0074353D" w:rsidRPr="004170AB" w:rsidRDefault="0074353D" w:rsidP="0074353D">
      <w:pPr>
        <w:rPr>
          <w:sz w:val="21"/>
          <w:szCs w:val="21"/>
        </w:rPr>
      </w:pPr>
      <w:r w:rsidRPr="004A0F5C">
        <w:rPr>
          <w:b/>
          <w:bCs/>
          <w:sz w:val="21"/>
          <w:szCs w:val="21"/>
        </w:rPr>
        <w:t>Supplementary Figure S6</w:t>
      </w:r>
      <w:r w:rsidRPr="004170AB">
        <w:rPr>
          <w:sz w:val="21"/>
          <w:szCs w:val="21"/>
        </w:rPr>
        <w:t>. Forest plot of deep brain stimulation (DBS) access rates comparing China and USA. The forest plot displays pooled DBS utilization rates from 3 studies among patients meeting clinical eligibility criteria for the procedure. US patients demonstrated significantly higher access (4.2%, 95% CI: 3.8-4.6%) compared to Chinese patients (0.8%, 95% CI: 0.6-1.0%), representing a 5.25-fold disparity (p&lt;0.001). Low heterogeneity was observed (I²=12.5%, p=0.32). The disparity was attributed primarily to economic factors: average out-of-pocket costs for DBS were $35,000 in China (representing 5 times the average annual household income) versus $8,000 in the US (covered predominantly by Medicare). Geographic concentration of specialized centers also contributed, with 39 DBS centers serving 1.4 billion people in China (1 center per 36 million) versus 400+ centers serving 330 million in the US (1 center per 800,000).</w:t>
      </w:r>
    </w:p>
    <w:p w14:paraId="23616B21" w14:textId="77777777" w:rsidR="0074353D" w:rsidRPr="00123615" w:rsidRDefault="0074353D" w:rsidP="0074353D">
      <w:pPr>
        <w:rPr>
          <w:sz w:val="21"/>
          <w:szCs w:val="21"/>
        </w:rPr>
      </w:pPr>
      <w:r w:rsidRPr="004A0F5C">
        <w:rPr>
          <w:b/>
          <w:bCs/>
          <w:sz w:val="21"/>
          <w:szCs w:val="21"/>
        </w:rPr>
        <w:t>Supplementary Figure S7.</w:t>
      </w:r>
      <w:r w:rsidRPr="00123615">
        <w:rPr>
          <w:sz w:val="21"/>
          <w:szCs w:val="21"/>
        </w:rPr>
        <w:t xml:space="preserve"> Comparison of economic burden and cost composition for end-of-life Parkinson's disease care between China and USA. Panel A illustrates the breakdown of total annual costs by category for advanced-stage PD patients. In China, medications accounted for 58% of costs ($4,756), hospital care 32% ($2,624), and other expenses 10% ($820), totaling $8,200 annually. In the US, medications comprised 38% ($1,368), insurance co-payments 45% ($1,620), and other expenses 17% ($612), totaling $3,600 annually. Panel B compares out-of-pocket burden as both absolute dollars and percentage of average annual household income. Chinese patients paid $4,756 out-of-pocket (58% of total costs), representing 42% of average household income of $11,333. US patients paid $432 out-of-pocket (12% of total costs), representing 4.5% of average household income of $80,000. The 9.3-fold difference in income-adjusted burden (42% vs. 4.5%) </w:t>
      </w:r>
      <w:r w:rsidRPr="00123615">
        <w:rPr>
          <w:sz w:val="21"/>
          <w:szCs w:val="21"/>
        </w:rPr>
        <w:lastRenderedPageBreak/>
        <w:t>highlights catastrophic healthcare expenditure in China, with costs exceeding the WHO threshold of 40% of household capacity to pay.</w:t>
      </w:r>
    </w:p>
    <w:p w14:paraId="7F064F6A" w14:textId="77777777" w:rsidR="0074353D" w:rsidRDefault="0074353D" w:rsidP="0074353D">
      <w:pPr>
        <w:rPr>
          <w:sz w:val="21"/>
          <w:szCs w:val="21"/>
        </w:rPr>
      </w:pPr>
      <w:r w:rsidRPr="00DB1BFF">
        <w:rPr>
          <w:rFonts w:hint="eastAsia"/>
          <w:b/>
          <w:bCs/>
          <w:sz w:val="21"/>
          <w:szCs w:val="21"/>
        </w:rPr>
        <w:t>S</w:t>
      </w:r>
      <w:r w:rsidRPr="00DB1BFF">
        <w:rPr>
          <w:b/>
          <w:bCs/>
          <w:sz w:val="21"/>
          <w:szCs w:val="21"/>
        </w:rPr>
        <w:t>upplementary Table S2.</w:t>
      </w:r>
      <w:r w:rsidRPr="005B1617">
        <w:rPr>
          <w:sz w:val="21"/>
          <w:szCs w:val="21"/>
        </w:rPr>
        <w:t xml:space="preserve"> Complete search strategies for six electronic databases. The table presents detailed Boolean search strings used in each database from inception to September 30, 2024. Strategies combined three concept groups: (1) disease terms (Parkinson's disease, Parkinsonism, PD), (2) care setting terms (end-of-life, palliative care, hospice, terminal care, advanced stage), and (3) geographic terms (China, United States, cross-national comparison). Database-specific syntax and controlled vocabulary (MeSH terms for PubMed, Emtree for Embase, subject headings for CNKI and Wanfang) were adapted accordingly. No language restrictions were applied. The search yielded 5,842 total records: PubMed (1,456), Embase (1,823), Scopus (1,289), Web of Science (678), CNKI (412), and Wanfang (184).</w:t>
      </w:r>
    </w:p>
    <w:p w14:paraId="50A2116B" w14:textId="77777777" w:rsidR="0074353D" w:rsidRPr="00991DE6" w:rsidRDefault="0074353D" w:rsidP="0074353D">
      <w:pPr>
        <w:rPr>
          <w:sz w:val="21"/>
          <w:szCs w:val="21"/>
        </w:rPr>
      </w:pPr>
      <w:r w:rsidRPr="00DB1BFF">
        <w:rPr>
          <w:b/>
          <w:bCs/>
          <w:sz w:val="21"/>
          <w:szCs w:val="21"/>
        </w:rPr>
        <w:t xml:space="preserve">Supplementary Table S3. </w:t>
      </w:r>
      <w:r w:rsidRPr="00991DE6">
        <w:rPr>
          <w:sz w:val="21"/>
          <w:szCs w:val="21"/>
        </w:rPr>
        <w:t xml:space="preserve">Full-text exclusion reasons with article citations (n=114). The table categorizes 114 articles excluded after full-text review into five primary reasons with specific citations. (1) Wrong population (n=38): studies focusing on early-stage PD, other movement disorders, or general elderly populations without specific PD diagnosis. (2) No China-US comparison (n=29): studies examining only one </w:t>
      </w:r>
      <w:proofErr w:type="gramStart"/>
      <w:r w:rsidRPr="00991DE6">
        <w:rPr>
          <w:sz w:val="21"/>
          <w:szCs w:val="21"/>
        </w:rPr>
        <w:t>country, or</w:t>
      </w:r>
      <w:proofErr w:type="gramEnd"/>
      <w:r w:rsidRPr="00991DE6">
        <w:rPr>
          <w:sz w:val="21"/>
          <w:szCs w:val="21"/>
        </w:rPr>
        <w:t xml:space="preserve"> comparing other country pairs. (3) No relevant outcomes (n=24): studies lacking end-of-life care outcomes, quality of life measures, healthcare utilization data, or economic evaluations. (4) Duplicate publications (n=12): secondary analyses, conference abstracts, or articles reporting identical data from the same cohort. (5) Insufficient data (n=11): articles with missing key statistics, unreported confidence intervals, or incomplete outcome measures preventing meta-analysis inclusion. Each exclusion is justified with the primary disqualifying criterion, acknowledging that some articles had multiple limitations.</w:t>
      </w:r>
    </w:p>
    <w:p w14:paraId="27474C67"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53D"/>
    <w:rsid w:val="00264C10"/>
    <w:rsid w:val="00470242"/>
    <w:rsid w:val="006D63A1"/>
    <w:rsid w:val="00726E03"/>
    <w:rsid w:val="0074353D"/>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DFF12"/>
  <w15:chartTrackingRefBased/>
  <w15:docId w15:val="{2C6A44F9-451B-46BC-97E0-58FA35A3E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53D"/>
    <w:pPr>
      <w:widowControl w:val="0"/>
      <w:spacing w:after="0" w:line="240" w:lineRule="auto"/>
    </w:pPr>
    <w:rPr>
      <w:rFonts w:ascii="Times New Roman" w:hAnsi="Times New Roman" w:cs="Times New Roman"/>
      <w:kern w:val="0"/>
      <w14:ligatures w14:val="none"/>
    </w:rPr>
  </w:style>
  <w:style w:type="paragraph" w:styleId="Heading1">
    <w:name w:val="heading 1"/>
    <w:basedOn w:val="Normal"/>
    <w:next w:val="Normal"/>
    <w:link w:val="Heading1Char"/>
    <w:uiPriority w:val="9"/>
    <w:qFormat/>
    <w:rsid w:val="0074353D"/>
    <w:pPr>
      <w:keepNext/>
      <w:keepLines/>
      <w:widowControl/>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4353D"/>
    <w:pPr>
      <w:keepNext/>
      <w:keepLines/>
      <w:widowControl/>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4353D"/>
    <w:pPr>
      <w:keepNext/>
      <w:keepLines/>
      <w:widowControl/>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4353D"/>
    <w:pPr>
      <w:keepNext/>
      <w:keepLines/>
      <w:widowControl/>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74353D"/>
    <w:pPr>
      <w:keepNext/>
      <w:keepLines/>
      <w:widowControl/>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74353D"/>
    <w:pPr>
      <w:keepNext/>
      <w:keepLines/>
      <w:widowControl/>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74353D"/>
    <w:pPr>
      <w:keepNext/>
      <w:keepLines/>
      <w:widowControl/>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74353D"/>
    <w:pPr>
      <w:keepNext/>
      <w:keepLines/>
      <w:widowControl/>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74353D"/>
    <w:pPr>
      <w:keepNext/>
      <w:keepLines/>
      <w:widowControl/>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35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35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35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35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35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35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35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35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353D"/>
    <w:rPr>
      <w:rFonts w:eastAsiaTheme="majorEastAsia" w:cstheme="majorBidi"/>
      <w:color w:val="272727" w:themeColor="text1" w:themeTint="D8"/>
    </w:rPr>
  </w:style>
  <w:style w:type="paragraph" w:styleId="Title">
    <w:name w:val="Title"/>
    <w:basedOn w:val="Normal"/>
    <w:next w:val="Normal"/>
    <w:link w:val="TitleChar"/>
    <w:uiPriority w:val="10"/>
    <w:qFormat/>
    <w:rsid w:val="0074353D"/>
    <w:pPr>
      <w:widowControl/>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435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353D"/>
    <w:pPr>
      <w:widowControl/>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435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353D"/>
    <w:pPr>
      <w:widowControl/>
      <w:spacing w:before="160" w:after="160" w:line="278" w:lineRule="auto"/>
      <w:jc w:val="center"/>
    </w:pPr>
    <w:rPr>
      <w:rFonts w:ascii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74353D"/>
    <w:rPr>
      <w:i/>
      <w:iCs/>
      <w:color w:val="404040" w:themeColor="text1" w:themeTint="BF"/>
    </w:rPr>
  </w:style>
  <w:style w:type="paragraph" w:styleId="ListParagraph">
    <w:name w:val="List Paragraph"/>
    <w:basedOn w:val="Normal"/>
    <w:uiPriority w:val="34"/>
    <w:qFormat/>
    <w:rsid w:val="0074353D"/>
    <w:pPr>
      <w:widowControl/>
      <w:spacing w:after="160" w:line="278" w:lineRule="auto"/>
      <w:ind w:left="720"/>
      <w:contextualSpacing/>
    </w:pPr>
    <w:rPr>
      <w:rFonts w:asciiTheme="minorHAnsi" w:hAnsiTheme="minorHAnsi" w:cstheme="minorBidi"/>
      <w:kern w:val="2"/>
      <w14:ligatures w14:val="standardContextual"/>
    </w:rPr>
  </w:style>
  <w:style w:type="character" w:styleId="IntenseEmphasis">
    <w:name w:val="Intense Emphasis"/>
    <w:basedOn w:val="DefaultParagraphFont"/>
    <w:uiPriority w:val="21"/>
    <w:qFormat/>
    <w:rsid w:val="0074353D"/>
    <w:rPr>
      <w:i/>
      <w:iCs/>
      <w:color w:val="0F4761" w:themeColor="accent1" w:themeShade="BF"/>
    </w:rPr>
  </w:style>
  <w:style w:type="paragraph" w:styleId="IntenseQuote">
    <w:name w:val="Intense Quote"/>
    <w:basedOn w:val="Normal"/>
    <w:next w:val="Normal"/>
    <w:link w:val="IntenseQuoteChar"/>
    <w:uiPriority w:val="30"/>
    <w:qFormat/>
    <w:rsid w:val="0074353D"/>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74353D"/>
    <w:rPr>
      <w:i/>
      <w:iCs/>
      <w:color w:val="0F4761" w:themeColor="accent1" w:themeShade="BF"/>
    </w:rPr>
  </w:style>
  <w:style w:type="character" w:styleId="IntenseReference">
    <w:name w:val="Intense Reference"/>
    <w:basedOn w:val="DefaultParagraphFont"/>
    <w:uiPriority w:val="32"/>
    <w:qFormat/>
    <w:rsid w:val="007435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1038</Words>
  <Characters>6326</Characters>
  <Application>Microsoft Office Word</Application>
  <DocSecurity>0</DocSecurity>
  <Lines>74</Lines>
  <Paragraphs>14</Paragraphs>
  <ScaleCrop>false</ScaleCrop>
  <Company/>
  <LinksUpToDate>false</LinksUpToDate>
  <CharactersWithSpaces>7350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2026-01-08T13:38:00Z</dcterms:created>
  <dcterms:modified xsi:type="dcterms:W3CDTF">2026-01-08T13:41:00Z</dcterms:modified>
</cp:coreProperties>
</file>