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DA517" w14:textId="77777777" w:rsidR="008E6198" w:rsidRPr="00462413" w:rsidRDefault="008E6198" w:rsidP="008E6198">
      <w:pPr>
        <w:spacing w:line="360" w:lineRule="auto"/>
        <w:rPr>
          <w:rFonts w:ascii="Times New Roman"/>
          <w:b/>
          <w:sz w:val="28"/>
        </w:rPr>
      </w:pPr>
      <w:r w:rsidRPr="00462413">
        <w:rPr>
          <w:rFonts w:ascii="Times New Roman"/>
          <w:b/>
          <w:sz w:val="28"/>
        </w:rPr>
        <w:t>Supplementary Material</w:t>
      </w:r>
    </w:p>
    <w:p w14:paraId="516349B5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</w:p>
    <w:p w14:paraId="690F833C" w14:textId="77777777" w:rsidR="008E6198" w:rsidRPr="00462413" w:rsidRDefault="008E6198" w:rsidP="008E6198">
      <w:pPr>
        <w:spacing w:line="360" w:lineRule="auto"/>
        <w:rPr>
          <w:rFonts w:ascii="Times New Roman" w:eastAsia="Arial"/>
          <w:b/>
          <w:sz w:val="24"/>
        </w:rPr>
      </w:pPr>
      <w:r w:rsidRPr="00462413">
        <w:rPr>
          <w:rFonts w:ascii="Times New Roman" w:eastAsia="Arial"/>
          <w:b/>
          <w:iCs/>
          <w:sz w:val="24"/>
        </w:rPr>
        <w:t>MEVALONATE KINASE</w:t>
      </w:r>
      <w:r w:rsidRPr="00462413">
        <w:rPr>
          <w:rFonts w:ascii="Times New Roman" w:eastAsia="Arial"/>
          <w:b/>
          <w:sz w:val="24"/>
        </w:rPr>
        <w:t xml:space="preserve"> represses anthocyanin </w:t>
      </w:r>
      <w:r w:rsidRPr="00462413">
        <w:rPr>
          <w:rFonts w:ascii="Times New Roman" w:eastAsia="Malgun Gothic"/>
          <w:b/>
          <w:sz w:val="24"/>
        </w:rPr>
        <w:t>bio</w:t>
      </w:r>
      <w:r w:rsidRPr="00462413">
        <w:rPr>
          <w:rFonts w:ascii="Times New Roman" w:eastAsia="Arial"/>
          <w:b/>
          <w:sz w:val="24"/>
        </w:rPr>
        <w:t xml:space="preserve">synthesis via sucrose transporters and gibberellin synthesis pathways in </w:t>
      </w:r>
      <w:r w:rsidRPr="00462413">
        <w:rPr>
          <w:rFonts w:ascii="Times New Roman" w:eastAsia="Arial"/>
          <w:b/>
          <w:iCs/>
          <w:sz w:val="24"/>
        </w:rPr>
        <w:t>Arabidopsis</w:t>
      </w:r>
    </w:p>
    <w:p w14:paraId="132A96E0" w14:textId="77777777" w:rsidR="008E6198" w:rsidRPr="00462413" w:rsidRDefault="008E6198" w:rsidP="008E6198">
      <w:pPr>
        <w:spacing w:line="360" w:lineRule="auto"/>
        <w:rPr>
          <w:rFonts w:ascii="Times New Roman" w:eastAsia="Arial"/>
          <w:sz w:val="24"/>
        </w:rPr>
      </w:pPr>
    </w:p>
    <w:p w14:paraId="63EACF70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  <w:proofErr w:type="spellStart"/>
      <w:r w:rsidRPr="00462413">
        <w:rPr>
          <w:rFonts w:ascii="Times New Roman" w:eastAsia="Arial"/>
          <w:sz w:val="24"/>
        </w:rPr>
        <w:t>Jinku</w:t>
      </w:r>
      <w:proofErr w:type="spellEnd"/>
      <w:r w:rsidRPr="00462413">
        <w:rPr>
          <w:rFonts w:ascii="Times New Roman" w:eastAsia="Arial"/>
          <w:sz w:val="24"/>
        </w:rPr>
        <w:t xml:space="preserve"> Kang, Sua Cho, </w:t>
      </w:r>
      <w:proofErr w:type="spellStart"/>
      <w:r w:rsidRPr="00462413">
        <w:rPr>
          <w:rFonts w:ascii="Times New Roman" w:eastAsia="Arial"/>
          <w:sz w:val="24"/>
        </w:rPr>
        <w:t>Kiyoon</w:t>
      </w:r>
      <w:proofErr w:type="spellEnd"/>
      <w:r w:rsidRPr="00462413">
        <w:rPr>
          <w:rFonts w:ascii="Times New Roman" w:eastAsia="Arial"/>
          <w:sz w:val="24"/>
        </w:rPr>
        <w:t xml:space="preserve"> Kang, Daewon Kim, Sang</w:t>
      </w:r>
      <w:r w:rsidRPr="00462413">
        <w:rPr>
          <w:rFonts w:ascii="Times New Roman"/>
          <w:sz w:val="24"/>
        </w:rPr>
        <w:t>-Il</w:t>
      </w:r>
      <w:r w:rsidRPr="00462413">
        <w:rPr>
          <w:rFonts w:ascii="Times New Roman" w:eastAsia="Arial"/>
          <w:sz w:val="24"/>
        </w:rPr>
        <w:t xml:space="preserve"> Bae, Eunji Shin, So-Yon Park, Gary Stacey, Nam-Chon Paek, and Sung-Hwan Cho</w:t>
      </w:r>
    </w:p>
    <w:p w14:paraId="4224E124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</w:p>
    <w:p w14:paraId="1BDDF9AC" w14:textId="77777777" w:rsidR="008E6198" w:rsidRDefault="008E6198" w:rsidP="008E6198">
      <w:pPr>
        <w:spacing w:line="360" w:lineRule="auto"/>
        <w:rPr>
          <w:rFonts w:ascii="Times New Roman"/>
          <w:sz w:val="24"/>
        </w:rPr>
      </w:pPr>
    </w:p>
    <w:p w14:paraId="2DBFFBED" w14:textId="77777777" w:rsidR="008E6198" w:rsidRDefault="008E6198" w:rsidP="008E6198">
      <w:pPr>
        <w:spacing w:line="360" w:lineRule="auto"/>
        <w:rPr>
          <w:rFonts w:ascii="Times New Roman"/>
          <w:sz w:val="24"/>
        </w:rPr>
      </w:pPr>
    </w:p>
    <w:p w14:paraId="39306EAB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</w:p>
    <w:p w14:paraId="1212591C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</w:p>
    <w:p w14:paraId="64F1497B" w14:textId="77777777" w:rsidR="008E6198" w:rsidRPr="00462413" w:rsidRDefault="008E6198" w:rsidP="008E6198">
      <w:pPr>
        <w:spacing w:line="360" w:lineRule="auto"/>
        <w:jc w:val="center"/>
        <w:rPr>
          <w:rFonts w:ascii="Times New Roman"/>
          <w:sz w:val="24"/>
        </w:rPr>
      </w:pPr>
      <w:r w:rsidRPr="00462413">
        <w:rPr>
          <w:rFonts w:ascii="Times New Roman"/>
          <w:noProof/>
          <w:sz w:val="24"/>
        </w:rPr>
        <w:drawing>
          <wp:inline distT="0" distB="0" distL="0" distR="0" wp14:anchorId="66E364EE" wp14:editId="06760476">
            <wp:extent cx="5708253" cy="1813560"/>
            <wp:effectExtent l="0" t="0" r="6985" b="0"/>
            <wp:docPr id="2131099093" name="그림 1" descr="A diagram of a pla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099093" name="그림 1" descr="A diagram of a pla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0" cy="1820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CEA5F" w14:textId="77777777" w:rsidR="008E6198" w:rsidRPr="00462413" w:rsidRDefault="008E6198" w:rsidP="008E6198">
      <w:pPr>
        <w:spacing w:line="360" w:lineRule="auto"/>
        <w:jc w:val="center"/>
        <w:rPr>
          <w:rFonts w:ascii="Times New Roman"/>
          <w:sz w:val="24"/>
        </w:rPr>
      </w:pPr>
    </w:p>
    <w:p w14:paraId="79D80D8F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  <w:r w:rsidRPr="00462413">
        <w:rPr>
          <w:rFonts w:ascii="Times New Roman"/>
          <w:b/>
          <w:bCs/>
          <w:sz w:val="24"/>
        </w:rPr>
        <w:t>Supplementary Fig</w:t>
      </w:r>
      <w:r w:rsidRPr="00462413">
        <w:rPr>
          <w:rFonts w:ascii="Times New Roman" w:hint="eastAsia"/>
          <w:b/>
          <w:bCs/>
          <w:sz w:val="24"/>
        </w:rPr>
        <w:t>.</w:t>
      </w:r>
      <w:r w:rsidRPr="00462413">
        <w:rPr>
          <w:rFonts w:ascii="Times New Roman"/>
          <w:b/>
          <w:bCs/>
          <w:sz w:val="24"/>
        </w:rPr>
        <w:t xml:space="preserve"> S1 </w:t>
      </w:r>
      <w:r w:rsidRPr="00462413">
        <w:rPr>
          <w:rFonts w:ascii="Times New Roman"/>
          <w:bCs/>
          <w:sz w:val="24"/>
        </w:rPr>
        <w:t>MVK is involved in sucrose-induced anthocyanin biosynthesis.</w:t>
      </w:r>
    </w:p>
    <w:p w14:paraId="708D18FD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  <w:r w:rsidRPr="00462413">
        <w:rPr>
          <w:rFonts w:ascii="Times New Roman"/>
          <w:sz w:val="24"/>
        </w:rPr>
        <w:t xml:space="preserve">The </w:t>
      </w:r>
      <w:r w:rsidRPr="00462413">
        <w:rPr>
          <w:rFonts w:ascii="Times New Roman"/>
          <w:i/>
          <w:iCs/>
          <w:sz w:val="24"/>
        </w:rPr>
        <w:t>mvk-1</w:t>
      </w:r>
      <w:r w:rsidRPr="00462413">
        <w:rPr>
          <w:rFonts w:ascii="Times New Roman"/>
          <w:sz w:val="24"/>
        </w:rPr>
        <w:t xml:space="preserve"> mutants accumulate more anthocyanins in response to exogenous sucrose. 10-day-old seedlings of WT and </w:t>
      </w:r>
      <w:r w:rsidRPr="00462413">
        <w:rPr>
          <w:rFonts w:ascii="Times New Roman"/>
          <w:i/>
          <w:iCs/>
          <w:sz w:val="24"/>
        </w:rPr>
        <w:t xml:space="preserve">mvk-1 </w:t>
      </w:r>
      <w:r w:rsidRPr="00462413">
        <w:rPr>
          <w:rFonts w:ascii="Times New Roman"/>
          <w:sz w:val="24"/>
        </w:rPr>
        <w:t xml:space="preserve">mutants grown in half strength Murashige and Skoog (MS) medium were treated with or without 5% (v/w) exogenous sucrose for 3 days. Scale bar represents 1 mm. </w:t>
      </w:r>
      <w:proofErr w:type="gramStart"/>
      <w:r w:rsidRPr="00462413">
        <w:rPr>
          <w:rFonts w:ascii="Times New Roman"/>
          <w:sz w:val="24"/>
        </w:rPr>
        <w:t>Red</w:t>
      </w:r>
      <w:proofErr w:type="gramEnd"/>
      <w:r w:rsidRPr="00462413">
        <w:rPr>
          <w:rFonts w:ascii="Times New Roman"/>
          <w:sz w:val="24"/>
        </w:rPr>
        <w:t xml:space="preserve"> boxes and arrows indicate representative samples of WT (left panel), and the </w:t>
      </w:r>
      <w:r w:rsidRPr="00462413">
        <w:rPr>
          <w:rFonts w:ascii="Times New Roman"/>
          <w:i/>
          <w:iCs/>
          <w:sz w:val="24"/>
        </w:rPr>
        <w:t>mvk-1</w:t>
      </w:r>
      <w:r w:rsidRPr="00462413">
        <w:rPr>
          <w:rFonts w:ascii="Times New Roman"/>
          <w:sz w:val="24"/>
        </w:rPr>
        <w:t xml:space="preserve"> mutant (right panel).</w:t>
      </w:r>
    </w:p>
    <w:p w14:paraId="70048D6E" w14:textId="77777777" w:rsidR="008E6198" w:rsidRPr="00462413" w:rsidRDefault="008E6198" w:rsidP="008E6198">
      <w:pPr>
        <w:spacing w:after="160" w:line="360" w:lineRule="auto"/>
        <w:rPr>
          <w:rFonts w:ascii="Times New Roman"/>
          <w:sz w:val="24"/>
        </w:rPr>
      </w:pPr>
      <w:r w:rsidRPr="00462413">
        <w:rPr>
          <w:rFonts w:ascii="Times New Roman"/>
          <w:sz w:val="24"/>
        </w:rPr>
        <w:br w:type="page"/>
      </w:r>
    </w:p>
    <w:p w14:paraId="79B2A7F9" w14:textId="77777777" w:rsidR="008E6198" w:rsidRPr="00462413" w:rsidRDefault="008E6198" w:rsidP="008E6198">
      <w:pPr>
        <w:spacing w:line="360" w:lineRule="auto"/>
        <w:jc w:val="center"/>
        <w:rPr>
          <w:rFonts w:ascii="Times New Roman"/>
          <w:sz w:val="24"/>
        </w:rPr>
      </w:pPr>
      <w:r w:rsidRPr="00462413">
        <w:rPr>
          <w:rFonts w:ascii="Times New Roman"/>
          <w:noProof/>
          <w:sz w:val="24"/>
        </w:rPr>
        <w:lastRenderedPageBreak/>
        <w:drawing>
          <wp:inline distT="0" distB="0" distL="0" distR="0" wp14:anchorId="759F543E" wp14:editId="28AE4FBC">
            <wp:extent cx="5725160" cy="2305685"/>
            <wp:effectExtent l="0" t="0" r="8890" b="0"/>
            <wp:docPr id="1335445922" name="그림 6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445922" name="그림 6" descr="A close-up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2F4C4" w14:textId="77777777" w:rsidR="008E6198" w:rsidRPr="00462413" w:rsidRDefault="008E6198" w:rsidP="008E6198">
      <w:pPr>
        <w:spacing w:line="360" w:lineRule="auto"/>
        <w:jc w:val="center"/>
        <w:rPr>
          <w:rFonts w:ascii="Times New Roman"/>
          <w:sz w:val="24"/>
        </w:rPr>
      </w:pPr>
    </w:p>
    <w:p w14:paraId="7ED4E009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  <w:r w:rsidRPr="00462413">
        <w:rPr>
          <w:rFonts w:ascii="Times New Roman"/>
          <w:b/>
          <w:bCs/>
          <w:sz w:val="24"/>
        </w:rPr>
        <w:t>Supplementary Fig</w:t>
      </w:r>
      <w:r w:rsidRPr="00462413">
        <w:rPr>
          <w:rFonts w:ascii="Times New Roman" w:hint="eastAsia"/>
          <w:b/>
          <w:bCs/>
          <w:sz w:val="24"/>
        </w:rPr>
        <w:t>.</w:t>
      </w:r>
      <w:r w:rsidRPr="00462413">
        <w:rPr>
          <w:rFonts w:ascii="Times New Roman"/>
          <w:b/>
          <w:bCs/>
          <w:sz w:val="24"/>
        </w:rPr>
        <w:t xml:space="preserve"> S2 </w:t>
      </w:r>
      <w:r w:rsidRPr="00462413">
        <w:rPr>
          <w:rFonts w:ascii="Times New Roman"/>
          <w:bCs/>
          <w:sz w:val="24"/>
        </w:rPr>
        <w:t xml:space="preserve">Gene editing information of </w:t>
      </w:r>
      <w:r w:rsidRPr="00462413">
        <w:rPr>
          <w:rFonts w:ascii="Times New Roman"/>
          <w:bCs/>
          <w:i/>
          <w:iCs/>
          <w:sz w:val="24"/>
        </w:rPr>
        <w:t>suc1-5</w:t>
      </w:r>
      <w:r w:rsidRPr="00462413">
        <w:rPr>
          <w:rFonts w:ascii="Times New Roman"/>
          <w:bCs/>
          <w:sz w:val="24"/>
        </w:rPr>
        <w:t xml:space="preserve"> and </w:t>
      </w:r>
      <w:r w:rsidRPr="00462413">
        <w:rPr>
          <w:rFonts w:ascii="Times New Roman"/>
          <w:bCs/>
          <w:i/>
          <w:iCs/>
          <w:sz w:val="24"/>
        </w:rPr>
        <w:t xml:space="preserve">mvk-1 suc1-5 </w:t>
      </w:r>
      <w:r w:rsidRPr="00462413">
        <w:rPr>
          <w:rFonts w:ascii="Times New Roman"/>
          <w:bCs/>
          <w:sz w:val="24"/>
        </w:rPr>
        <w:t>mutants</w:t>
      </w:r>
      <w:r w:rsidRPr="00462413">
        <w:rPr>
          <w:rFonts w:ascii="Times New Roman"/>
          <w:b/>
          <w:bCs/>
          <w:sz w:val="24"/>
        </w:rPr>
        <w:t>.</w:t>
      </w:r>
    </w:p>
    <w:p w14:paraId="47A3BB7F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  <w:proofErr w:type="spellStart"/>
      <w:r w:rsidRPr="00462413">
        <w:rPr>
          <w:rFonts w:ascii="Times New Roman" w:hint="eastAsia"/>
          <w:b/>
          <w:bCs/>
          <w:sz w:val="24"/>
        </w:rPr>
        <w:t>a</w:t>
      </w:r>
      <w:proofErr w:type="spellEnd"/>
      <w:r w:rsidRPr="00462413">
        <w:rPr>
          <w:rFonts w:ascii="Times New Roman"/>
          <w:sz w:val="24"/>
        </w:rPr>
        <w:t xml:space="preserve"> </w:t>
      </w:r>
      <w:proofErr w:type="gramStart"/>
      <w:r w:rsidRPr="00462413">
        <w:rPr>
          <w:rFonts w:ascii="Times New Roman"/>
          <w:sz w:val="24"/>
        </w:rPr>
        <w:t>The</w:t>
      </w:r>
      <w:proofErr w:type="gramEnd"/>
      <w:r w:rsidRPr="00462413">
        <w:rPr>
          <w:rFonts w:ascii="Times New Roman"/>
          <w:sz w:val="24"/>
        </w:rPr>
        <w:t xml:space="preserve"> schematic diagram indicates the position of the CRISPR/Cas9 cleavage site, which includes the target sequence and PAM, in </w:t>
      </w:r>
      <w:r w:rsidRPr="00462413">
        <w:rPr>
          <w:rFonts w:ascii="Times New Roman"/>
          <w:i/>
          <w:iCs/>
          <w:sz w:val="24"/>
        </w:rPr>
        <w:t>SUC1</w:t>
      </w:r>
      <w:r w:rsidRPr="00462413">
        <w:rPr>
          <w:rFonts w:ascii="Times New Roman"/>
          <w:sz w:val="24"/>
        </w:rPr>
        <w:t xml:space="preserve"> gene (AT1G71880). Black and white boxes represent exons and untranslated regions, respectively. Black lines represent introns. The nucleotides of the CRISPR/Cas9 edited site are compared below the diagram in WT,</w:t>
      </w:r>
      <w:r w:rsidRPr="00462413">
        <w:rPr>
          <w:rFonts w:ascii="Times New Roman"/>
          <w:i/>
          <w:iCs/>
          <w:sz w:val="24"/>
        </w:rPr>
        <w:t xml:space="preserve"> suc1-5</w:t>
      </w:r>
      <w:r w:rsidRPr="00462413">
        <w:rPr>
          <w:rFonts w:ascii="Times New Roman"/>
          <w:sz w:val="24"/>
        </w:rPr>
        <w:t>,</w:t>
      </w:r>
      <w:r w:rsidRPr="00462413">
        <w:rPr>
          <w:rFonts w:ascii="Times New Roman"/>
          <w:i/>
          <w:iCs/>
          <w:sz w:val="24"/>
        </w:rPr>
        <w:t xml:space="preserve"> mvk-1 suc1-5 </w:t>
      </w:r>
      <w:r w:rsidRPr="00462413">
        <w:rPr>
          <w:rFonts w:ascii="Times New Roman"/>
          <w:sz w:val="24"/>
        </w:rPr>
        <w:t>mutants. The insertion of a single adenosine nucleotide (lined-red alphabet) leads to the introduction of a premature stop codon.</w:t>
      </w:r>
    </w:p>
    <w:p w14:paraId="6F5CC549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  <w:r w:rsidRPr="00462413">
        <w:rPr>
          <w:rFonts w:ascii="Times New Roman" w:hint="eastAsia"/>
          <w:b/>
          <w:bCs/>
          <w:sz w:val="24"/>
        </w:rPr>
        <w:t>b</w:t>
      </w:r>
      <w:r w:rsidRPr="00462413">
        <w:rPr>
          <w:rFonts w:ascii="Times New Roman"/>
          <w:sz w:val="24"/>
        </w:rPr>
        <w:t xml:space="preserve"> Sanger sequencing results showing a 1-bp insertion in the genomic DNA of </w:t>
      </w:r>
      <w:r w:rsidRPr="00462413">
        <w:rPr>
          <w:rFonts w:ascii="Times New Roman"/>
          <w:i/>
          <w:iCs/>
          <w:sz w:val="24"/>
        </w:rPr>
        <w:t>suc1-5</w:t>
      </w:r>
      <w:r w:rsidRPr="00462413">
        <w:rPr>
          <w:rFonts w:ascii="Times New Roman"/>
          <w:sz w:val="24"/>
        </w:rPr>
        <w:t xml:space="preserve"> compared to WT. The horizontal red lines indicate the PAM sequence, and the red box indicates the predicted double-strand break site.</w:t>
      </w:r>
    </w:p>
    <w:p w14:paraId="55096CAB" w14:textId="77777777" w:rsidR="008E6198" w:rsidRPr="00462413" w:rsidRDefault="008E6198" w:rsidP="008E6198">
      <w:pPr>
        <w:spacing w:after="160" w:line="360" w:lineRule="auto"/>
        <w:rPr>
          <w:rFonts w:ascii="Times New Roman"/>
          <w:sz w:val="24"/>
        </w:rPr>
      </w:pPr>
      <w:r w:rsidRPr="00462413">
        <w:rPr>
          <w:rFonts w:ascii="Times New Roman"/>
          <w:sz w:val="24"/>
        </w:rPr>
        <w:br w:type="page"/>
      </w:r>
    </w:p>
    <w:p w14:paraId="659AAC5E" w14:textId="77777777" w:rsidR="008E6198" w:rsidRPr="00462413" w:rsidRDefault="008E6198" w:rsidP="008E6198">
      <w:pPr>
        <w:spacing w:line="360" w:lineRule="auto"/>
        <w:jc w:val="center"/>
        <w:rPr>
          <w:rFonts w:ascii="Times New Roman"/>
          <w:sz w:val="24"/>
        </w:rPr>
      </w:pPr>
      <w:r w:rsidRPr="00462413">
        <w:rPr>
          <w:rFonts w:ascii="Times New Roman"/>
          <w:noProof/>
          <w:sz w:val="24"/>
        </w:rPr>
        <w:lastRenderedPageBreak/>
        <w:drawing>
          <wp:inline distT="0" distB="0" distL="0" distR="0" wp14:anchorId="66F3378E" wp14:editId="4235B098">
            <wp:extent cx="5727480" cy="3215640"/>
            <wp:effectExtent l="0" t="0" r="6985" b="3810"/>
            <wp:docPr id="431444699" name="그림 3" descr="A comparison of a plant growt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444699" name="그림 3" descr="A comparison of a plant growt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286" cy="3232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38097" w14:textId="77777777" w:rsidR="008E6198" w:rsidRPr="00462413" w:rsidRDefault="008E6198" w:rsidP="008E6198">
      <w:pPr>
        <w:spacing w:line="360" w:lineRule="auto"/>
        <w:jc w:val="center"/>
        <w:rPr>
          <w:rFonts w:ascii="Times New Roman"/>
          <w:sz w:val="24"/>
        </w:rPr>
      </w:pPr>
    </w:p>
    <w:p w14:paraId="41F91705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  <w:r w:rsidRPr="00462413">
        <w:rPr>
          <w:rFonts w:ascii="Times New Roman"/>
          <w:b/>
          <w:bCs/>
          <w:sz w:val="24"/>
        </w:rPr>
        <w:t>Supplementary Fig</w:t>
      </w:r>
      <w:r w:rsidRPr="00462413">
        <w:rPr>
          <w:rFonts w:ascii="Times New Roman" w:hint="eastAsia"/>
          <w:b/>
          <w:bCs/>
          <w:sz w:val="24"/>
        </w:rPr>
        <w:t>.</w:t>
      </w:r>
      <w:r w:rsidRPr="00462413">
        <w:rPr>
          <w:rFonts w:ascii="Times New Roman"/>
          <w:b/>
          <w:bCs/>
          <w:sz w:val="24"/>
        </w:rPr>
        <w:t xml:space="preserve"> S3 </w:t>
      </w:r>
      <w:r w:rsidRPr="00462413">
        <w:rPr>
          <w:rFonts w:ascii="Times New Roman"/>
          <w:bCs/>
          <w:sz w:val="24"/>
        </w:rPr>
        <w:t xml:space="preserve">Phenotype of WT, </w:t>
      </w:r>
      <w:r w:rsidRPr="00462413">
        <w:rPr>
          <w:rFonts w:ascii="Times New Roman"/>
          <w:bCs/>
          <w:i/>
          <w:iCs/>
          <w:sz w:val="24"/>
        </w:rPr>
        <w:t xml:space="preserve">mvk-1, suc1-5, </w:t>
      </w:r>
      <w:r w:rsidRPr="00462413">
        <w:rPr>
          <w:rFonts w:ascii="Times New Roman"/>
          <w:bCs/>
          <w:sz w:val="24"/>
        </w:rPr>
        <w:t>and</w:t>
      </w:r>
      <w:r w:rsidRPr="00462413">
        <w:rPr>
          <w:rFonts w:ascii="Times New Roman"/>
          <w:bCs/>
          <w:i/>
          <w:iCs/>
          <w:sz w:val="24"/>
        </w:rPr>
        <w:t xml:space="preserve"> mvk-1 suc1-5</w:t>
      </w:r>
      <w:r w:rsidRPr="00462413">
        <w:rPr>
          <w:rFonts w:ascii="Times New Roman"/>
          <w:bCs/>
          <w:sz w:val="24"/>
        </w:rPr>
        <w:t xml:space="preserve"> mutants with or without sucrose treatment.</w:t>
      </w:r>
    </w:p>
    <w:p w14:paraId="0BF4DF87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  <w:r w:rsidRPr="00462413">
        <w:rPr>
          <w:rFonts w:ascii="Times New Roman"/>
          <w:sz w:val="24"/>
        </w:rPr>
        <w:t xml:space="preserve">10-day-old seedlings of WT, </w:t>
      </w:r>
      <w:r w:rsidRPr="00462413">
        <w:rPr>
          <w:rFonts w:ascii="Times New Roman"/>
          <w:i/>
          <w:iCs/>
          <w:sz w:val="24"/>
        </w:rPr>
        <w:t>mvk-1, suc1-5, and mvk-1 suc1-5</w:t>
      </w:r>
      <w:r w:rsidRPr="00462413">
        <w:rPr>
          <w:rFonts w:ascii="Times New Roman"/>
          <w:sz w:val="24"/>
        </w:rPr>
        <w:t xml:space="preserve"> grown in half strength Murashige and Skoog (MS) medium were treated with or without 3% (v/w) exogenous sucrose for 3 days. Scale bar represents 0.5 cm.</w:t>
      </w:r>
    </w:p>
    <w:p w14:paraId="4C30072C" w14:textId="77777777" w:rsidR="008E6198" w:rsidRPr="00462413" w:rsidRDefault="008E6198" w:rsidP="008E6198">
      <w:pPr>
        <w:spacing w:after="160" w:line="360" w:lineRule="auto"/>
        <w:rPr>
          <w:rFonts w:ascii="Times New Roman"/>
          <w:sz w:val="24"/>
        </w:rPr>
      </w:pPr>
      <w:r w:rsidRPr="00462413">
        <w:rPr>
          <w:rFonts w:ascii="Times New Roman"/>
          <w:sz w:val="24"/>
        </w:rPr>
        <w:br w:type="page"/>
      </w:r>
    </w:p>
    <w:p w14:paraId="6990079C" w14:textId="77777777" w:rsidR="008E6198" w:rsidRPr="00462413" w:rsidRDefault="008E6198" w:rsidP="008E6198">
      <w:pPr>
        <w:spacing w:line="360" w:lineRule="auto"/>
        <w:jc w:val="center"/>
        <w:rPr>
          <w:rFonts w:ascii="Times New Roman"/>
          <w:sz w:val="24"/>
        </w:rPr>
      </w:pPr>
      <w:r w:rsidRPr="00462413">
        <w:rPr>
          <w:rFonts w:ascii="Times New Roman"/>
          <w:noProof/>
          <w:sz w:val="24"/>
        </w:rPr>
        <w:lastRenderedPageBreak/>
        <w:drawing>
          <wp:inline distT="0" distB="0" distL="0" distR="0" wp14:anchorId="79781F89" wp14:editId="7895DF8E">
            <wp:extent cx="5721386" cy="2392680"/>
            <wp:effectExtent l="0" t="0" r="0" b="7620"/>
            <wp:docPr id="876750355" name="그림 8" descr="A comparison of a number of sucrose and sucro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750355" name="그림 8" descr="A comparison of a number of sucrose and sucros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833" cy="240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0E9B3" w14:textId="77777777" w:rsidR="008E6198" w:rsidRPr="00462413" w:rsidRDefault="008E6198" w:rsidP="008E6198">
      <w:pPr>
        <w:spacing w:line="360" w:lineRule="auto"/>
        <w:jc w:val="center"/>
        <w:rPr>
          <w:rFonts w:ascii="Times New Roman"/>
          <w:sz w:val="24"/>
        </w:rPr>
      </w:pPr>
    </w:p>
    <w:p w14:paraId="4D9265CC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  <w:r w:rsidRPr="00462413">
        <w:rPr>
          <w:rFonts w:ascii="Times New Roman"/>
          <w:b/>
          <w:bCs/>
          <w:sz w:val="24"/>
        </w:rPr>
        <w:t>Supplementary Fig</w:t>
      </w:r>
      <w:r w:rsidRPr="00462413">
        <w:rPr>
          <w:rFonts w:ascii="Times New Roman" w:hint="eastAsia"/>
          <w:b/>
          <w:bCs/>
          <w:sz w:val="24"/>
        </w:rPr>
        <w:t>.</w:t>
      </w:r>
      <w:r w:rsidRPr="00462413">
        <w:rPr>
          <w:rFonts w:ascii="Times New Roman"/>
          <w:b/>
          <w:bCs/>
          <w:sz w:val="24"/>
        </w:rPr>
        <w:t xml:space="preserve"> S</w:t>
      </w:r>
      <w:r w:rsidRPr="00462413">
        <w:rPr>
          <w:rFonts w:ascii="Times New Roman" w:hint="eastAsia"/>
          <w:b/>
          <w:bCs/>
          <w:sz w:val="24"/>
        </w:rPr>
        <w:t>4</w:t>
      </w:r>
      <w:r w:rsidRPr="00462413">
        <w:rPr>
          <w:rFonts w:ascii="Times New Roman"/>
          <w:b/>
          <w:bCs/>
          <w:sz w:val="24"/>
        </w:rPr>
        <w:t xml:space="preserve"> </w:t>
      </w:r>
      <w:r w:rsidRPr="00462413">
        <w:rPr>
          <w:rFonts w:ascii="Times New Roman"/>
          <w:bCs/>
          <w:sz w:val="24"/>
        </w:rPr>
        <w:t xml:space="preserve">The relative expression levels of GA biosynthesis genes in WT and </w:t>
      </w:r>
      <w:r w:rsidRPr="00462413">
        <w:rPr>
          <w:rFonts w:ascii="Times New Roman"/>
          <w:bCs/>
          <w:i/>
          <w:iCs/>
          <w:sz w:val="24"/>
        </w:rPr>
        <w:t xml:space="preserve">mvk-1 </w:t>
      </w:r>
      <w:r w:rsidRPr="00462413">
        <w:rPr>
          <w:rFonts w:ascii="Times New Roman"/>
          <w:bCs/>
          <w:sz w:val="24"/>
        </w:rPr>
        <w:t>seedlings.</w:t>
      </w:r>
    </w:p>
    <w:p w14:paraId="045820EC" w14:textId="77777777" w:rsidR="008E6198" w:rsidRPr="00462413" w:rsidRDefault="008E6198" w:rsidP="008E6198">
      <w:pPr>
        <w:spacing w:line="360" w:lineRule="auto"/>
        <w:rPr>
          <w:rFonts w:ascii="Times New Roman"/>
          <w:sz w:val="24"/>
        </w:rPr>
      </w:pPr>
      <w:r w:rsidRPr="00462413">
        <w:rPr>
          <w:rFonts w:ascii="Times New Roman"/>
          <w:sz w:val="24"/>
        </w:rPr>
        <w:t>The relative expression levels of (</w:t>
      </w:r>
      <w:r w:rsidRPr="00462413">
        <w:rPr>
          <w:rFonts w:ascii="Times New Roman" w:hint="eastAsia"/>
          <w:b/>
          <w:bCs/>
          <w:sz w:val="24"/>
        </w:rPr>
        <w:t>a</w:t>
      </w:r>
      <w:r w:rsidRPr="00462413">
        <w:rPr>
          <w:rFonts w:ascii="Times New Roman"/>
          <w:sz w:val="24"/>
        </w:rPr>
        <w:t xml:space="preserve">) </w:t>
      </w:r>
      <w:r w:rsidRPr="00462413">
        <w:rPr>
          <w:rFonts w:ascii="Times New Roman"/>
          <w:i/>
          <w:iCs/>
          <w:sz w:val="24"/>
        </w:rPr>
        <w:t xml:space="preserve">GA3ox1, </w:t>
      </w:r>
      <w:r w:rsidRPr="00462413">
        <w:rPr>
          <w:rFonts w:ascii="Times New Roman"/>
          <w:sz w:val="24"/>
        </w:rPr>
        <w:t>and</w:t>
      </w:r>
      <w:r w:rsidRPr="00462413">
        <w:rPr>
          <w:rFonts w:ascii="Times New Roman"/>
          <w:i/>
          <w:iCs/>
          <w:sz w:val="24"/>
        </w:rPr>
        <w:t xml:space="preserve"> </w:t>
      </w:r>
      <w:r w:rsidRPr="00462413">
        <w:rPr>
          <w:rFonts w:ascii="Times New Roman"/>
          <w:sz w:val="24"/>
        </w:rPr>
        <w:t>(</w:t>
      </w:r>
      <w:r w:rsidRPr="00462413">
        <w:rPr>
          <w:rFonts w:ascii="Times New Roman" w:hint="eastAsia"/>
          <w:b/>
          <w:bCs/>
          <w:sz w:val="24"/>
        </w:rPr>
        <w:t>b</w:t>
      </w:r>
      <w:r w:rsidRPr="00462413">
        <w:rPr>
          <w:rFonts w:ascii="Times New Roman"/>
          <w:sz w:val="24"/>
        </w:rPr>
        <w:t>)</w:t>
      </w:r>
      <w:r w:rsidRPr="00462413">
        <w:rPr>
          <w:rFonts w:ascii="Times New Roman"/>
          <w:b/>
          <w:bCs/>
          <w:sz w:val="24"/>
        </w:rPr>
        <w:t xml:space="preserve"> </w:t>
      </w:r>
      <w:r w:rsidRPr="00462413">
        <w:rPr>
          <w:rFonts w:ascii="Times New Roman"/>
          <w:i/>
          <w:iCs/>
          <w:sz w:val="24"/>
        </w:rPr>
        <w:t xml:space="preserve">GA20ox1 </w:t>
      </w:r>
      <w:r w:rsidRPr="00462413">
        <w:rPr>
          <w:rFonts w:ascii="Times New Roman"/>
          <w:sz w:val="24"/>
        </w:rPr>
        <w:t xml:space="preserve">in WT, </w:t>
      </w:r>
      <w:r w:rsidRPr="00462413">
        <w:rPr>
          <w:rFonts w:ascii="Times New Roman"/>
          <w:i/>
          <w:iCs/>
          <w:sz w:val="24"/>
        </w:rPr>
        <w:t>mvk-1, suc1-5</w:t>
      </w:r>
      <w:r w:rsidRPr="00462413">
        <w:rPr>
          <w:rFonts w:ascii="Times New Roman"/>
          <w:sz w:val="24"/>
        </w:rPr>
        <w:t xml:space="preserve">, and </w:t>
      </w:r>
      <w:r w:rsidRPr="00462413">
        <w:rPr>
          <w:rFonts w:ascii="Times New Roman"/>
          <w:i/>
          <w:iCs/>
          <w:sz w:val="24"/>
        </w:rPr>
        <w:t xml:space="preserve">mvk-1 suc1-5 </w:t>
      </w:r>
      <w:r w:rsidRPr="00462413">
        <w:rPr>
          <w:rFonts w:ascii="Times New Roman"/>
          <w:sz w:val="24"/>
        </w:rPr>
        <w:t xml:space="preserve">whole seedlings. 10-day-old seedlings grown in half-strength MS medium were treated with or without 3% (v/w) exogenous sucrose for 3 days. The white, blue, red, and green bars represent WT, </w:t>
      </w:r>
      <w:r w:rsidRPr="00462413">
        <w:rPr>
          <w:rFonts w:ascii="Times New Roman"/>
          <w:i/>
          <w:iCs/>
          <w:sz w:val="24"/>
        </w:rPr>
        <w:t>mvk-1</w:t>
      </w:r>
      <w:r w:rsidRPr="00462413">
        <w:rPr>
          <w:rFonts w:ascii="Times New Roman"/>
          <w:sz w:val="24"/>
        </w:rPr>
        <w:t xml:space="preserve">, </w:t>
      </w:r>
      <w:r w:rsidRPr="00462413">
        <w:rPr>
          <w:rFonts w:ascii="Times New Roman"/>
          <w:i/>
          <w:iCs/>
          <w:sz w:val="24"/>
        </w:rPr>
        <w:t>suc1-5</w:t>
      </w:r>
      <w:r w:rsidRPr="00462413">
        <w:rPr>
          <w:rFonts w:ascii="Times New Roman"/>
          <w:sz w:val="24"/>
        </w:rPr>
        <w:t xml:space="preserve">, and </w:t>
      </w:r>
      <w:r w:rsidRPr="00462413">
        <w:rPr>
          <w:rFonts w:ascii="Times New Roman"/>
          <w:i/>
          <w:iCs/>
          <w:sz w:val="24"/>
        </w:rPr>
        <w:t>mvk-1 suc1-5</w:t>
      </w:r>
      <w:r w:rsidRPr="00462413">
        <w:rPr>
          <w:rFonts w:ascii="Times New Roman"/>
          <w:sz w:val="24"/>
        </w:rPr>
        <w:t xml:space="preserve">, normalized to the </w:t>
      </w:r>
      <w:r w:rsidRPr="00462413">
        <w:rPr>
          <w:rFonts w:ascii="Times New Roman"/>
          <w:i/>
          <w:iCs/>
          <w:sz w:val="24"/>
        </w:rPr>
        <w:t>UBQ5</w:t>
      </w:r>
      <w:r w:rsidRPr="00462413">
        <w:rPr>
          <w:rFonts w:ascii="Times New Roman"/>
          <w:sz w:val="24"/>
        </w:rPr>
        <w:t xml:space="preserve"> reference gene. The mean and SD were obtained from four biological replicates. Different letters indicate significantly different values according to a one-way ANOVA followed by Duncan’s least significant range test (</w:t>
      </w:r>
      <w:r w:rsidRPr="00462413">
        <w:rPr>
          <w:rFonts w:ascii="Times New Roman"/>
          <w:i/>
          <w:iCs/>
          <w:sz w:val="24"/>
        </w:rPr>
        <w:t>P&lt;0.05</w:t>
      </w:r>
      <w:r w:rsidRPr="00462413">
        <w:rPr>
          <w:rFonts w:ascii="Times New Roman"/>
          <w:sz w:val="24"/>
        </w:rPr>
        <w:t>).</w:t>
      </w:r>
    </w:p>
    <w:p w14:paraId="43F3C118" w14:textId="77777777" w:rsidR="008E6198" w:rsidRPr="00462413" w:rsidRDefault="008E6198" w:rsidP="008E6198">
      <w:pPr>
        <w:spacing w:after="160"/>
        <w:rPr>
          <w:rFonts w:ascii="Times New Roman"/>
          <w:b/>
          <w:caps/>
          <w:sz w:val="24"/>
        </w:rPr>
      </w:pPr>
      <w:r w:rsidRPr="00462413">
        <w:rPr>
          <w:rFonts w:ascii="Times New Roman"/>
          <w:b/>
          <w:caps/>
          <w:sz w:val="24"/>
        </w:rPr>
        <w:br w:type="page"/>
      </w:r>
    </w:p>
    <w:p w14:paraId="79439ADE" w14:textId="77777777" w:rsidR="008E6198" w:rsidRPr="00462413" w:rsidRDefault="008E6198" w:rsidP="008E6198">
      <w:pPr>
        <w:spacing w:line="360" w:lineRule="auto"/>
        <w:rPr>
          <w:rFonts w:ascii="Times New Roman" w:eastAsia="HYSinMyeongJo-Medium"/>
          <w:sz w:val="24"/>
        </w:rPr>
      </w:pPr>
      <w:r w:rsidRPr="00462413">
        <w:rPr>
          <w:rFonts w:ascii="Times New Roman"/>
          <w:sz w:val="24"/>
        </w:rPr>
        <w:lastRenderedPageBreak/>
        <w:t>Supplementary Table 1. Primer information in this study.</w:t>
      </w:r>
    </w:p>
    <w:tbl>
      <w:tblPr>
        <w:tblStyle w:val="TableGrid"/>
        <w:tblpPr w:leftFromText="142" w:rightFromText="142" w:vertAnchor="page" w:horzAnchor="margin" w:tblpY="1972"/>
        <w:tblW w:w="903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733"/>
        <w:gridCol w:w="3661"/>
        <w:gridCol w:w="3642"/>
      </w:tblGrid>
      <w:tr w:rsidR="008E6198" w:rsidRPr="00462413" w14:paraId="5F164CB7" w14:textId="77777777" w:rsidTr="00242426">
        <w:trPr>
          <w:trHeight w:val="385"/>
        </w:trPr>
        <w:tc>
          <w:tcPr>
            <w:tcW w:w="9036" w:type="dxa"/>
            <w:gridSpan w:val="3"/>
            <w:vAlign w:val="center"/>
          </w:tcPr>
          <w:p w14:paraId="31993F18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b/>
                <w:bCs/>
                <w:sz w:val="24"/>
              </w:rPr>
            </w:pPr>
            <w:r w:rsidRPr="00462413">
              <w:rPr>
                <w:rFonts w:ascii="Times New Roman" w:eastAsia="HYSinMyeongJo-Medium"/>
                <w:b/>
                <w:bCs/>
                <w:sz w:val="24"/>
              </w:rPr>
              <w:t>A. Primers used for plant transformation</w:t>
            </w:r>
          </w:p>
        </w:tc>
      </w:tr>
      <w:tr w:rsidR="008E6198" w:rsidRPr="00462413" w14:paraId="113C4BC7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7589EFE1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Primer name</w:t>
            </w:r>
          </w:p>
        </w:tc>
        <w:tc>
          <w:tcPr>
            <w:tcW w:w="3661" w:type="dxa"/>
            <w:vAlign w:val="center"/>
          </w:tcPr>
          <w:p w14:paraId="47C47E0E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Forward primer (5’→3’)</w:t>
            </w:r>
          </w:p>
        </w:tc>
        <w:tc>
          <w:tcPr>
            <w:tcW w:w="3642" w:type="dxa"/>
            <w:vAlign w:val="center"/>
          </w:tcPr>
          <w:p w14:paraId="5824A78A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Reverse primer (5’→3’)</w:t>
            </w:r>
          </w:p>
        </w:tc>
      </w:tr>
      <w:tr w:rsidR="008E6198" w:rsidRPr="00462413" w14:paraId="3092921F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5133C152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pRGEB32-SUC1</w:t>
            </w:r>
          </w:p>
        </w:tc>
        <w:tc>
          <w:tcPr>
            <w:tcW w:w="3661" w:type="dxa"/>
            <w:vAlign w:val="center"/>
          </w:tcPr>
          <w:p w14:paraId="498C5130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TAGGTCTCCCTGCTCCGGTGCGTTTTAGAGCTAGAA</w:t>
            </w:r>
          </w:p>
        </w:tc>
        <w:tc>
          <w:tcPr>
            <w:tcW w:w="3642" w:type="dxa"/>
            <w:vAlign w:val="center"/>
          </w:tcPr>
          <w:p w14:paraId="27137595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ATGGTCTCAGCAGCTTGAGAATGCACCAGCCGGGAA</w:t>
            </w:r>
          </w:p>
        </w:tc>
      </w:tr>
      <w:tr w:rsidR="008E6198" w:rsidRPr="00462413" w14:paraId="4F4FC5B0" w14:textId="77777777" w:rsidTr="00242426">
        <w:trPr>
          <w:trHeight w:val="385"/>
        </w:trPr>
        <w:tc>
          <w:tcPr>
            <w:tcW w:w="9036" w:type="dxa"/>
            <w:gridSpan w:val="3"/>
            <w:vAlign w:val="center"/>
          </w:tcPr>
          <w:p w14:paraId="01FC838F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b/>
                <w:bCs/>
                <w:sz w:val="24"/>
              </w:rPr>
            </w:pPr>
            <w:r w:rsidRPr="00462413">
              <w:rPr>
                <w:rFonts w:ascii="Times New Roman" w:eastAsia="HYSinMyeongJo-Medium"/>
                <w:b/>
                <w:bCs/>
                <w:sz w:val="24"/>
              </w:rPr>
              <w:t>B. Primers used for RT-qPCR</w:t>
            </w:r>
          </w:p>
        </w:tc>
      </w:tr>
      <w:tr w:rsidR="008E6198" w:rsidRPr="00462413" w14:paraId="43639F6F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425FC862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Primer name</w:t>
            </w:r>
          </w:p>
        </w:tc>
        <w:tc>
          <w:tcPr>
            <w:tcW w:w="3661" w:type="dxa"/>
            <w:vAlign w:val="center"/>
          </w:tcPr>
          <w:p w14:paraId="6F97211B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Forward primer (5’→3’)</w:t>
            </w:r>
          </w:p>
        </w:tc>
        <w:tc>
          <w:tcPr>
            <w:tcW w:w="3642" w:type="dxa"/>
            <w:vAlign w:val="center"/>
          </w:tcPr>
          <w:p w14:paraId="13DDE9EB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Reverse primer (5’→3’)</w:t>
            </w:r>
          </w:p>
        </w:tc>
      </w:tr>
      <w:tr w:rsidR="008E6198" w:rsidRPr="00462413" w14:paraId="55CC0A9C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5FE82E9A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proofErr w:type="spellStart"/>
            <w:r w:rsidRPr="00462413">
              <w:rPr>
                <w:rFonts w:ascii="Times New Roman" w:eastAsia="HYSinMyeongJo-Medium"/>
                <w:sz w:val="24"/>
              </w:rPr>
              <w:t>qRT</w:t>
            </w:r>
            <w:proofErr w:type="spellEnd"/>
            <w:r w:rsidRPr="00462413">
              <w:rPr>
                <w:rFonts w:ascii="Times New Roman" w:eastAsia="HYSinMyeongJo-Medium"/>
                <w:sz w:val="24"/>
              </w:rPr>
              <w:t>-CHS</w:t>
            </w:r>
          </w:p>
        </w:tc>
        <w:tc>
          <w:tcPr>
            <w:tcW w:w="3661" w:type="dxa"/>
            <w:vAlign w:val="center"/>
          </w:tcPr>
          <w:p w14:paraId="6950BC82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GGCAAAGAAGCGGCAGTGAAG</w:t>
            </w:r>
          </w:p>
        </w:tc>
        <w:tc>
          <w:tcPr>
            <w:tcW w:w="3642" w:type="dxa"/>
            <w:vAlign w:val="center"/>
          </w:tcPr>
          <w:p w14:paraId="595CBD03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CGGAAGGACGGAGACCAAGAAG</w:t>
            </w:r>
          </w:p>
        </w:tc>
      </w:tr>
      <w:tr w:rsidR="008E6198" w:rsidRPr="00462413" w14:paraId="65F309D8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0FBFD971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proofErr w:type="spellStart"/>
            <w:r w:rsidRPr="00462413">
              <w:rPr>
                <w:rFonts w:ascii="Times New Roman" w:eastAsia="HYSinMyeongJo-Medium"/>
                <w:sz w:val="24"/>
              </w:rPr>
              <w:t>qRT</w:t>
            </w:r>
            <w:proofErr w:type="spellEnd"/>
            <w:r w:rsidRPr="00462413">
              <w:rPr>
                <w:rFonts w:ascii="Times New Roman" w:eastAsia="HYSinMyeongJo-Medium"/>
                <w:sz w:val="24"/>
              </w:rPr>
              <w:t>-CHI</w:t>
            </w:r>
          </w:p>
        </w:tc>
        <w:tc>
          <w:tcPr>
            <w:tcW w:w="3661" w:type="dxa"/>
            <w:vAlign w:val="center"/>
          </w:tcPr>
          <w:p w14:paraId="4E058490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CCGGTTCATCGATCCTCTTC</w:t>
            </w:r>
          </w:p>
        </w:tc>
        <w:tc>
          <w:tcPr>
            <w:tcW w:w="3642" w:type="dxa"/>
            <w:vAlign w:val="center"/>
          </w:tcPr>
          <w:p w14:paraId="44BB7136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ATCCCGGTTTCAGGGATACTATC</w:t>
            </w:r>
          </w:p>
        </w:tc>
      </w:tr>
      <w:tr w:rsidR="008E6198" w:rsidRPr="00462413" w14:paraId="10B6FF4F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37CD8C85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qRT-F3H</w:t>
            </w:r>
          </w:p>
        </w:tc>
        <w:tc>
          <w:tcPr>
            <w:tcW w:w="3661" w:type="dxa"/>
            <w:vAlign w:val="center"/>
          </w:tcPr>
          <w:p w14:paraId="6394971E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CAGATCGTTGAGGCTTGTGAGA</w:t>
            </w:r>
          </w:p>
        </w:tc>
        <w:tc>
          <w:tcPr>
            <w:tcW w:w="3642" w:type="dxa"/>
            <w:vAlign w:val="center"/>
          </w:tcPr>
          <w:p w14:paraId="56763AB4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GACGAGTCATATCCGCCACTAAGT</w:t>
            </w:r>
          </w:p>
        </w:tc>
      </w:tr>
      <w:tr w:rsidR="008E6198" w:rsidRPr="00462413" w14:paraId="2B64F547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576D2D19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qRT-F3’H</w:t>
            </w:r>
          </w:p>
        </w:tc>
        <w:tc>
          <w:tcPr>
            <w:tcW w:w="3661" w:type="dxa"/>
            <w:vAlign w:val="center"/>
          </w:tcPr>
          <w:p w14:paraId="12680927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GCTCTCGCCGGAGTATTCAA</w:t>
            </w:r>
          </w:p>
        </w:tc>
        <w:tc>
          <w:tcPr>
            <w:tcW w:w="3642" w:type="dxa"/>
            <w:vAlign w:val="center"/>
          </w:tcPr>
          <w:p w14:paraId="3C33D451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CCAGCGACGCCTTGTAAATC</w:t>
            </w:r>
          </w:p>
        </w:tc>
      </w:tr>
      <w:tr w:rsidR="008E6198" w:rsidRPr="00462413" w14:paraId="3746182D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5B227411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proofErr w:type="spellStart"/>
            <w:r w:rsidRPr="00462413">
              <w:rPr>
                <w:rFonts w:ascii="Times New Roman" w:eastAsia="HYSinMyeongJo-Medium"/>
                <w:sz w:val="24"/>
              </w:rPr>
              <w:t>qRT</w:t>
            </w:r>
            <w:proofErr w:type="spellEnd"/>
            <w:r w:rsidRPr="00462413">
              <w:rPr>
                <w:rFonts w:ascii="Times New Roman" w:eastAsia="HYSinMyeongJo-Medium"/>
                <w:sz w:val="24"/>
              </w:rPr>
              <w:t>-DFR</w:t>
            </w:r>
          </w:p>
        </w:tc>
        <w:tc>
          <w:tcPr>
            <w:tcW w:w="3661" w:type="dxa"/>
            <w:vAlign w:val="center"/>
          </w:tcPr>
          <w:p w14:paraId="53CB90C2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CTTTGTTCGTGCCACCGTTCG</w:t>
            </w:r>
          </w:p>
        </w:tc>
        <w:tc>
          <w:tcPr>
            <w:tcW w:w="3642" w:type="dxa"/>
            <w:vAlign w:val="center"/>
          </w:tcPr>
          <w:p w14:paraId="437D417C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TCCTTCCTCAGATAAATCAGCCTTCC</w:t>
            </w:r>
          </w:p>
        </w:tc>
      </w:tr>
      <w:tr w:rsidR="008E6198" w:rsidRPr="00462413" w14:paraId="64365089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171A3FEE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proofErr w:type="spellStart"/>
            <w:r w:rsidRPr="00462413">
              <w:rPr>
                <w:rFonts w:ascii="Times New Roman" w:eastAsia="HYSinMyeongJo-Medium"/>
                <w:sz w:val="24"/>
              </w:rPr>
              <w:t>qRT</w:t>
            </w:r>
            <w:proofErr w:type="spellEnd"/>
            <w:r w:rsidRPr="00462413">
              <w:rPr>
                <w:rFonts w:ascii="Times New Roman" w:eastAsia="HYSinMyeongJo-Medium"/>
                <w:sz w:val="24"/>
              </w:rPr>
              <w:t>-LDOX</w:t>
            </w:r>
          </w:p>
        </w:tc>
        <w:tc>
          <w:tcPr>
            <w:tcW w:w="3661" w:type="dxa"/>
            <w:vAlign w:val="center"/>
          </w:tcPr>
          <w:p w14:paraId="65134F2C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TATCAATTTGGCCTAAGACACCAAG</w:t>
            </w:r>
          </w:p>
        </w:tc>
        <w:tc>
          <w:tcPr>
            <w:tcW w:w="3642" w:type="dxa"/>
            <w:vAlign w:val="center"/>
          </w:tcPr>
          <w:p w14:paraId="30D1304A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ACCAACTTCTTTCTCTAGACGGTCA</w:t>
            </w:r>
          </w:p>
        </w:tc>
      </w:tr>
      <w:tr w:rsidR="008E6198" w:rsidRPr="00462413" w14:paraId="058DFD09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12BC86D1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qRT-UF3GT</w:t>
            </w:r>
          </w:p>
        </w:tc>
        <w:tc>
          <w:tcPr>
            <w:tcW w:w="3661" w:type="dxa"/>
            <w:vAlign w:val="center"/>
          </w:tcPr>
          <w:p w14:paraId="658CBABE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ATCGAATGAATCGTCAAGCATGAG</w:t>
            </w:r>
          </w:p>
        </w:tc>
        <w:tc>
          <w:tcPr>
            <w:tcW w:w="3642" w:type="dxa"/>
            <w:vAlign w:val="center"/>
          </w:tcPr>
          <w:p w14:paraId="62E4FB6A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TGAGGGATAGAGATGGTGTGGAAAG</w:t>
            </w:r>
          </w:p>
        </w:tc>
      </w:tr>
      <w:tr w:rsidR="008E6198" w:rsidRPr="00462413" w14:paraId="4EC8CC71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3330E87C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qRT-MYB75</w:t>
            </w:r>
          </w:p>
        </w:tc>
        <w:tc>
          <w:tcPr>
            <w:tcW w:w="3661" w:type="dxa"/>
            <w:vAlign w:val="center"/>
          </w:tcPr>
          <w:p w14:paraId="7653A8F2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AGATAAGAAGAAAGACCAACTAGTG</w:t>
            </w:r>
          </w:p>
        </w:tc>
        <w:tc>
          <w:tcPr>
            <w:tcW w:w="3642" w:type="dxa"/>
            <w:vAlign w:val="center"/>
          </w:tcPr>
          <w:p w14:paraId="02854C32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CCAAGGTGTCCCCCTTTTC</w:t>
            </w:r>
          </w:p>
        </w:tc>
      </w:tr>
      <w:tr w:rsidR="008E6198" w:rsidRPr="00462413" w14:paraId="77E4B41D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0857E053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qRT-SUC1</w:t>
            </w:r>
          </w:p>
        </w:tc>
        <w:tc>
          <w:tcPr>
            <w:tcW w:w="3661" w:type="dxa"/>
            <w:vAlign w:val="center"/>
          </w:tcPr>
          <w:p w14:paraId="2E458F65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TATTCTCAAGCTGCTCCGGT</w:t>
            </w:r>
          </w:p>
        </w:tc>
        <w:tc>
          <w:tcPr>
            <w:tcW w:w="3642" w:type="dxa"/>
            <w:vAlign w:val="center"/>
          </w:tcPr>
          <w:p w14:paraId="3D9AD4DB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TTGCTGCAACGATAAACGCC</w:t>
            </w:r>
          </w:p>
        </w:tc>
      </w:tr>
      <w:tr w:rsidR="008E6198" w:rsidRPr="00462413" w14:paraId="4434F51C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1BDEC595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qRT-SUC2</w:t>
            </w:r>
          </w:p>
        </w:tc>
        <w:tc>
          <w:tcPr>
            <w:tcW w:w="3661" w:type="dxa"/>
            <w:vAlign w:val="center"/>
          </w:tcPr>
          <w:p w14:paraId="4C4EA125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GCAGACGGGTGAGTTAGA</w:t>
            </w:r>
          </w:p>
        </w:tc>
        <w:tc>
          <w:tcPr>
            <w:tcW w:w="3642" w:type="dxa"/>
            <w:vAlign w:val="center"/>
          </w:tcPr>
          <w:p w14:paraId="7F88F53C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GGAGATTGGACCACAGAG</w:t>
            </w:r>
          </w:p>
        </w:tc>
      </w:tr>
      <w:tr w:rsidR="008E6198" w:rsidRPr="00462413" w14:paraId="1A8EC132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3EAC05D1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qRT-SUC3</w:t>
            </w:r>
          </w:p>
        </w:tc>
        <w:tc>
          <w:tcPr>
            <w:tcW w:w="3661" w:type="dxa"/>
            <w:vAlign w:val="center"/>
          </w:tcPr>
          <w:p w14:paraId="68680A2D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CGGTGGCGGTCAAGGTTTGGC</w:t>
            </w:r>
          </w:p>
        </w:tc>
        <w:tc>
          <w:tcPr>
            <w:tcW w:w="3642" w:type="dxa"/>
            <w:vAlign w:val="center"/>
          </w:tcPr>
          <w:p w14:paraId="7A5B45B9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AGCAGCGAAAGCAGCAACAGACG</w:t>
            </w:r>
          </w:p>
        </w:tc>
      </w:tr>
      <w:tr w:rsidR="008E6198" w:rsidRPr="00462413" w14:paraId="6CB612C6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71965FB9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qRT-SUC4</w:t>
            </w:r>
          </w:p>
        </w:tc>
        <w:tc>
          <w:tcPr>
            <w:tcW w:w="3661" w:type="dxa"/>
            <w:vAlign w:val="center"/>
          </w:tcPr>
          <w:p w14:paraId="30E31DC4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CTCTACGCCACGACGACT</w:t>
            </w:r>
          </w:p>
        </w:tc>
        <w:tc>
          <w:tcPr>
            <w:tcW w:w="3642" w:type="dxa"/>
            <w:vAlign w:val="center"/>
          </w:tcPr>
          <w:p w14:paraId="13F9AEDD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ACAACGGGACGAGATGAA</w:t>
            </w:r>
          </w:p>
        </w:tc>
      </w:tr>
      <w:tr w:rsidR="008E6198" w:rsidRPr="00462413" w14:paraId="7C922F07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1FFB2281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qRT-SWEET11</w:t>
            </w:r>
          </w:p>
        </w:tc>
        <w:tc>
          <w:tcPr>
            <w:tcW w:w="3661" w:type="dxa"/>
            <w:vAlign w:val="center"/>
          </w:tcPr>
          <w:p w14:paraId="006769FC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TCCTTCTCCTAACAACTTATATACCATG</w:t>
            </w:r>
          </w:p>
        </w:tc>
        <w:tc>
          <w:tcPr>
            <w:tcW w:w="3642" w:type="dxa"/>
            <w:vAlign w:val="center"/>
          </w:tcPr>
          <w:p w14:paraId="1A59A817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TCCTATAGAACGTTGGCACAGGA</w:t>
            </w:r>
          </w:p>
        </w:tc>
      </w:tr>
      <w:tr w:rsidR="008E6198" w:rsidRPr="00462413" w14:paraId="0D8AF9BE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0F23225A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qRT-SWEET12</w:t>
            </w:r>
          </w:p>
        </w:tc>
        <w:tc>
          <w:tcPr>
            <w:tcW w:w="3661" w:type="dxa"/>
            <w:vAlign w:val="center"/>
          </w:tcPr>
          <w:p w14:paraId="51E997A8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AAAGCTGATATCTTTCTTACTACTTCGAA</w:t>
            </w:r>
          </w:p>
        </w:tc>
        <w:tc>
          <w:tcPr>
            <w:tcW w:w="3642" w:type="dxa"/>
            <w:vAlign w:val="center"/>
          </w:tcPr>
          <w:p w14:paraId="096BF462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CTTACAAATCCTATAGAACGTTGGCAC</w:t>
            </w:r>
          </w:p>
        </w:tc>
      </w:tr>
      <w:tr w:rsidR="008E6198" w:rsidRPr="00462413" w14:paraId="4F586258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279BB2F6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qRT-SWEET13</w:t>
            </w:r>
          </w:p>
        </w:tc>
        <w:tc>
          <w:tcPr>
            <w:tcW w:w="3661" w:type="dxa"/>
            <w:vAlign w:val="center"/>
          </w:tcPr>
          <w:p w14:paraId="1B2D3F0B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CGCGTTCTTAGGAGCTGTTC</w:t>
            </w:r>
          </w:p>
        </w:tc>
        <w:tc>
          <w:tcPr>
            <w:tcW w:w="3642" w:type="dxa"/>
            <w:vAlign w:val="center"/>
          </w:tcPr>
          <w:p w14:paraId="31D83AE6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CCGGGTATGACGGTCGTTAG</w:t>
            </w:r>
          </w:p>
        </w:tc>
      </w:tr>
      <w:tr w:rsidR="008E6198" w:rsidRPr="00462413" w14:paraId="31CF5024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0CC1AD2D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qRT-SWEET14</w:t>
            </w:r>
          </w:p>
        </w:tc>
        <w:tc>
          <w:tcPr>
            <w:tcW w:w="3661" w:type="dxa"/>
            <w:vAlign w:val="center"/>
          </w:tcPr>
          <w:p w14:paraId="7D1D5DB4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AAACGCTGTGGGATGCTTCA</w:t>
            </w:r>
          </w:p>
        </w:tc>
        <w:tc>
          <w:tcPr>
            <w:tcW w:w="3642" w:type="dxa"/>
            <w:vAlign w:val="center"/>
          </w:tcPr>
          <w:p w14:paraId="6AA0B1BB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TTCAAGAGCCCAAGAACCTTCA</w:t>
            </w:r>
          </w:p>
        </w:tc>
      </w:tr>
      <w:tr w:rsidR="008E6198" w:rsidRPr="00462413" w14:paraId="69CB7C75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79423C8E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qRT-GA3ox1</w:t>
            </w:r>
          </w:p>
        </w:tc>
        <w:tc>
          <w:tcPr>
            <w:tcW w:w="3661" w:type="dxa"/>
            <w:vAlign w:val="center"/>
          </w:tcPr>
          <w:p w14:paraId="7D1A1EB9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TCCGAAGGTTTCACCATCACT</w:t>
            </w:r>
          </w:p>
        </w:tc>
        <w:tc>
          <w:tcPr>
            <w:tcW w:w="3642" w:type="dxa"/>
            <w:vAlign w:val="center"/>
          </w:tcPr>
          <w:p w14:paraId="6E19AB3F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TCGCAGTAGTTGAGGTGATGTTG</w:t>
            </w:r>
          </w:p>
        </w:tc>
      </w:tr>
      <w:tr w:rsidR="008E6198" w:rsidRPr="00462413" w14:paraId="578E1800" w14:textId="77777777" w:rsidTr="00242426">
        <w:trPr>
          <w:trHeight w:val="385"/>
        </w:trPr>
        <w:tc>
          <w:tcPr>
            <w:tcW w:w="1733" w:type="dxa"/>
            <w:vAlign w:val="center"/>
          </w:tcPr>
          <w:p w14:paraId="3E7275FC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  <w:sz w:val="24"/>
              </w:rPr>
            </w:pPr>
            <w:r w:rsidRPr="00462413">
              <w:rPr>
                <w:rFonts w:ascii="Times New Roman" w:eastAsia="HYSinMyeongJo-Medium"/>
                <w:sz w:val="24"/>
              </w:rPr>
              <w:t>qRT-GA20ox1</w:t>
            </w:r>
          </w:p>
        </w:tc>
        <w:tc>
          <w:tcPr>
            <w:tcW w:w="3661" w:type="dxa"/>
            <w:vAlign w:val="center"/>
          </w:tcPr>
          <w:p w14:paraId="48252A73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GCCTGTAAGAAGCACGGTTTCT</w:t>
            </w:r>
          </w:p>
        </w:tc>
        <w:tc>
          <w:tcPr>
            <w:tcW w:w="3642" w:type="dxa"/>
            <w:vAlign w:val="center"/>
          </w:tcPr>
          <w:p w14:paraId="54DA58D0" w14:textId="77777777" w:rsidR="008E6198" w:rsidRPr="00462413" w:rsidRDefault="008E6198" w:rsidP="00242426">
            <w:pPr>
              <w:spacing w:line="360" w:lineRule="auto"/>
              <w:rPr>
                <w:rFonts w:ascii="Times New Roman" w:eastAsia="HYSinMyeongJo-Medium"/>
              </w:rPr>
            </w:pPr>
            <w:r w:rsidRPr="00462413">
              <w:rPr>
                <w:rFonts w:ascii="Times New Roman" w:eastAsia="HYSinMyeongJo-Medium"/>
              </w:rPr>
              <w:t>CTCGTGTATTCATGAGCGTCTGA</w:t>
            </w:r>
          </w:p>
        </w:tc>
      </w:tr>
    </w:tbl>
    <w:p w14:paraId="013B9C2F" w14:textId="77777777" w:rsidR="008E6198" w:rsidRPr="00462413" w:rsidRDefault="008E6198" w:rsidP="008E6198">
      <w:pPr>
        <w:spacing w:line="360" w:lineRule="auto"/>
        <w:rPr>
          <w:rFonts w:ascii="Times New Roman" w:eastAsia="HYSinMyeongJo-Medium"/>
          <w:sz w:val="24"/>
        </w:rPr>
      </w:pPr>
    </w:p>
    <w:p w14:paraId="10164F29" w14:textId="77777777" w:rsidR="00A91650" w:rsidRDefault="00A91650"/>
    <w:sectPr w:rsidR="00A91650" w:rsidSect="008E6198">
      <w:footerReference w:type="even" r:id="rId8"/>
      <w:footerReference w:type="default" r:id="rId9"/>
      <w:footnotePr>
        <w:numFmt w:val="decimalEnclosedCircle"/>
      </w:footnotePr>
      <w:pgSz w:w="11900" w:h="16840"/>
      <w:pgMar w:top="1440" w:right="1440" w:bottom="1440" w:left="1440" w:header="720" w:footer="720" w:gutter="0"/>
      <w:lnNumType w:countBy="1" w:restart="continuous"/>
      <w:pgNumType w:start="1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BatangChe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YSinMyeongJo-Medium">
    <w:altName w:val="Batang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13431858"/>
      <w:docPartObj>
        <w:docPartGallery w:val="Page Numbers (Bottom of Page)"/>
        <w:docPartUnique/>
      </w:docPartObj>
    </w:sdtPr>
    <w:sdtContent>
      <w:p w14:paraId="1FBA42EA" w14:textId="77777777" w:rsidR="008E6198" w:rsidRDefault="008E6198" w:rsidP="00A8469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A5C228" w14:textId="77777777" w:rsidR="008E6198" w:rsidRDefault="008E61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74679887"/>
      <w:docPartObj>
        <w:docPartGallery w:val="Page Numbers (Bottom of Page)"/>
        <w:docPartUnique/>
      </w:docPartObj>
    </w:sdtPr>
    <w:sdtContent>
      <w:p w14:paraId="1A96ECE1" w14:textId="77777777" w:rsidR="008E6198" w:rsidRDefault="008E6198" w:rsidP="00A8469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33</w:t>
        </w:r>
        <w:r>
          <w:rPr>
            <w:rStyle w:val="PageNumber"/>
          </w:rPr>
          <w:fldChar w:fldCharType="end"/>
        </w:r>
      </w:p>
    </w:sdtContent>
  </w:sdt>
  <w:p w14:paraId="2B0A2DF6" w14:textId="77777777" w:rsidR="008E6198" w:rsidRDefault="008E619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numFmt w:val="decimalEnclosedCircl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198"/>
    <w:rsid w:val="000E2EDD"/>
    <w:rsid w:val="00260052"/>
    <w:rsid w:val="00743568"/>
    <w:rsid w:val="008E6198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BF70A"/>
  <w15:chartTrackingRefBased/>
  <w15:docId w15:val="{7AE48591-DA15-496A-8CA0-160255610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198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Arial Unicode MS" w:eastAsia="Arial Unicode MS" w:hAnsi="Times New Roman" w:cs="Times New Roman"/>
      <w:sz w:val="20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6198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198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198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198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198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198"/>
    <w:pPr>
      <w:keepNext/>
      <w:keepLines/>
      <w:widowControl/>
      <w:wordWrap/>
      <w:autoSpaceDE/>
      <w:autoSpaceDN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198"/>
    <w:pPr>
      <w:keepNext/>
      <w:keepLines/>
      <w:widowControl/>
      <w:wordWrap/>
      <w:autoSpaceDE/>
      <w:autoSpaceDN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198"/>
    <w:pPr>
      <w:keepNext/>
      <w:keepLines/>
      <w:widowControl/>
      <w:wordWrap/>
      <w:autoSpaceDE/>
      <w:autoSpaceDN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198"/>
    <w:pPr>
      <w:keepNext/>
      <w:keepLines/>
      <w:widowControl/>
      <w:wordWrap/>
      <w:autoSpaceDE/>
      <w:autoSpaceDN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1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1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1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1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1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1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1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1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1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198"/>
    <w:pPr>
      <w:widowControl/>
      <w:wordWrap/>
      <w:autoSpaceDE/>
      <w:autoSpaceDN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61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198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61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198"/>
    <w:pPr>
      <w:widowControl/>
      <w:wordWrap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61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198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61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19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1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19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E6198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E6198"/>
    <w:rPr>
      <w:rFonts w:ascii="Arial Unicode MS" w:eastAsia="Arial Unicode MS" w:hAnsi="Times New Roman" w:cs="Times New Roman"/>
      <w:sz w:val="20"/>
      <w:lang w:val="en-US" w:eastAsia="ko-KR"/>
      <w14:ligatures w14:val="none"/>
    </w:rPr>
  </w:style>
  <w:style w:type="character" w:styleId="PageNumber">
    <w:name w:val="page number"/>
    <w:basedOn w:val="DefaultParagraphFont"/>
    <w:rsid w:val="008E6198"/>
  </w:style>
  <w:style w:type="table" w:styleId="TableGrid">
    <w:name w:val="Table Grid"/>
    <w:basedOn w:val="TableNormal"/>
    <w:uiPriority w:val="59"/>
    <w:rsid w:val="008E6198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Batang" w:hAnsi="Times New Roman" w:cs="Times New Roman"/>
      <w:kern w:val="0"/>
      <w:sz w:val="20"/>
      <w:szCs w:val="20"/>
      <w:lang w:val="en-US"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E61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475</Words>
  <Characters>3411</Characters>
  <Application>Microsoft Office Word</Application>
  <DocSecurity>0</DocSecurity>
  <Lines>127</Lines>
  <Paragraphs>78</Paragraphs>
  <ScaleCrop>false</ScaleCrop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2025-12-31T09:00:00Z</dcterms:created>
  <dcterms:modified xsi:type="dcterms:W3CDTF">2025-12-31T09:00:00Z</dcterms:modified>
</cp:coreProperties>
</file>