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96AA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jc w:val="both"/>
        <w:textAlignment w:val="auto"/>
        <w:rPr>
          <w:rFonts w:hint="default" w:ascii="Times New Roman" w:hAnsi="Times New Roman" w:cs="Times New Roman"/>
          <w:kern w:val="2"/>
          <w:lang w:val="en-US" w:eastAsia="zh-CN"/>
        </w:rPr>
      </w:pPr>
      <w:r>
        <w:rPr>
          <w:rFonts w:hint="eastAsia" w:ascii="Times New Roman" w:hAnsi="Times New Roman" w:cs="Times New Roman"/>
          <w:kern w:val="2"/>
          <w:lang w:val="en-US" w:eastAsia="zh-CN"/>
        </w:rPr>
        <w:t>Supplementary Table S1. Univariable Cox regression analysis of mucormycosis risk factors in allogeneic HSCT recipients</w:t>
      </w:r>
    </w:p>
    <w:tbl>
      <w:tblPr>
        <w:tblStyle w:val="5"/>
        <w:tblW w:w="11184" w:type="dxa"/>
        <w:tblInd w:w="-88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4"/>
      </w:tblGrid>
      <w:tr w14:paraId="7B57FF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84" w:type="dxa"/>
            <w:vMerge w:val="restart"/>
            <w:tcBorders>
              <w:top w:val="single" w:color="auto" w:sz="4" w:space="0"/>
            </w:tcBorders>
            <w:vAlign w:val="center"/>
          </w:tcPr>
          <w:tbl>
            <w:tblPr>
              <w:tblStyle w:val="4"/>
              <w:tblW w:w="10779" w:type="dxa"/>
              <w:tblInd w:w="0" w:type="dxa"/>
              <w:tblBorders>
                <w:top w:val="single" w:color="D5D5D5" w:sz="6" w:space="0"/>
                <w:left w:val="single" w:color="D5D5D5" w:sz="6" w:space="0"/>
                <w:bottom w:val="single" w:color="D5D5D5" w:sz="6" w:space="0"/>
                <w:right w:val="single" w:color="D5D5D5" w:sz="6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222"/>
              <w:gridCol w:w="1535"/>
              <w:gridCol w:w="1050"/>
              <w:gridCol w:w="918"/>
              <w:gridCol w:w="1235"/>
              <w:gridCol w:w="1650"/>
              <w:gridCol w:w="1169"/>
            </w:tblGrid>
            <w:tr w14:paraId="77C58266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E6E6E6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DC854A3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ascii="Times New Roman" w:hAnsi="Times New Roman" w:eastAsia="Segoe UI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Segoe UI" w:cs="Times New Roman"/>
                      <w:b/>
                      <w:bCs/>
                      <w:color w:val="333333"/>
                      <w:kern w:val="0"/>
                      <w:sz w:val="24"/>
                      <w:szCs w:val="24"/>
                      <w:lang w:bidi="ar"/>
                    </w:rPr>
                    <w:t> </w:t>
                  </w:r>
                </w:p>
              </w:tc>
              <w:tc>
                <w:tcPr>
                  <w:tcW w:w="7557" w:type="dxa"/>
                  <w:gridSpan w:val="6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E6E6E6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2FE2ABC1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 w:eastAsia="Segoe UI"/>
                      <w:b/>
                      <w:bCs/>
                      <w:color w:val="333333"/>
                      <w:szCs w:val="24"/>
                    </w:rPr>
                    <w:t xml:space="preserve">Univariable analysis for </w:t>
                  </w:r>
                  <w:r>
                    <w:rPr>
                      <w:rFonts w:hint="eastAsia" w:ascii="Times New Roman" w:hAnsi="Times New Roman"/>
                      <w:b/>
                      <w:bCs/>
                      <w:color w:val="333333"/>
                      <w:szCs w:val="24"/>
                      <w:lang w:val="en-US" w:eastAsia="zh-CN"/>
                    </w:rPr>
                    <w:t>m</w:t>
                  </w:r>
                  <w:r>
                    <w:rPr>
                      <w:rFonts w:ascii="Times New Roman" w:hAnsi="Times New Roman" w:eastAsia="Segoe UI"/>
                      <w:b/>
                      <w:bCs/>
                      <w:color w:val="333333"/>
                      <w:szCs w:val="24"/>
                    </w:rPr>
                    <w:t>ucormycosis</w:t>
                  </w:r>
                </w:p>
              </w:tc>
            </w:tr>
            <w:tr w14:paraId="02648EEB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vMerge w:val="restart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E6E6E6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C92B3E3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 w:eastAsia="Segoe UI"/>
                      <w:b/>
                      <w:bCs/>
                      <w:color w:val="333333"/>
                      <w:szCs w:val="24"/>
                    </w:rPr>
                    <w:t>Risk factors</w:t>
                  </w:r>
                </w:p>
              </w:tc>
              <w:tc>
                <w:tcPr>
                  <w:tcW w:w="1535" w:type="dxa"/>
                  <w:vMerge w:val="restart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E6E6E6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38969835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 w:eastAsia="Segoe UI"/>
                      <w:b/>
                      <w:bCs/>
                      <w:color w:val="333333"/>
                      <w:szCs w:val="24"/>
                    </w:rPr>
                    <w:t>No. of patients</w:t>
                  </w:r>
                </w:p>
              </w:tc>
              <w:tc>
                <w:tcPr>
                  <w:tcW w:w="1968" w:type="dxa"/>
                  <w:gridSpan w:val="2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E6E6E6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846366E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333333"/>
                      <w:szCs w:val="24"/>
                      <w:lang w:val="en-US" w:eastAsia="zh-CN"/>
                    </w:rPr>
                    <w:t>m</w:t>
                  </w:r>
                  <w:r>
                    <w:rPr>
                      <w:rFonts w:ascii="Times New Roman" w:hAnsi="Times New Roman" w:eastAsia="Segoe UI"/>
                      <w:b/>
                      <w:bCs/>
                      <w:color w:val="333333"/>
                      <w:szCs w:val="24"/>
                    </w:rPr>
                    <w:t>ucormycosis</w:t>
                  </w:r>
                </w:p>
              </w:tc>
              <w:tc>
                <w:tcPr>
                  <w:tcW w:w="1235" w:type="dxa"/>
                  <w:vMerge w:val="restart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E6E6E6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AC5801D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333333"/>
                      <w:szCs w:val="24"/>
                      <w:lang w:val="en-US" w:eastAsia="zh-CN"/>
                    </w:rPr>
                    <w:t>H</w:t>
                  </w:r>
                  <w:r>
                    <w:rPr>
                      <w:rFonts w:ascii="Times New Roman" w:hAnsi="Times New Roman" w:eastAsia="Segoe UI"/>
                      <w:b/>
                      <w:bCs/>
                      <w:color w:val="333333"/>
                      <w:szCs w:val="24"/>
                    </w:rPr>
                    <w:t>R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E6E6E6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57763AE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 w:eastAsia="Segoe UI"/>
                      <w:b/>
                      <w:bCs/>
                      <w:color w:val="333333"/>
                      <w:szCs w:val="24"/>
                    </w:rPr>
                    <w:t>95 % CI</w:t>
                  </w:r>
                </w:p>
              </w:tc>
              <w:tc>
                <w:tcPr>
                  <w:tcW w:w="1169" w:type="dxa"/>
                  <w:vMerge w:val="restart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E6E6E6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3762B1EF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i/>
                      <w:iCs/>
                      <w:color w:val="333333"/>
                      <w:szCs w:val="24"/>
                      <w:lang w:val="en-US" w:eastAsia="zh-CN"/>
                    </w:rPr>
                    <w:t>P</w:t>
                  </w:r>
                  <w:r>
                    <w:rPr>
                      <w:rFonts w:ascii="Times New Roman" w:hAnsi="Times New Roman" w:eastAsia="Segoe UI"/>
                      <w:b/>
                      <w:bCs/>
                      <w:color w:val="333333"/>
                      <w:szCs w:val="24"/>
                    </w:rPr>
                    <w:t>-value</w:t>
                  </w:r>
                </w:p>
              </w:tc>
            </w:tr>
            <w:tr w14:paraId="47C0316C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1" w:hRule="atLeast"/>
              </w:trPr>
              <w:tc>
                <w:tcPr>
                  <w:tcW w:w="3222" w:type="dxa"/>
                  <w:vMerge w:val="continue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E6E6E6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23021ED2">
                  <w:pPr>
                    <w:jc w:val="left"/>
                    <w:rPr>
                      <w:rFonts w:ascii="Times New Roman" w:hAnsi="Times New Roman" w:eastAsia="Segoe UI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535" w:type="dxa"/>
                  <w:vMerge w:val="continue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E6E6E6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01D44DB2">
                  <w:pPr>
                    <w:jc w:val="left"/>
                    <w:rPr>
                      <w:rFonts w:ascii="Times New Roman" w:hAnsi="Times New Roman" w:eastAsia="Segoe UI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E6E6E6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0D20CD5B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 w:eastAsia="Segoe UI"/>
                      <w:b/>
                      <w:bCs/>
                      <w:i/>
                      <w:iCs/>
                      <w:color w:val="333333"/>
                      <w:szCs w:val="24"/>
                    </w:rPr>
                    <w:t>n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E6E6E6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0C45138E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 w:eastAsia="Segoe UI"/>
                      <w:b/>
                      <w:bCs/>
                      <w:color w:val="333333"/>
                      <w:szCs w:val="24"/>
                    </w:rPr>
                    <w:t>%</w:t>
                  </w:r>
                </w:p>
              </w:tc>
              <w:tc>
                <w:tcPr>
                  <w:tcW w:w="1235" w:type="dxa"/>
                  <w:vMerge w:val="continue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E6E6E6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F079D46">
                  <w:pPr>
                    <w:jc w:val="left"/>
                    <w:rPr>
                      <w:rFonts w:ascii="Times New Roman" w:hAnsi="Times New Roman" w:eastAsia="Segoe UI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vMerge w:val="continue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E6E6E6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3BDF64EA">
                  <w:pPr>
                    <w:jc w:val="left"/>
                    <w:rPr>
                      <w:rFonts w:ascii="Times New Roman" w:hAnsi="Times New Roman" w:eastAsia="Segoe UI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169" w:type="dxa"/>
                  <w:vMerge w:val="continue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E6E6E6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6FE9191B">
                  <w:pPr>
                    <w:jc w:val="left"/>
                    <w:rPr>
                      <w:rFonts w:ascii="Times New Roman" w:hAnsi="Times New Roman" w:eastAsia="Segoe UI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</w:tr>
            <w:tr w14:paraId="7AB71DDA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4B3ECAA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Gender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346DEAE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0E412D5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CC44379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5DD3F911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B03C579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3B50CD4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0082C8BD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3EDBED6F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 male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84C5321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587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94E7B2C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31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B7FDD6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5.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1A0E1F8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BCBCB2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E170D48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72624A3A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523FB0D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 female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74F27C9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403</w:t>
                  </w:r>
                  <w:bookmarkStart w:id="0" w:name="_GoBack"/>
                  <w:bookmarkEnd w:id="0"/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50275FC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17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9B420E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7295AA4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1.2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7F631C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0.6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9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- 2.2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D45CA86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0.477</w:t>
                  </w:r>
                </w:p>
              </w:tc>
            </w:tr>
            <w:tr w14:paraId="72F1558E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C57F34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Underlying disease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0CF13C3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06178E8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534A5A9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99D2BE4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480196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CB202A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08A0E860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4D1B92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 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AML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36889BC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368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28CCE0C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17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28492C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4.6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45D80C3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0.9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873D5BC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0.52 - 1.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70</w:t>
                  </w: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46BD11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0.836</w:t>
                  </w:r>
                </w:p>
              </w:tc>
            </w:tr>
            <w:tr w14:paraId="1AC94170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6D1E254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 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MDS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EF14F98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127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409AF9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14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AFEB1EE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45C4D4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2.9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7</w:t>
                  </w: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836CC5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1.59 - 5.53</w:t>
                  </w: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00EACC4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0.001</w:t>
                  </w:r>
                </w:p>
              </w:tc>
            </w:tr>
            <w:tr w14:paraId="3FAACE7D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EF259C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Concomitant disease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C09D3C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A540E06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593EFB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B8D28E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15EFA3F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11C1E8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3B6F39BF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3193ED9C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 Diabetes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AFB0943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8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6C759A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409F0FF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9235546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A68FB1F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D8DE41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744B71EA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3F5260D9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 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No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Diabetes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2FA08EE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9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10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154196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39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B7B78D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59E9A0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2.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87</w:t>
                  </w: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89C4A53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1 .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39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- 5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.92</w:t>
                  </w: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BCA8D36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0.0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04</w:t>
                  </w:r>
                </w:p>
              </w:tc>
            </w:tr>
            <w:tr w14:paraId="70001F6C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071FC05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 </w:t>
                  </w:r>
                  <w:r>
                    <w:rPr>
                      <w:rFonts w:hint="eastAsia" w:ascii="Times New Roman" w:hAnsi="Times New Roman" w:cs="Times New Roman"/>
                    </w:rPr>
                    <w:t>chronic hepatitis B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8D49C4F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32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F6CAA7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728F82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BA77C1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CD3A73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E5C9D1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4B35B9D0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4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82C6CD1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 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No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cs="Times New Roman"/>
                    </w:rPr>
                    <w:t>chronic hepatitis B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215DA5F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9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58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BBEFF04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2AE9ED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8A97751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2.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89</w:t>
                  </w: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17B4BF3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03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- 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8.01</w:t>
                  </w: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C55EAF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0.0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43</w:t>
                  </w:r>
                </w:p>
              </w:tc>
            </w:tr>
            <w:tr w14:paraId="6439C1CB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4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61A1F5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Previous IFD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3881E6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E6F7A36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71A2AE8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B19533E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78E100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70E75D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7D5B1C1F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4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09B76D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right="0" w:rightChars="0" w:firstLine="240" w:firstLineChars="10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Yes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1D78F31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136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0381743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14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06D513E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10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F42C523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A39B143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C7309C1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7047FF2E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4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4B0A1A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 w:firstLine="240" w:firstLineChars="10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No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B9CF07E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854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BB2762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34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03C677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4.0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2C0C2D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2.88</w:t>
                  </w: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20148D9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1.5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5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- 5.3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2B7051F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0.001</w:t>
                  </w:r>
                </w:p>
              </w:tc>
            </w:tr>
            <w:tr w14:paraId="31542778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9BE0BB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Primary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c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ontrolled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005F3A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325D47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3BD0E1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1E2961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4A9B7B9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02E1A9C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7D8DB27A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4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676A86C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 w:firstLine="240" w:firstLineChars="10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Controlled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7C629F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641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E6051E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28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5645EE3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4.2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98C87D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9C3E43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3D1B8C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44FA1BAC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801F594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 Uncontrolled 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AB8F1DF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332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37419CE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19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D413553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6.0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EFD2573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1.2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9</w:t>
                  </w: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C12E05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0.7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7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- 2.16</w:t>
                  </w: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C371CE1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0.343</w:t>
                  </w:r>
                </w:p>
              </w:tc>
            </w:tr>
            <w:tr w14:paraId="6B3DE1A9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3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307953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 Congenital disease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AB423F3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17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5204308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7D44EB9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5.9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DF213B1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33466C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CB64F5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10C84BDA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4930F2C6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Transplant type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6A91AFE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C9862CC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EEB376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51CE099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909D4D3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9864A9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2CD9FB66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6EFCAEB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 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CBT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8CC8796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795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5E5201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34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D58909C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4.4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D89F04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EF4A63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B2B436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6425C773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43EB67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 PBSCT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A23816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192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9A8AB8C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14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4E6AF56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6.1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808A28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64</w:t>
                  </w: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E3C1DF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89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- 3.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01</w:t>
                  </w: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049F31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114</w:t>
                  </w:r>
                </w:p>
              </w:tc>
            </w:tr>
            <w:tr w14:paraId="76F84463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0782E3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 Other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066370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35956C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1FDB918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AA3688C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4A52F4C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CDA892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42903C22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07577498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HLA-matched donor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5903731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A48A8B6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6EC745D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54DB194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81E7879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2424818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009F2E2C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0DFD39D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 w:firstLine="240" w:firstLineChars="10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HLA-matched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B15251F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187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01EE81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12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36D3C4C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6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D1C5D0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4EDAA5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39663A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743723E7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5B051D0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 w:firstLine="240" w:firstLineChars="10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HLA-mismatched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5A337D1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803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1AF981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36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061135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37F1DD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0.74</w:t>
                  </w: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622FB61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0.3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9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- 1.4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477784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0.373</w:t>
                  </w:r>
                </w:p>
              </w:tc>
            </w:tr>
            <w:tr w14:paraId="6C8FE1FB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890FD0C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Conditioning regimen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5BB8B9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1B64B2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1AA5ED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EF1A2AE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84346C9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301347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290A9BCF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2F8DDEF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 w:firstLine="240" w:firstLineChars="10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MA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176EBF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809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ED70841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39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7F8905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3E03876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7ACAA33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5EF783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057E5B96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034F7F0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 RIC/NMA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3BCD6AC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181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3F65EC4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B12862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5.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700C44E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0.9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4545DA1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0.46 - 1.9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7</w:t>
                  </w: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385345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0.904</w:t>
                  </w:r>
                </w:p>
              </w:tc>
            </w:tr>
            <w:tr w14:paraId="4D42B3C6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D01B57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Use of ATG in Conditioning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393BE3F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3EE64C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0E13C6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6A5899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280608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75724E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4034A971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D010054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 w:firstLine="240" w:firstLineChars="10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Yes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6F3F406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2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52ED1DE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227741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6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98D33E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23DF5D4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FC9686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39FEA0D0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300F4D1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 w:firstLine="240" w:firstLineChars="10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No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700A5D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865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F142584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40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FFBA4AF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F0DA898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1.20</w:t>
                  </w: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6E955A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57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- 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1.22</w:t>
                  </w: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C2F602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349</w:t>
                  </w:r>
                </w:p>
              </w:tc>
            </w:tr>
            <w:tr w14:paraId="7FB921DA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92CD2F8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A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cute GvHD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23323E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7CBBD1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C5EC92F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51BAFE4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00C9D89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D75453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747201A0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CEDC5D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 s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kern w:val="2"/>
                      <w:sz w:val="24"/>
                      <w:szCs w:val="24"/>
                      <w:lang w:val="en-US" w:eastAsia="zh-CN" w:bidi="ar-SA"/>
                    </w:rPr>
                    <w:t>evere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GvHD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019A8D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201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AAFA8F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24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AAF0ACF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9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C9648D4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CD8DFE8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F87C4A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4AF08E4E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5422FD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 w:firstLine="240" w:firstLineChars="10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None or grade I–II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GvHD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E850D99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789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2573753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24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1B3400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3.0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48C0F91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4.57</w:t>
                  </w: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708319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2.59 - 8.06</w:t>
                  </w: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76D0791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0.001</w:t>
                  </w:r>
                </w:p>
              </w:tc>
            </w:tr>
            <w:tr w14:paraId="4DD8B8F8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3C80AE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C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hronic GvHD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A7486F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FB2C2F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2221D2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2EFF049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05E058E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E5D090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6E30AE83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49BA533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 severe GvHD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35EFA4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43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FA3250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0B2BF73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7.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8B9EC4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837741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132F3A8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0AAD8325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C1ED091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 None or grade I–II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GvHD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246A1EF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947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3C19676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45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EA2ED4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F211E8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1.3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9</w:t>
                  </w: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1DA71F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0.432 - 4.47</w:t>
                  </w: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55D977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0.582</w:t>
                  </w:r>
                </w:p>
              </w:tc>
            </w:tr>
            <w:tr w14:paraId="6FF866A7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A1C8854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/>
                      <w:sz w:val="24"/>
                      <w:szCs w:val="24"/>
                    </w:rPr>
                    <w:t>SR-aGVH</w:t>
                  </w:r>
                  <w:r>
                    <w:rPr>
                      <w:rFonts w:hint="eastAsia" w:ascii="Times New Roman" w:hAnsi="Times New Roman"/>
                      <w:sz w:val="24"/>
                      <w:szCs w:val="24"/>
                      <w:lang w:val="en-US" w:eastAsia="zh-CN"/>
                    </w:rPr>
                    <w:t>D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09EF2E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6DA74F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5B154C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2C3C40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386C37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E5F042E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15ED310F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BA2248E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 w:firstLine="240" w:firstLineChars="10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Yes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173B466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185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8015829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2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4F52F7F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10.8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E931323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2349554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21CA85F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1DB12FE0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2A32AC8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 w:firstLine="240" w:firstLineChars="10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No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5C759E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805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F99910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2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BE74FE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3.5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A8D1E0C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3.34</w:t>
                  </w: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9224AAC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88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- 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5.94</w:t>
                  </w: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577BD9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0.00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</w:t>
                  </w:r>
                </w:p>
              </w:tc>
            </w:tr>
            <w:tr w14:paraId="422A6692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06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2308E331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Delayed Neutrophil Recovery (&gt;15 Days vs. ≤15 Days)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vertAlign w:val="superscript"/>
                      <w:lang w:val="en-US" w:eastAsia="zh-CN" w:bidi="ar-SA"/>
                    </w:rPr>
                    <w:t>a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EBB4F18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4279D4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771803F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662339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62377B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3AB632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2E0D5A06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05FAA214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right="0" w:firstLine="240" w:firstLineChars="10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Yes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BA38A9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567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B6C0D8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31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2ED5BE8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5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1FE2E38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C027F86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CF21BE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13097E2B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3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2914E651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right="0" w:firstLine="240" w:firstLineChars="10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No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5042ED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423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FF7CCE3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17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5F6B8A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4.0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AFBE02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1.44</w:t>
                  </w: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9C4F736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80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- 2.6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33C212F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0.224</w:t>
                  </w:r>
                </w:p>
              </w:tc>
            </w:tr>
            <w:tr w14:paraId="3F54CD79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06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4A8979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  <w:t>Prolonged severe neutropenia (&gt;30 Days vs. ≤30 Days)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34A8D0C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001FD5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688890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F3981B3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7B7CB4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3BE25B1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4D3342C8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2D8728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 w:firstLine="240" w:firstLineChars="10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Yes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F3AB3E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337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8D74E8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22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E815C7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6.5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CE9D3A5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175A84B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61A5F537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7844CD6C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E7C2343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 w:firstLine="240" w:firstLineChars="10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No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2EF50E2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653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B9AF959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26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B09DDA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94FD030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0.8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7</w:t>
                  </w: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96950E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12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 - 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6.31</w:t>
                  </w: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86CB1AA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891</w:t>
                  </w:r>
                </w:p>
              </w:tc>
            </w:tr>
            <w:tr w14:paraId="249840D0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B9F3237">
                  <w:pPr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sz w:val="24"/>
                      <w:szCs w:val="24"/>
                    </w:rPr>
                    <w:t>Antifungal prophylaxis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516F9DD2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2C5FCA84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6EB197F3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9EA2B04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088DA4D6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2BCF7E8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61120F1B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43B498B7">
                  <w:pPr>
                    <w:ind w:firstLine="240" w:firstLineChars="10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Posaconazole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2515404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1584663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15D0EAF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4A417E67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4AFDE571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30C17172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3F322FE0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F3C2164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 w:firstLine="240" w:firstLineChars="10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Yes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8BAAF7D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269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05327A9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11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F967771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5BB4B389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6EF4D22A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2E822EB9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2116E56C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EDF964D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 w:firstLine="240" w:firstLineChars="10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No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D69C263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721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A269E83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37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0998E69C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DE3844B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0.86</w:t>
                  </w: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4C778DF6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0.44 - 1.68</w:t>
                  </w: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39ADBBE6">
                  <w:pPr>
                    <w:widowControl/>
                    <w:spacing w:line="9" w:lineRule="atLeast"/>
                    <w:jc w:val="left"/>
                    <w:textAlignment w:val="top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0.413</w:t>
                  </w:r>
                </w:p>
              </w:tc>
            </w:tr>
            <w:tr w14:paraId="4E9E5DA8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6D929B48">
                  <w:pPr>
                    <w:ind w:left="239" w:leftChars="114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Voriconazole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B53EC37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BB98C0C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A76E44C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F011D22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5141C584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46ABA189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4F4D657E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7E27F68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 w:firstLine="240" w:firstLineChars="10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Yes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2064AEC8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569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85D3D5D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29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4A40381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0988098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B262A04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52052060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633AA9FD">
              <w:tblPrEx>
                <w:tblBorders>
                  <w:top w:val="single" w:color="D5D5D5" w:sz="6" w:space="0"/>
                  <w:left w:val="single" w:color="D5D5D5" w:sz="6" w:space="0"/>
                  <w:bottom w:val="single" w:color="D5D5D5" w:sz="6" w:space="0"/>
                  <w:right w:val="single" w:color="D5D5D5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61" w:hRule="atLeast"/>
              </w:trPr>
              <w:tc>
                <w:tcPr>
                  <w:tcW w:w="3222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108110A1">
                  <w:pPr>
                    <w:pStyle w:val="3"/>
                    <w:keepNext w:val="0"/>
                    <w:keepLines w:val="0"/>
                    <w:widowControl/>
                    <w:suppressLineNumbers w:val="0"/>
                    <w:kinsoku/>
                    <w:wordWrap/>
                    <w:overflowPunct/>
                    <w:ind w:left="0" w:leftChars="0" w:right="0" w:rightChars="0" w:firstLine="240" w:firstLineChars="10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No</w:t>
                  </w:r>
                </w:p>
              </w:tc>
              <w:tc>
                <w:tcPr>
                  <w:tcW w:w="15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5B950B5B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421</w:t>
                  </w:r>
                </w:p>
              </w:tc>
              <w:tc>
                <w:tcPr>
                  <w:tcW w:w="10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4ECAFA2E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19</w:t>
                  </w:r>
                </w:p>
              </w:tc>
              <w:tc>
                <w:tcPr>
                  <w:tcW w:w="918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0BA8C834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5.1</w:t>
                  </w:r>
                </w:p>
              </w:tc>
              <w:tc>
                <w:tcPr>
                  <w:tcW w:w="1235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3C04619C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1.48</w:t>
                  </w:r>
                </w:p>
              </w:tc>
              <w:tc>
                <w:tcPr>
                  <w:tcW w:w="1650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FD66B9F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8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 xml:space="preserve">1 - </w:t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2.71</w:t>
                  </w:r>
                </w:p>
              </w:tc>
              <w:tc>
                <w:tcPr>
                  <w:tcW w:w="1169" w:type="dxa"/>
                  <w:tcBorders>
                    <w:top w:val="single" w:color="A6A6A6" w:sz="2" w:space="0"/>
                    <w:left w:val="single" w:color="A6A6A6" w:sz="2" w:space="0"/>
                    <w:bottom w:val="single" w:color="A6A6A6" w:sz="2" w:space="0"/>
                    <w:right w:val="single" w:color="D5D5D5" w:sz="2" w:space="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top"/>
                </w:tcPr>
                <w:p w14:paraId="7D3D1CEC">
                  <w:pPr>
                    <w:pStyle w:val="3"/>
                    <w:widowControl/>
                    <w:spacing w:beforeAutospacing="0" w:afterAutospacing="0" w:line="9" w:lineRule="atLeast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0.317</w:t>
                  </w:r>
                </w:p>
              </w:tc>
            </w:tr>
          </w:tbl>
          <w:p w14:paraId="2E666408">
            <w:pPr>
              <w:jc w:val="left"/>
            </w:pPr>
          </w:p>
        </w:tc>
      </w:tr>
      <w:tr w14:paraId="08BE64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1184" w:type="dxa"/>
            <w:vMerge w:val="continue"/>
            <w:vAlign w:val="center"/>
          </w:tcPr>
          <w:p w14:paraId="463AE427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</w:tr>
    </w:tbl>
    <w:p w14:paraId="6BDD91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vertAlign w:val="superscript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vertAlign w:val="superscript"/>
          <w:lang w:val="en-US" w:eastAsia="zh-CN" w:bidi="ar-SA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Delayed neutrophil recovery was defined as time to neutrophil engraftment exceeding the cohort median (15 days).</w:t>
      </w:r>
    </w:p>
    <w:p w14:paraId="5C7381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Abbreviations: 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>H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R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>,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hazard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 ratio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>;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 CI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 xml:space="preserve">, 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confidence interval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>;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 xml:space="preserve">AML, acute myelocytic leukemia; MDS, myelodysplastic syndrome; 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 xml:space="preserve">HSCT, 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hematopoietic stem cell transplant; PBSC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>T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, peripheral blood stem cell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transplantation; 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CBT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, cord blood transplantation; HLA, human leukocyte antigen; RIC, reduced-intensity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conditioning;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NMA, non-myeloablative conditioning;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 xml:space="preserve"> GvHD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, graft-versus-host disease;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ATG,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anti-thymocyte globulin, </w:t>
      </w:r>
      <w:r>
        <w:rPr>
          <w:rFonts w:hint="eastAsia" w:ascii="Times New Roman" w:hAnsi="Times New Roman"/>
          <w:sz w:val="24"/>
          <w:szCs w:val="24"/>
        </w:rPr>
        <w:t>SR-aGVH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D, </w:t>
      </w:r>
      <w:r>
        <w:rPr>
          <w:rFonts w:hint="eastAsia" w:ascii="Times New Roman" w:hAnsi="Times New Roman"/>
          <w:sz w:val="24"/>
          <w:szCs w:val="24"/>
        </w:rPr>
        <w:t>Steroid-refractory acute graft-versus-host disease.</w:t>
      </w:r>
    </w:p>
    <w:p w14:paraId="55EC9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  <w:t>.</w:t>
      </w:r>
    </w:p>
    <w:p w14:paraId="7C18E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21B3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791B75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23BDF"/>
    <w:rsid w:val="003F23CE"/>
    <w:rsid w:val="049D3B67"/>
    <w:rsid w:val="05F66454"/>
    <w:rsid w:val="06530982"/>
    <w:rsid w:val="0B6B051B"/>
    <w:rsid w:val="12F6643D"/>
    <w:rsid w:val="15E11B06"/>
    <w:rsid w:val="1B5E59A7"/>
    <w:rsid w:val="1D464944"/>
    <w:rsid w:val="20FF525D"/>
    <w:rsid w:val="213A47C0"/>
    <w:rsid w:val="25AC730F"/>
    <w:rsid w:val="28D60860"/>
    <w:rsid w:val="2AE03C1C"/>
    <w:rsid w:val="34AE7FA8"/>
    <w:rsid w:val="37BD0825"/>
    <w:rsid w:val="3B677B08"/>
    <w:rsid w:val="3BBA0580"/>
    <w:rsid w:val="3E336CD8"/>
    <w:rsid w:val="3EFB0C93"/>
    <w:rsid w:val="3F0F0BE2"/>
    <w:rsid w:val="41764F49"/>
    <w:rsid w:val="459260C9"/>
    <w:rsid w:val="46486B60"/>
    <w:rsid w:val="48D64959"/>
    <w:rsid w:val="49B02FC2"/>
    <w:rsid w:val="4A6C513B"/>
    <w:rsid w:val="4A82670C"/>
    <w:rsid w:val="4B180E1F"/>
    <w:rsid w:val="4C9B249D"/>
    <w:rsid w:val="4CA87140"/>
    <w:rsid w:val="505C17AE"/>
    <w:rsid w:val="50A07754"/>
    <w:rsid w:val="54CA13DC"/>
    <w:rsid w:val="55442D8A"/>
    <w:rsid w:val="55684751"/>
    <w:rsid w:val="55E62245"/>
    <w:rsid w:val="56617B1E"/>
    <w:rsid w:val="580C5867"/>
    <w:rsid w:val="589E6E07"/>
    <w:rsid w:val="5B9C6858"/>
    <w:rsid w:val="5BA02E96"/>
    <w:rsid w:val="5D0B07E3"/>
    <w:rsid w:val="60483AFC"/>
    <w:rsid w:val="634C56B2"/>
    <w:rsid w:val="678101A8"/>
    <w:rsid w:val="67AC2BC3"/>
    <w:rsid w:val="67E73BFB"/>
    <w:rsid w:val="6CB22A29"/>
    <w:rsid w:val="75FB71EF"/>
    <w:rsid w:val="765353AD"/>
    <w:rsid w:val="76592168"/>
    <w:rsid w:val="783C3AEF"/>
    <w:rsid w:val="79A7009E"/>
    <w:rsid w:val="7D5211D2"/>
    <w:rsid w:val="7ED2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left"/>
    </w:pPr>
    <w:rPr>
      <w:rFonts w:ascii="Times New Roman" w:hAnsi="Times New Roman"/>
      <w:b/>
      <w:bCs/>
      <w:kern w:val="0"/>
      <w:sz w:val="24"/>
      <w:szCs w:val="24"/>
      <w:lang w:val="en-GB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392</Words>
  <Characters>1864</Characters>
  <Lines>0</Lines>
  <Paragraphs>0</Paragraphs>
  <TotalTime>1</TotalTime>
  <ScaleCrop>false</ScaleCrop>
  <LinksUpToDate>false</LinksUpToDate>
  <CharactersWithSpaces>2042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2025-06-04T09:15:00Z</dcterms:created>
  <dc:creator>罗俊杰</dc:creator>
  <cp:lastModifiedBy>WPS_1761805850</cp:lastModifiedBy>
  <dcterms:modified xsi:type="dcterms:W3CDTF">2026-02-12T08:36:23Z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76E0E5F8FB0B4644AB8E929D904DF2AC_13</vt:lpwstr>
  </property>
  <property fmtid="{D5CDD505-2E9C-101B-9397-08002B2CF9AE}" pid="4" name="KSOTemplateDocerSaveRecord">
    <vt:lpwstr>eyJoZGlkIjoiYzJmNGYzNGZjYjgyNTQ2ZmQ4OWZiOWViNmJjY2MwODUiLCJ1c2VySWQiOiIxNzYzMjgzMDY3In0=</vt:lpwstr>
  </property>
</Properties>
</file>