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D0C22" w14:textId="77777777" w:rsidR="00C616B8" w:rsidRDefault="00244B3B" w:rsidP="00C62598">
      <w:pPr>
        <w:pStyle w:val="MDPI12title"/>
      </w:pPr>
      <w:r>
        <w:t xml:space="preserve">Comparison of macroeconomic developments in ten scenarios of energy system transformation in Germany </w:t>
      </w:r>
      <w:r w:rsidR="00C616B8">
        <w:t>– National and regional results</w:t>
      </w:r>
    </w:p>
    <w:p w14:paraId="4041C0B8" w14:textId="007EDDBD" w:rsidR="00C62598" w:rsidRPr="003B1AF1" w:rsidRDefault="00C62598" w:rsidP="00C62598">
      <w:pPr>
        <w:pStyle w:val="MDPI12title"/>
      </w:pPr>
      <w:r>
        <w:t>Supplementary Material</w:t>
      </w:r>
    </w:p>
    <w:p w14:paraId="358B1F1F" w14:textId="1445E3CB" w:rsidR="00846965" w:rsidRDefault="00244B3B">
      <w:r>
        <w:t xml:space="preserve">Philip Ulrich, </w:t>
      </w:r>
      <w:r w:rsidR="00C62598">
        <w:t>Tobias Naegler</w:t>
      </w:r>
      <w:r w:rsidR="00C62598" w:rsidRPr="00D945EC">
        <w:t xml:space="preserve">, </w:t>
      </w:r>
      <w:r>
        <w:t xml:space="preserve">Lisa Becker, Ulrike Lehr, </w:t>
      </w:r>
      <w:r w:rsidR="00C62598">
        <w:t>Sonja Simon, Claudia Sutardhio, Anke Weidlich</w:t>
      </w:r>
    </w:p>
    <w:p w14:paraId="5D8588FA" w14:textId="77777777" w:rsidR="00244B3B" w:rsidRPr="00244B3B" w:rsidRDefault="00244B3B" w:rsidP="00244B3B">
      <w:pPr>
        <w:pBdr>
          <w:top w:val="nil"/>
          <w:left w:val="nil"/>
          <w:bottom w:val="nil"/>
          <w:right w:val="nil"/>
          <w:between w:val="nil"/>
        </w:pBdr>
        <w:spacing w:after="240"/>
        <w:ind w:left="425" w:hanging="425"/>
        <w:rPr>
          <w:rFonts w:eastAsia="Palatino Linotype" w:cs="Palatino Linotype"/>
          <w:b/>
          <w:color w:val="205968"/>
        </w:rPr>
      </w:pPr>
    </w:p>
    <w:p w14:paraId="41A988F3" w14:textId="0D50833A" w:rsidR="00C62598" w:rsidRDefault="00C62598" w:rsidP="00C62598">
      <w:pPr>
        <w:numPr>
          <w:ilvl w:val="0"/>
          <w:numId w:val="1"/>
        </w:numPr>
        <w:spacing w:after="200" w:line="276" w:lineRule="auto"/>
        <w:jc w:val="left"/>
        <w:rPr>
          <w:rFonts w:eastAsia="Palatino Linotype" w:cs="Palatino Linotype"/>
        </w:rPr>
      </w:pPr>
      <w:r>
        <w:rPr>
          <w:rFonts w:eastAsia="Palatino Linotype" w:cs="Palatino Linotype"/>
        </w:rPr>
        <w:t>Short description of the model</w:t>
      </w:r>
      <w:r w:rsidR="00C616B8">
        <w:rPr>
          <w:rFonts w:eastAsia="Palatino Linotype" w:cs="Palatino Linotype"/>
        </w:rPr>
        <w:t xml:space="preserve"> PANTA RHEI</w:t>
      </w:r>
      <w:r>
        <w:rPr>
          <w:rFonts w:eastAsia="Palatino Linotype" w:cs="Palatino Linotype"/>
        </w:rPr>
        <w:t xml:space="preserve"> </w:t>
      </w:r>
    </w:p>
    <w:p w14:paraId="34585F16" w14:textId="141A15BC" w:rsidR="00C62598" w:rsidRDefault="00C62598" w:rsidP="00C62598">
      <w:pPr>
        <w:pBdr>
          <w:top w:val="nil"/>
          <w:left w:val="nil"/>
          <w:bottom w:val="nil"/>
          <w:right w:val="nil"/>
          <w:between w:val="nil"/>
        </w:pBdr>
        <w:spacing w:before="240" w:after="120"/>
        <w:jc w:val="left"/>
        <w:rPr>
          <w:rFonts w:eastAsia="Palatino Linotype" w:cs="Palatino Linotype"/>
        </w:rPr>
      </w:pPr>
      <w:r>
        <w:rPr>
          <w:rFonts w:eastAsia="Palatino Linotype" w:cs="Palatino Linotype"/>
        </w:rPr>
        <w:t xml:space="preserve">PANTA RHEI is an environmentally extended version of macroeconometric simulation and forecasting model INFORGE </w:t>
      </w:r>
      <w:r w:rsidR="00244B3B">
        <w:rPr>
          <w:rFonts w:eastAsia="Palatino Linotype" w:cs="Palatino Linotype"/>
        </w:rPr>
        <w:t>(Ahlert et al. 2009)</w:t>
      </w:r>
      <w:r>
        <w:rPr>
          <w:rFonts w:eastAsia="Palatino Linotype" w:cs="Palatino Linotype"/>
        </w:rPr>
        <w:t>, developed for the macroeconomic evaluation of environmental protection measures and energy economic policy. To quantify these macroeconomic effects, the long-term structural change in economic development and environmental-economic interdependencies are modeled.</w:t>
      </w:r>
    </w:p>
    <w:p w14:paraId="09E914C7" w14:textId="77777777" w:rsidR="00C62598" w:rsidRDefault="00C62598" w:rsidP="00C62598">
      <w:pPr>
        <w:keepNext/>
        <w:pBdr>
          <w:top w:val="nil"/>
          <w:left w:val="nil"/>
          <w:bottom w:val="nil"/>
          <w:right w:val="nil"/>
          <w:between w:val="nil"/>
        </w:pBdr>
        <w:spacing w:before="240" w:after="120"/>
        <w:jc w:val="left"/>
      </w:pPr>
      <w:r>
        <w:rPr>
          <w:rFonts w:eastAsia="Palatino Linotype" w:cs="Palatino Linotype"/>
          <w:lang w:val="de-DE" w:eastAsia="de-DE"/>
        </w:rPr>
        <w:drawing>
          <wp:inline distT="114300" distB="114300" distL="114300" distR="114300" wp14:anchorId="5D324694" wp14:editId="6CCA7F7E">
            <wp:extent cx="5615630" cy="527050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5615630" cy="5270500"/>
                    </a:xfrm>
                    <a:prstGeom prst="rect">
                      <a:avLst/>
                    </a:prstGeom>
                    <a:ln/>
                  </pic:spPr>
                </pic:pic>
              </a:graphicData>
            </a:graphic>
          </wp:inline>
        </w:drawing>
      </w:r>
    </w:p>
    <w:p w14:paraId="4DCEBB75" w14:textId="3EAA21C1" w:rsidR="00C62598" w:rsidRDefault="00C62598" w:rsidP="000423AC">
      <w:pPr>
        <w:pStyle w:val="Beschriftung"/>
        <w:jc w:val="center"/>
        <w:rPr>
          <w:rFonts w:eastAsia="Palatino Linotype" w:cs="Palatino Linotype"/>
          <w:sz w:val="20"/>
          <w:szCs w:val="20"/>
        </w:rPr>
      </w:pPr>
      <w:bookmarkStart w:id="0" w:name="_Ref79564095"/>
      <w:r>
        <w:t xml:space="preserve">Figure </w:t>
      </w:r>
      <w:r>
        <w:fldChar w:fldCharType="begin"/>
      </w:r>
      <w:r>
        <w:instrText xml:space="preserve"> SEQ Figure \* ARABIC </w:instrText>
      </w:r>
      <w:r>
        <w:fldChar w:fldCharType="separate"/>
      </w:r>
      <w:r w:rsidR="00244B3B">
        <w:t>1</w:t>
      </w:r>
      <w:r>
        <w:fldChar w:fldCharType="end"/>
      </w:r>
      <w:bookmarkEnd w:id="0"/>
      <w:r>
        <w:t>: Overview of the PANTA RHEI model</w:t>
      </w:r>
    </w:p>
    <w:p w14:paraId="1F3491CA" w14:textId="18C7EE6F" w:rsidR="00B0422C" w:rsidRDefault="00B0422C" w:rsidP="00B0422C">
      <w:pPr>
        <w:pBdr>
          <w:top w:val="nil"/>
          <w:left w:val="nil"/>
          <w:bottom w:val="nil"/>
          <w:right w:val="nil"/>
          <w:between w:val="nil"/>
        </w:pBdr>
        <w:spacing w:before="240" w:after="120"/>
        <w:jc w:val="left"/>
        <w:rPr>
          <w:rFonts w:eastAsia="Palatino Linotype" w:cs="Palatino Linotype"/>
        </w:rPr>
      </w:pPr>
      <w:r w:rsidRPr="00244B3B">
        <w:rPr>
          <w:rFonts w:eastAsia="Palatino Linotype" w:cs="Palatino Linotype"/>
        </w:rPr>
        <w:lastRenderedPageBreak/>
        <w:t xml:space="preserve">The flow chart shown in </w:t>
      </w:r>
      <w:r w:rsidR="00244B3B" w:rsidRPr="00244B3B">
        <w:rPr>
          <w:rFonts w:eastAsia="Palatino Linotype" w:cs="Palatino Linotype"/>
        </w:rPr>
        <w:fldChar w:fldCharType="begin"/>
      </w:r>
      <w:r w:rsidR="00244B3B" w:rsidRPr="00244B3B">
        <w:rPr>
          <w:rFonts w:eastAsia="Palatino Linotype" w:cs="Palatino Linotype"/>
        </w:rPr>
        <w:instrText xml:space="preserve"> REF _Ref79564095 \h </w:instrText>
      </w:r>
      <w:r w:rsidR="00244B3B">
        <w:rPr>
          <w:rFonts w:eastAsia="Palatino Linotype" w:cs="Palatino Linotype"/>
        </w:rPr>
        <w:instrText xml:space="preserve"> \* MERGEFORMAT </w:instrText>
      </w:r>
      <w:r w:rsidR="00244B3B" w:rsidRPr="00244B3B">
        <w:rPr>
          <w:rFonts w:eastAsia="Palatino Linotype" w:cs="Palatino Linotype"/>
        </w:rPr>
      </w:r>
      <w:r w:rsidR="00244B3B" w:rsidRPr="00244B3B">
        <w:rPr>
          <w:rFonts w:eastAsia="Palatino Linotype" w:cs="Palatino Linotype"/>
        </w:rPr>
        <w:fldChar w:fldCharType="separate"/>
      </w:r>
      <w:r w:rsidR="00244B3B" w:rsidRPr="00244B3B">
        <w:t>Figure 1</w:t>
      </w:r>
      <w:r w:rsidR="00244B3B" w:rsidRPr="00244B3B">
        <w:rPr>
          <w:rFonts w:eastAsia="Palatino Linotype" w:cs="Palatino Linotype"/>
        </w:rPr>
        <w:fldChar w:fldCharType="end"/>
      </w:r>
      <w:r w:rsidR="00345977" w:rsidRPr="00244B3B">
        <w:rPr>
          <w:rFonts w:eastAsia="Palatino Linotype" w:cs="Palatino Linotype"/>
        </w:rPr>
        <w:t xml:space="preserve"> </w:t>
      </w:r>
      <w:r w:rsidRPr="00244B3B">
        <w:rPr>
          <w:rFonts w:eastAsia="Palatino Linotype" w:cs="Palatino Linotype"/>
        </w:rPr>
        <w:t>provides an overview of the structure of the PANTA RHEI model. In addition to the comprehensive economic modelling, the sections of energy consumption and emissions as well as transport and housing are covered in detail. All model parts are consistently</w:t>
      </w:r>
      <w:r>
        <w:rPr>
          <w:rFonts w:eastAsia="Palatino Linotype" w:cs="Palatino Linotype"/>
        </w:rPr>
        <w:t xml:space="preserve"> linked to each other. For example, the transport sector models fuel consumption in litres, which, multiplied by the price per litre, feeds into input demand from the manufacturing sector and demand for consumer goods. Changes to fuel tax rates result in changes to tax receipts and a broad range of economic adaptation processes. However, changes in fuel prices also lead to changes in behaviour, which are also considered in PANTA RHEI. The model is solved with full interdependence, i.e., the impacts between all model variables are captured simultaneously.</w:t>
      </w:r>
    </w:p>
    <w:p w14:paraId="0EFA54F1" w14:textId="15D9C4B8" w:rsidR="00C62598" w:rsidRDefault="00C62598" w:rsidP="00C62598">
      <w:pPr>
        <w:pBdr>
          <w:top w:val="nil"/>
          <w:left w:val="nil"/>
          <w:bottom w:val="nil"/>
          <w:right w:val="nil"/>
          <w:between w:val="nil"/>
        </w:pBdr>
        <w:spacing w:before="240" w:after="120"/>
        <w:jc w:val="left"/>
        <w:rPr>
          <w:rFonts w:eastAsia="Palatino Linotype" w:cs="Palatino Linotype"/>
        </w:rPr>
      </w:pPr>
      <w:r>
        <w:rPr>
          <w:rFonts w:eastAsia="Palatino Linotype" w:cs="Palatino Linotype"/>
        </w:rPr>
        <w:t>The model contains a multitude of macroeconomic variables drawn from official statistics and provides disaggregated information on 63 economic sectors. Energy balances (including satellite balances for renewable energy) are fully integrated into the model. The behavioral parameters are econometrically estimated based on time series data.</w:t>
      </w:r>
    </w:p>
    <w:p w14:paraId="3499686F" w14:textId="75A88460" w:rsidR="00C62598" w:rsidRDefault="00C62598" w:rsidP="002565D9">
      <w:pPr>
        <w:pBdr>
          <w:top w:val="nil"/>
          <w:left w:val="nil"/>
          <w:bottom w:val="nil"/>
          <w:right w:val="nil"/>
          <w:between w:val="nil"/>
        </w:pBdr>
        <w:spacing w:before="240" w:after="120"/>
        <w:jc w:val="left"/>
        <w:rPr>
          <w:rFonts w:eastAsia="Palatino Linotype" w:cs="Palatino Linotype"/>
        </w:rPr>
      </w:pPr>
      <w:r>
        <w:rPr>
          <w:rFonts w:eastAsia="Palatino Linotype" w:cs="Palatino Linotype"/>
        </w:rPr>
        <w:t xml:space="preserve">The economic core model INFORGE is regularly used, among others, for long-term employment projections and simulations by the Institute for Employment Research and the Federal Institute for Vocational Education and Training </w:t>
      </w:r>
      <w:r w:rsidR="00244B3B">
        <w:rPr>
          <w:rFonts w:eastAsia="Palatino Linotype" w:cs="Palatino Linotype"/>
        </w:rPr>
        <w:t>(Zika et al. 2019, Wolter et al. 2019</w:t>
      </w:r>
      <w:r>
        <w:rPr>
          <w:rFonts w:eastAsia="Palatino Linotype" w:cs="Palatino Linotype"/>
        </w:rPr>
        <w:t xml:space="preserve">. The model linkages are described in detail in </w:t>
      </w:r>
      <w:r w:rsidR="00244B3B">
        <w:rPr>
          <w:rFonts w:eastAsia="Palatino Linotype" w:cs="Palatino Linotype"/>
        </w:rPr>
        <w:t>(Maier et al. 2015)</w:t>
      </w:r>
      <w:r>
        <w:rPr>
          <w:rFonts w:eastAsia="Palatino Linotype" w:cs="Palatino Linotype"/>
        </w:rPr>
        <w:t>. The PANTA RHEI model has been used extensively in recent years, e.g., to evaluate the macroeconomic effects of the energy transition</w:t>
      </w:r>
      <w:r w:rsidR="00345977">
        <w:rPr>
          <w:rFonts w:eastAsia="Palatino Linotype" w:cs="Palatino Linotype"/>
        </w:rPr>
        <w:t xml:space="preserve"> </w:t>
      </w:r>
      <w:r w:rsidR="00244B3B">
        <w:rPr>
          <w:rFonts w:eastAsia="Palatino Linotype" w:cs="Palatino Linotype"/>
        </w:rPr>
        <w:t>(Lutz et al. 2018, Lehr et al. 2019)</w:t>
      </w:r>
      <w:r>
        <w:rPr>
          <w:rFonts w:eastAsia="Palatino Linotype" w:cs="Palatino Linotype"/>
        </w:rPr>
        <w:t xml:space="preserve"> and to develop socio-economic scenarios</w:t>
      </w:r>
      <w:r w:rsidR="009408C9">
        <w:rPr>
          <w:rFonts w:eastAsia="Palatino Linotype" w:cs="Palatino Linotype"/>
        </w:rPr>
        <w:t xml:space="preserve"> </w:t>
      </w:r>
      <w:r w:rsidR="00244B3B">
        <w:rPr>
          <w:rFonts w:eastAsia="Palatino Linotype" w:cs="Palatino Linotype"/>
        </w:rPr>
        <w:t>(Lutz et al. 2019)</w:t>
      </w:r>
      <w:r w:rsidR="00B0422C">
        <w:rPr>
          <w:rFonts w:eastAsia="Palatino Linotype" w:cs="Palatino Linotype"/>
        </w:rPr>
        <w:t>.</w:t>
      </w:r>
    </w:p>
    <w:p w14:paraId="4E303B4F" w14:textId="23D392CF" w:rsidR="00B0422C" w:rsidRDefault="00B0422C" w:rsidP="002565D9">
      <w:pPr>
        <w:pBdr>
          <w:top w:val="nil"/>
          <w:left w:val="nil"/>
          <w:bottom w:val="nil"/>
          <w:right w:val="nil"/>
          <w:between w:val="nil"/>
        </w:pBdr>
        <w:spacing w:before="240" w:after="120"/>
        <w:jc w:val="left"/>
        <w:rPr>
          <w:rFonts w:eastAsia="Palatino Linotype" w:cs="Palatino Linotype"/>
        </w:rPr>
      </w:pPr>
    </w:p>
    <w:p w14:paraId="1ED81562" w14:textId="266D417A" w:rsidR="00C62598" w:rsidRDefault="00C62598">
      <w:r>
        <w:t>References</w:t>
      </w:r>
      <w:r w:rsidR="00174914">
        <w:t xml:space="preserve"> for Supplement</w:t>
      </w:r>
    </w:p>
    <w:p w14:paraId="199EA3FF" w14:textId="740CED70" w:rsidR="00C62598" w:rsidRPr="006D0345" w:rsidRDefault="006D0345" w:rsidP="006D0345">
      <w:pPr>
        <w:pStyle w:val="EndNoteBibliography"/>
        <w:ind w:left="720" w:hanging="720"/>
      </w:pPr>
      <w:r w:rsidRPr="006D0345">
        <w:t>Lehr, U., Edler, D., Ulrich, P., Blazejczak, J. &amp; Lutz, C. (2019): Beschäftigungschancen auf dem Weg zu einer Green Economy – szenarienbasierte Analyse von (Netto-) Beschäftigungswirkungen. Umwelt, Innovation, Beschäftigung 03/2019, Dessau-Roßlau.</w:t>
      </w:r>
    </w:p>
    <w:p w14:paraId="2EFDCA24" w14:textId="3BA19D1A" w:rsidR="006D0345" w:rsidRPr="006D0345" w:rsidRDefault="006D0345" w:rsidP="006D0345">
      <w:pPr>
        <w:pStyle w:val="EndNoteBibliography"/>
        <w:ind w:left="720" w:hanging="720"/>
      </w:pPr>
      <w:r w:rsidRPr="006D0345">
        <w:t xml:space="preserve">Lutz, C., Becker, L., Ulrich, P. &amp; Distelkamp, M. (2019): Sozioökonomische Szenarien als Grundlage der Vulnerabilitätsanalysen für Deutschland </w:t>
      </w:r>
      <w:r w:rsidR="00530484">
        <w:rPr>
          <w:rFonts w:eastAsia="Palatino Linotype" w:cs="Palatino Linotype"/>
        </w:rPr>
        <w:t>–</w:t>
      </w:r>
      <w:r w:rsidRPr="006D0345">
        <w:t xml:space="preserve"> Teilbericht des Vorhabens „Politikinstrumente zur Klimaanpassung“. Climate Change 25/2019, Dessau-Roßlau.</w:t>
      </w:r>
    </w:p>
    <w:p w14:paraId="0D2804AC" w14:textId="5A46BD35" w:rsidR="006D0345" w:rsidRPr="006D0345" w:rsidRDefault="006D0345" w:rsidP="006D0345">
      <w:pPr>
        <w:pStyle w:val="EndNoteBibliography"/>
        <w:ind w:left="720" w:hanging="720"/>
      </w:pPr>
      <w:r w:rsidRPr="006D0345">
        <w:t>Lutz, C., Flaute, M., Lehr, U., Kemmler, A., Kirchner, A., auf der Maur, A., Ziegenhagen, I., Wünsch, M., Koziel, S., Piégsa, A. &amp; Straßburg, S. (2018): Gesamtwirtschaftliche Effekte der Energiewende. GWS Research Report 2018/4, Osnabrück, Basel.</w:t>
      </w:r>
    </w:p>
    <w:p w14:paraId="66D58C98" w14:textId="33909BF7" w:rsidR="006D0345" w:rsidRPr="006D0345" w:rsidRDefault="006D0345" w:rsidP="006D0345">
      <w:pPr>
        <w:pStyle w:val="EndNoteBibliography"/>
        <w:ind w:left="720" w:hanging="720"/>
      </w:pPr>
      <w:r w:rsidRPr="006D0345">
        <w:t>Ahlert, G., Distelkamp, M., Lutz, C., Meyer, B., Mönnig, A. &amp; Wolter, M. I. (2009): Das IAB/INFORGE-Modell. In: Schnur, P. &amp; Zika, G. [Hrsg]: Das IAB/INFORGE-Modell. Ein sektorales makroökonometrisches Projektions- und Simulationsmodell zur Vorausschätzung des längerfristigen Arbeitskräftebedarfs. IAB-Bibliothek 318, Nürnberg, S. 15</w:t>
      </w:r>
      <w:r w:rsidR="00530484">
        <w:rPr>
          <w:rFonts w:eastAsia="Palatino Linotype" w:cs="Palatino Linotype"/>
        </w:rPr>
        <w:t>–</w:t>
      </w:r>
      <w:r w:rsidRPr="006D0345">
        <w:t>175.</w:t>
      </w:r>
    </w:p>
    <w:p w14:paraId="3B5A6C88" w14:textId="7BA2B95A" w:rsidR="006D0345" w:rsidRPr="006D0345" w:rsidRDefault="006D0345" w:rsidP="006D0345">
      <w:pPr>
        <w:pStyle w:val="EndNoteBibliography"/>
        <w:ind w:left="720" w:hanging="720"/>
      </w:pPr>
      <w:r w:rsidRPr="006D0345">
        <w:t>Zika, G., Schneemann, Ch., Kalinowski, M., Maier, T., Winnige, S., Gro</w:t>
      </w:r>
      <w:r w:rsidRPr="006D0345">
        <w:rPr>
          <w:rFonts w:ascii="Cambria" w:hAnsi="Cambria" w:cs="Cambria"/>
        </w:rPr>
        <w:t>ẞ</w:t>
      </w:r>
      <w:r w:rsidRPr="006D0345">
        <w:t>mann, A., Mönnig, A., Parton, F. &amp; Wolter, M. I. (2019): BMAS-Prognose „Digitalisierte Arbeitswelt“ – Kurzbericht. Forschungsbericht 526/1K, Institut für Arbeitsmarkt- und Berufsforschung (IAB), Bundesinstitut für Berufsbildung (BIBB) &amp; Gesellschaft für Wirtschaftliche Strukturforschung (GWS) mbH im Auftrag des Bundesministeriums für Arbeit und Soziales (BMAS), Berlin.</w:t>
      </w:r>
    </w:p>
    <w:p w14:paraId="2CADAEC1" w14:textId="3FCA1745" w:rsidR="006D0345" w:rsidRPr="006D0345" w:rsidRDefault="006D0345" w:rsidP="006D0345">
      <w:pPr>
        <w:pStyle w:val="EndNoteBibliography"/>
        <w:ind w:left="720" w:hanging="720"/>
      </w:pPr>
      <w:r w:rsidRPr="006D0345">
        <w:t>Wolter, M. I., Mönnig, A., Schneemann, Ch., Weber, E., Zika, G., Helmrich, R., Maier, T. &amp; Winnige, S. (2019): Wirtschaft 4.0 und die Folgen für Arbeitsmarkt und Ökonomie. Szenario-Rechnungen im Rahmen der fünften Welle der BIBB-IAB-Qualifikations- und Berufsprojektionen; Heft-Nr.: 200, Bundesinstitut für Berufsbildung (BIBB), Bonn.</w:t>
      </w:r>
    </w:p>
    <w:p w14:paraId="46EB89F5" w14:textId="4803A354" w:rsidR="006D0345" w:rsidRPr="006D0345" w:rsidRDefault="006D0345" w:rsidP="006D0345">
      <w:pPr>
        <w:pStyle w:val="EndNoteBibliography"/>
        <w:ind w:left="720" w:hanging="720"/>
      </w:pPr>
      <w:r w:rsidRPr="006D0345">
        <w:t xml:space="preserve">Maier, T., Mönnig, A. &amp; Zika, G. (2015): Labour demand in Germany by industrial sector, occupational field and qualification until 2025 </w:t>
      </w:r>
      <w:r w:rsidR="00530484">
        <w:rPr>
          <w:rFonts w:eastAsia="Palatino Linotype" w:cs="Palatino Linotype"/>
        </w:rPr>
        <w:t>–</w:t>
      </w:r>
      <w:r w:rsidRPr="006D0345">
        <w:t xml:space="preserve"> model calculations using the IAB/INFORGE model. In: Economic Systems Research 27(1), pp. 19–42. DOI: 10.1080/09535314.2014.997678.</w:t>
      </w:r>
    </w:p>
    <w:sectPr w:rsidR="006D0345" w:rsidRPr="006D0345" w:rsidSect="005C72E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BtjxphAdvTT3713a23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1578F"/>
    <w:multiLevelType w:val="hybridMultilevel"/>
    <w:tmpl w:val="A6884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E0464E"/>
    <w:multiLevelType w:val="multilevel"/>
    <w:tmpl w:val="E2709E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145873"/>
    <w:multiLevelType w:val="multilevel"/>
    <w:tmpl w:val="6972BADC"/>
    <w:lvl w:ilvl="0">
      <w:start w:val="1"/>
      <w:numFmt w:val="decimal"/>
      <w:lvlText w:val="%1."/>
      <w:lvlJc w:val="right"/>
      <w:pPr>
        <w:ind w:left="720" w:hanging="360"/>
      </w:pPr>
      <w:rPr>
        <w:rFonts w:ascii="Noto Sans Symbols" w:eastAsia="Noto Sans Symbols" w:hAnsi="Noto Sans Symbols" w:cs="Noto Sans Symbols"/>
      </w:rPr>
    </w:lvl>
    <w:lvl w:ilvl="1">
      <w:start w:val="1"/>
      <w:numFmt w:val="decimal"/>
      <w:lvlText w:val="%1.%2."/>
      <w:lvlJc w:val="right"/>
      <w:pPr>
        <w:ind w:left="1440" w:hanging="360"/>
      </w:pPr>
      <w:rPr>
        <w:rFonts w:ascii="Palatino Linotype" w:eastAsia="Courier New" w:hAnsi="Palatino Linotype" w:cs="Courier New" w:hint="default"/>
      </w:rPr>
    </w:lvl>
    <w:lvl w:ilvl="2">
      <w:start w:val="1"/>
      <w:numFmt w:val="decimal"/>
      <w:lvlText w:val="%1.%2.%3."/>
      <w:lvlJc w:val="right"/>
      <w:pPr>
        <w:ind w:left="2160" w:hanging="360"/>
      </w:pPr>
      <w:rPr>
        <w:rFonts w:ascii="Noto Sans Symbols" w:eastAsia="Noto Sans Symbols" w:hAnsi="Noto Sans Symbols" w:cs="Noto Sans Symbols"/>
      </w:rPr>
    </w:lvl>
    <w:lvl w:ilvl="3">
      <w:start w:val="1"/>
      <w:numFmt w:val="decimal"/>
      <w:lvlText w:val="%1.%2.%3.%4."/>
      <w:lvlJc w:val="right"/>
      <w:pPr>
        <w:ind w:left="2880" w:hanging="360"/>
      </w:pPr>
      <w:rPr>
        <w:rFonts w:ascii="Noto Sans Symbols" w:eastAsia="Noto Sans Symbols" w:hAnsi="Noto Sans Symbols" w:cs="Noto Sans Symbols"/>
      </w:rPr>
    </w:lvl>
    <w:lvl w:ilvl="4">
      <w:start w:val="1"/>
      <w:numFmt w:val="decimal"/>
      <w:lvlText w:val="%1.%2.%3.%4.%5."/>
      <w:lvlJc w:val="right"/>
      <w:pPr>
        <w:ind w:left="3600" w:hanging="360"/>
      </w:pPr>
      <w:rPr>
        <w:rFonts w:ascii="Courier New" w:eastAsia="Courier New" w:hAnsi="Courier New" w:cs="Courier New"/>
      </w:rPr>
    </w:lvl>
    <w:lvl w:ilvl="5">
      <w:start w:val="1"/>
      <w:numFmt w:val="decimal"/>
      <w:lvlText w:val="%1.%2.%3.%4.%5.%6."/>
      <w:lvlJc w:val="right"/>
      <w:pPr>
        <w:ind w:left="4320" w:hanging="360"/>
      </w:pPr>
      <w:rPr>
        <w:rFonts w:ascii="Noto Sans Symbols" w:eastAsia="Noto Sans Symbols" w:hAnsi="Noto Sans Symbols" w:cs="Noto Sans Symbols"/>
      </w:rPr>
    </w:lvl>
    <w:lvl w:ilvl="6">
      <w:start w:val="1"/>
      <w:numFmt w:val="decimal"/>
      <w:lvlText w:val="%1.%2.%3.%4.%5.%6.%7."/>
      <w:lvlJc w:val="right"/>
      <w:pPr>
        <w:ind w:left="5040" w:hanging="360"/>
      </w:pPr>
      <w:rPr>
        <w:rFonts w:ascii="Noto Sans Symbols" w:eastAsia="Noto Sans Symbols" w:hAnsi="Noto Sans Symbols" w:cs="Noto Sans Symbols"/>
      </w:rPr>
    </w:lvl>
    <w:lvl w:ilvl="7">
      <w:start w:val="1"/>
      <w:numFmt w:val="decimal"/>
      <w:lvlText w:val="%1.%2.%3.%4.%5.%6.%7.%8."/>
      <w:lvlJc w:val="right"/>
      <w:pPr>
        <w:ind w:left="5760" w:hanging="360"/>
      </w:pPr>
      <w:rPr>
        <w:rFonts w:ascii="Courier New" w:eastAsia="Courier New" w:hAnsi="Courier New" w:cs="Courier New"/>
      </w:rPr>
    </w:lvl>
    <w:lvl w:ilvl="8">
      <w:start w:val="1"/>
      <w:numFmt w:val="decimal"/>
      <w:lvlText w:val="%1.%2.%3.%4.%5.%6.%7.%8.%9."/>
      <w:lvlJc w:val="right"/>
      <w:pPr>
        <w:ind w:left="6480" w:hanging="360"/>
      </w:pPr>
      <w:rPr>
        <w:rFonts w:ascii="Noto Sans Symbols" w:eastAsia="Noto Sans Symbols" w:hAnsi="Noto Sans Symbols" w:cs="Noto Sans Symbols"/>
      </w:rPr>
    </w:lvl>
  </w:abstractNum>
  <w:abstractNum w:abstractNumId="3" w15:restartNumberingAfterBreak="0">
    <w:nsid w:val="5D8D2871"/>
    <w:multiLevelType w:val="multilevel"/>
    <w:tmpl w:val="82C2C114"/>
    <w:lvl w:ilvl="0">
      <w:start w:val="1"/>
      <w:numFmt w:val="bullet"/>
      <w:lvlText w:val=""/>
      <w:lvlJc w:val="left"/>
      <w:pPr>
        <w:ind w:left="720" w:hanging="360"/>
      </w:pPr>
      <w:rPr>
        <w:rFonts w:ascii="Symbol" w:hAnsi="Symbol" w:hint="default"/>
      </w:rPr>
    </w:lvl>
    <w:lvl w:ilvl="1">
      <w:start w:val="1"/>
      <w:numFmt w:val="decimal"/>
      <w:lvlText w:val="%1.%2."/>
      <w:lvlJc w:val="right"/>
      <w:pPr>
        <w:ind w:left="1440" w:hanging="360"/>
      </w:pPr>
      <w:rPr>
        <w:rFonts w:ascii="Palatino Linotype" w:eastAsia="Courier New" w:hAnsi="Palatino Linotype" w:cs="Courier New" w:hint="default"/>
      </w:rPr>
    </w:lvl>
    <w:lvl w:ilvl="2">
      <w:start w:val="1"/>
      <w:numFmt w:val="decimal"/>
      <w:lvlText w:val="%1.%2.%3."/>
      <w:lvlJc w:val="right"/>
      <w:pPr>
        <w:ind w:left="2160" w:hanging="360"/>
      </w:pPr>
      <w:rPr>
        <w:rFonts w:ascii="Noto Sans Symbols" w:eastAsia="Noto Sans Symbols" w:hAnsi="Noto Sans Symbols" w:cs="Noto Sans Symbols"/>
      </w:rPr>
    </w:lvl>
    <w:lvl w:ilvl="3">
      <w:start w:val="1"/>
      <w:numFmt w:val="decimal"/>
      <w:lvlText w:val="%1.%2.%3.%4."/>
      <w:lvlJc w:val="right"/>
      <w:pPr>
        <w:ind w:left="2880" w:hanging="360"/>
      </w:pPr>
      <w:rPr>
        <w:rFonts w:ascii="Noto Sans Symbols" w:eastAsia="Noto Sans Symbols" w:hAnsi="Noto Sans Symbols" w:cs="Noto Sans Symbols"/>
      </w:rPr>
    </w:lvl>
    <w:lvl w:ilvl="4">
      <w:start w:val="1"/>
      <w:numFmt w:val="decimal"/>
      <w:lvlText w:val="%1.%2.%3.%4.%5."/>
      <w:lvlJc w:val="right"/>
      <w:pPr>
        <w:ind w:left="3600" w:hanging="360"/>
      </w:pPr>
      <w:rPr>
        <w:rFonts w:ascii="Courier New" w:eastAsia="Courier New" w:hAnsi="Courier New" w:cs="Courier New"/>
      </w:rPr>
    </w:lvl>
    <w:lvl w:ilvl="5">
      <w:start w:val="1"/>
      <w:numFmt w:val="decimal"/>
      <w:lvlText w:val="%1.%2.%3.%4.%5.%6."/>
      <w:lvlJc w:val="right"/>
      <w:pPr>
        <w:ind w:left="4320" w:hanging="360"/>
      </w:pPr>
      <w:rPr>
        <w:rFonts w:ascii="Noto Sans Symbols" w:eastAsia="Noto Sans Symbols" w:hAnsi="Noto Sans Symbols" w:cs="Noto Sans Symbols"/>
      </w:rPr>
    </w:lvl>
    <w:lvl w:ilvl="6">
      <w:start w:val="1"/>
      <w:numFmt w:val="decimal"/>
      <w:lvlText w:val="%1.%2.%3.%4.%5.%6.%7."/>
      <w:lvlJc w:val="right"/>
      <w:pPr>
        <w:ind w:left="5040" w:hanging="360"/>
      </w:pPr>
      <w:rPr>
        <w:rFonts w:ascii="Noto Sans Symbols" w:eastAsia="Noto Sans Symbols" w:hAnsi="Noto Sans Symbols" w:cs="Noto Sans Symbols"/>
      </w:rPr>
    </w:lvl>
    <w:lvl w:ilvl="7">
      <w:start w:val="1"/>
      <w:numFmt w:val="decimal"/>
      <w:lvlText w:val="%1.%2.%3.%4.%5.%6.%7.%8."/>
      <w:lvlJc w:val="right"/>
      <w:pPr>
        <w:ind w:left="5760" w:hanging="360"/>
      </w:pPr>
      <w:rPr>
        <w:rFonts w:ascii="Courier New" w:eastAsia="Courier New" w:hAnsi="Courier New" w:cs="Courier New"/>
      </w:rPr>
    </w:lvl>
    <w:lvl w:ilvl="8">
      <w:start w:val="1"/>
      <w:numFmt w:val="decimal"/>
      <w:lvlText w:val="%1.%2.%3.%4.%5.%6.%7.%8.%9."/>
      <w:lvlJc w:val="right"/>
      <w:pPr>
        <w:ind w:left="6480" w:hanging="360"/>
      </w:pPr>
      <w:rPr>
        <w:rFonts w:ascii="Noto Sans Symbols" w:eastAsia="Noto Sans Symbols" w:hAnsi="Noto Sans Symbols" w:cs="Noto Sans Symbols"/>
      </w:rPr>
    </w:lvl>
  </w:abstractNum>
  <w:abstractNum w:abstractNumId="4" w15:restartNumberingAfterBreak="0">
    <w:nsid w:val="6F640CBC"/>
    <w:multiLevelType w:val="hybridMultilevel"/>
    <w:tmpl w:val="3B3246EA"/>
    <w:lvl w:ilvl="0" w:tplc="2E2CA12A">
      <w:numFmt w:val="bullet"/>
      <w:lvlText w:val="-"/>
      <w:lvlJc w:val="left"/>
      <w:pPr>
        <w:ind w:left="720" w:hanging="360"/>
      </w:pPr>
      <w:rPr>
        <w:rFonts w:ascii="Palatino Linotype" w:eastAsia="SimSu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Palatino Linotype&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veewrx5baf0sae52phpp9fffxvf5f929zfv&quot;&gt;Resources and LCA&lt;record-ids&gt;&lt;item&gt;32&lt;/item&gt;&lt;item&gt;121&lt;/item&gt;&lt;item&gt;349&lt;/item&gt;&lt;item&gt;458&lt;/item&gt;&lt;item&gt;469&lt;/item&gt;&lt;item&gt;470&lt;/item&gt;&lt;item&gt;476&lt;/item&gt;&lt;item&gt;493&lt;/item&gt;&lt;item&gt;494&lt;/item&gt;&lt;item&gt;495&lt;/item&gt;&lt;item&gt;496&lt;/item&gt;&lt;item&gt;497&lt;/item&gt;&lt;item&gt;498&lt;/item&gt;&lt;item&gt;499&lt;/item&gt;&lt;item&gt;500&lt;/item&gt;&lt;item&gt;501&lt;/item&gt;&lt;item&gt;502&lt;/item&gt;&lt;item&gt;503&lt;/item&gt;&lt;item&gt;504&lt;/item&gt;&lt;item&gt;505&lt;/item&gt;&lt;item&gt;506&lt;/item&gt;&lt;item&gt;507&lt;/item&gt;&lt;item&gt;508&lt;/item&gt;&lt;item&gt;509&lt;/item&gt;&lt;item&gt;510&lt;/item&gt;&lt;item&gt;511&lt;/item&gt;&lt;item&gt;512&lt;/item&gt;&lt;item&gt;513&lt;/item&gt;&lt;item&gt;514&lt;/item&gt;&lt;item&gt;515&lt;/item&gt;&lt;item&gt;516&lt;/item&gt;&lt;item&gt;517&lt;/item&gt;&lt;item&gt;518&lt;/item&gt;&lt;item&gt;519&lt;/item&gt;&lt;item&gt;520&lt;/item&gt;&lt;item&gt;521&lt;/item&gt;&lt;item&gt;522&lt;/item&gt;&lt;item&gt;686&lt;/item&gt;&lt;/record-ids&gt;&lt;/item&gt;&lt;/Libraries&gt;"/>
  </w:docVars>
  <w:rsids>
    <w:rsidRoot w:val="00C62598"/>
    <w:rsid w:val="000423AC"/>
    <w:rsid w:val="000B6FF1"/>
    <w:rsid w:val="000C102A"/>
    <w:rsid w:val="00156217"/>
    <w:rsid w:val="00174914"/>
    <w:rsid w:val="00244B3B"/>
    <w:rsid w:val="002565D9"/>
    <w:rsid w:val="00265B4D"/>
    <w:rsid w:val="002D0394"/>
    <w:rsid w:val="002E7C20"/>
    <w:rsid w:val="003058E6"/>
    <w:rsid w:val="00345977"/>
    <w:rsid w:val="00362501"/>
    <w:rsid w:val="003D44AF"/>
    <w:rsid w:val="003E3ED9"/>
    <w:rsid w:val="003E3FBF"/>
    <w:rsid w:val="00433B2F"/>
    <w:rsid w:val="00490B6C"/>
    <w:rsid w:val="004B70D2"/>
    <w:rsid w:val="0051701A"/>
    <w:rsid w:val="00530484"/>
    <w:rsid w:val="00564EA5"/>
    <w:rsid w:val="005A64D9"/>
    <w:rsid w:val="005C72EF"/>
    <w:rsid w:val="005F0E37"/>
    <w:rsid w:val="006406A3"/>
    <w:rsid w:val="0066685F"/>
    <w:rsid w:val="00681613"/>
    <w:rsid w:val="006857DF"/>
    <w:rsid w:val="006D0345"/>
    <w:rsid w:val="00782EB5"/>
    <w:rsid w:val="007C677C"/>
    <w:rsid w:val="00811092"/>
    <w:rsid w:val="00846965"/>
    <w:rsid w:val="008E241C"/>
    <w:rsid w:val="009408C9"/>
    <w:rsid w:val="0098361D"/>
    <w:rsid w:val="00984EB5"/>
    <w:rsid w:val="00A70AE6"/>
    <w:rsid w:val="00AC603C"/>
    <w:rsid w:val="00AE2310"/>
    <w:rsid w:val="00AF7AB2"/>
    <w:rsid w:val="00B0422C"/>
    <w:rsid w:val="00B47AC4"/>
    <w:rsid w:val="00B9223F"/>
    <w:rsid w:val="00BE5113"/>
    <w:rsid w:val="00C616B8"/>
    <w:rsid w:val="00C62598"/>
    <w:rsid w:val="00CE4F52"/>
    <w:rsid w:val="00D51424"/>
    <w:rsid w:val="00E17852"/>
    <w:rsid w:val="00E714F3"/>
    <w:rsid w:val="00E87531"/>
    <w:rsid w:val="00EE33AA"/>
    <w:rsid w:val="00EE7B97"/>
    <w:rsid w:val="00F33AF5"/>
    <w:rsid w:val="00F578C0"/>
    <w:rsid w:val="00F61E1E"/>
    <w:rsid w:val="00FC15B7"/>
    <w:rsid w:val="00FD2B3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69B2B"/>
  <w15:chartTrackingRefBased/>
  <w15:docId w15:val="{23EFBA75-8996-4610-B753-7CEAB95E4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62598"/>
    <w:pPr>
      <w:spacing w:after="0" w:line="260" w:lineRule="atLeast"/>
      <w:jc w:val="both"/>
    </w:pPr>
    <w:rPr>
      <w:rFonts w:ascii="Palatino Linotype" w:eastAsia="SimSun" w:hAnsi="Palatino Linotype" w:cs="Times New Roman"/>
      <w:noProof/>
      <w:color w:val="000000"/>
      <w:sz w:val="20"/>
      <w:szCs w:val="20"/>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DPI12title">
    <w:name w:val="MDPI_1.2_title"/>
    <w:next w:val="Standard"/>
    <w:qFormat/>
    <w:rsid w:val="00C62598"/>
    <w:pPr>
      <w:adjustRightInd w:val="0"/>
      <w:snapToGrid w:val="0"/>
      <w:spacing w:after="240" w:line="240" w:lineRule="atLeast"/>
    </w:pPr>
    <w:rPr>
      <w:rFonts w:ascii="Palatino Linotype" w:eastAsia="Times New Roman" w:hAnsi="Palatino Linotype" w:cs="Times New Roman"/>
      <w:b/>
      <w:snapToGrid w:val="0"/>
      <w:color w:val="000000"/>
      <w:sz w:val="36"/>
      <w:szCs w:val="20"/>
      <w:lang w:eastAsia="de-DE" w:bidi="en-US"/>
    </w:rPr>
  </w:style>
  <w:style w:type="paragraph" w:customStyle="1" w:styleId="MDPI14history">
    <w:name w:val="MDPI_1.4_history"/>
    <w:basedOn w:val="Standard"/>
    <w:next w:val="Standard"/>
    <w:qFormat/>
    <w:rsid w:val="00C62598"/>
    <w:pPr>
      <w:adjustRightInd w:val="0"/>
      <w:snapToGrid w:val="0"/>
      <w:spacing w:line="240" w:lineRule="atLeast"/>
      <w:ind w:right="113"/>
      <w:jc w:val="left"/>
    </w:pPr>
    <w:rPr>
      <w:rFonts w:eastAsia="Times New Roman"/>
      <w:noProof w:val="0"/>
      <w:sz w:val="14"/>
      <w:lang w:eastAsia="de-DE" w:bidi="en-US"/>
    </w:rPr>
  </w:style>
  <w:style w:type="paragraph" w:customStyle="1" w:styleId="MDPI61Citation">
    <w:name w:val="MDPI_6.1_Citation"/>
    <w:qFormat/>
    <w:rsid w:val="00C62598"/>
    <w:pPr>
      <w:adjustRightInd w:val="0"/>
      <w:snapToGrid w:val="0"/>
      <w:spacing w:after="0" w:line="240" w:lineRule="atLeast"/>
      <w:ind w:right="113"/>
    </w:pPr>
    <w:rPr>
      <w:rFonts w:ascii="Palatino Linotype" w:eastAsia="SimSun" w:hAnsi="Palatino Linotype" w:cs="Cordia New"/>
      <w:sz w:val="14"/>
      <w:lang w:eastAsia="zh-CN"/>
    </w:rPr>
  </w:style>
  <w:style w:type="paragraph" w:customStyle="1" w:styleId="MDPI63Notes">
    <w:name w:val="MDPI_6.3_Notes"/>
    <w:qFormat/>
    <w:rsid w:val="00C62598"/>
    <w:pPr>
      <w:adjustRightInd w:val="0"/>
      <w:snapToGrid w:val="0"/>
      <w:spacing w:after="120" w:line="240" w:lineRule="atLeast"/>
      <w:ind w:right="113"/>
    </w:pPr>
    <w:rPr>
      <w:rFonts w:ascii="Palatino Linotype" w:eastAsia="SimSun" w:hAnsi="Palatino Linotype" w:cs="Times New Roman"/>
      <w:snapToGrid w:val="0"/>
      <w:color w:val="000000"/>
      <w:sz w:val="14"/>
      <w:szCs w:val="20"/>
      <w:lang w:bidi="en-US"/>
    </w:rPr>
  </w:style>
  <w:style w:type="character" w:styleId="Kommentarzeichen">
    <w:name w:val="annotation reference"/>
    <w:rsid w:val="00C62598"/>
    <w:rPr>
      <w:sz w:val="21"/>
      <w:szCs w:val="21"/>
    </w:rPr>
  </w:style>
  <w:style w:type="paragraph" w:styleId="Kommentartext">
    <w:name w:val="annotation text"/>
    <w:basedOn w:val="Standard"/>
    <w:link w:val="KommentartextZchn"/>
    <w:rsid w:val="00C62598"/>
  </w:style>
  <w:style w:type="character" w:customStyle="1" w:styleId="KommentartextZchn">
    <w:name w:val="Kommentartext Zchn"/>
    <w:basedOn w:val="Absatz-Standardschriftart"/>
    <w:link w:val="Kommentartext"/>
    <w:rsid w:val="00C62598"/>
    <w:rPr>
      <w:rFonts w:ascii="Palatino Linotype" w:eastAsia="SimSun" w:hAnsi="Palatino Linotype" w:cs="Times New Roman"/>
      <w:noProof/>
      <w:color w:val="000000"/>
      <w:sz w:val="20"/>
      <w:szCs w:val="20"/>
      <w:lang w:eastAsia="zh-CN"/>
    </w:rPr>
  </w:style>
  <w:style w:type="paragraph" w:styleId="Sprechblasentext">
    <w:name w:val="Balloon Text"/>
    <w:basedOn w:val="Standard"/>
    <w:link w:val="SprechblasentextZchn"/>
    <w:uiPriority w:val="99"/>
    <w:semiHidden/>
    <w:unhideWhenUsed/>
    <w:rsid w:val="00C62598"/>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62598"/>
    <w:rPr>
      <w:rFonts w:ascii="Segoe UI" w:eastAsia="SimSun" w:hAnsi="Segoe UI" w:cs="Segoe UI"/>
      <w:noProof/>
      <w:color w:val="000000"/>
      <w:sz w:val="18"/>
      <w:szCs w:val="18"/>
      <w:lang w:eastAsia="zh-CN"/>
    </w:rPr>
  </w:style>
  <w:style w:type="paragraph" w:styleId="Beschriftung">
    <w:name w:val="caption"/>
    <w:basedOn w:val="Standard"/>
    <w:next w:val="Standard"/>
    <w:uiPriority w:val="35"/>
    <w:unhideWhenUsed/>
    <w:qFormat/>
    <w:rsid w:val="00C62598"/>
    <w:pPr>
      <w:spacing w:after="200" w:line="240" w:lineRule="auto"/>
    </w:pPr>
    <w:rPr>
      <w:i/>
      <w:iCs/>
      <w:color w:val="1F497D" w:themeColor="text2"/>
      <w:sz w:val="18"/>
      <w:szCs w:val="18"/>
    </w:rPr>
  </w:style>
  <w:style w:type="paragraph" w:customStyle="1" w:styleId="EndNoteBibliographyTitle">
    <w:name w:val="EndNote Bibliography Title"/>
    <w:basedOn w:val="Standard"/>
    <w:link w:val="EndNoteBibliographyTitleZchn"/>
    <w:rsid w:val="00C62598"/>
    <w:pPr>
      <w:jc w:val="center"/>
    </w:pPr>
  </w:style>
  <w:style w:type="character" w:customStyle="1" w:styleId="EndNoteBibliographyTitleZchn">
    <w:name w:val="EndNote Bibliography Title Zchn"/>
    <w:basedOn w:val="Absatz-Standardschriftart"/>
    <w:link w:val="EndNoteBibliographyTitle"/>
    <w:rsid w:val="00C62598"/>
    <w:rPr>
      <w:rFonts w:ascii="Palatino Linotype" w:eastAsia="SimSun" w:hAnsi="Palatino Linotype" w:cs="Times New Roman"/>
      <w:noProof/>
      <w:color w:val="000000"/>
      <w:sz w:val="20"/>
      <w:szCs w:val="20"/>
      <w:lang w:eastAsia="zh-CN"/>
    </w:rPr>
  </w:style>
  <w:style w:type="paragraph" w:customStyle="1" w:styleId="EndNoteBibliography">
    <w:name w:val="EndNote Bibliography"/>
    <w:basedOn w:val="Standard"/>
    <w:link w:val="EndNoteBibliographyZchn"/>
    <w:rsid w:val="00C62598"/>
    <w:pPr>
      <w:spacing w:line="240" w:lineRule="atLeast"/>
    </w:pPr>
  </w:style>
  <w:style w:type="character" w:customStyle="1" w:styleId="EndNoteBibliographyZchn">
    <w:name w:val="EndNote Bibliography Zchn"/>
    <w:basedOn w:val="Absatz-Standardschriftart"/>
    <w:link w:val="EndNoteBibliography"/>
    <w:rsid w:val="00C62598"/>
    <w:rPr>
      <w:rFonts w:ascii="Palatino Linotype" w:eastAsia="SimSun" w:hAnsi="Palatino Linotype" w:cs="Times New Roman"/>
      <w:noProof/>
      <w:color w:val="000000"/>
      <w:sz w:val="20"/>
      <w:szCs w:val="20"/>
      <w:lang w:eastAsia="zh-CN"/>
    </w:rPr>
  </w:style>
  <w:style w:type="character" w:customStyle="1" w:styleId="fontstyle01">
    <w:name w:val="fontstyle01"/>
    <w:basedOn w:val="Absatz-Standardschriftart"/>
    <w:rsid w:val="002565D9"/>
    <w:rPr>
      <w:rFonts w:ascii="BtjxphAdvTT3713a231" w:hAnsi="BtjxphAdvTT3713a231" w:hint="default"/>
      <w:b w:val="0"/>
      <w:bCs w:val="0"/>
      <w:i w:val="0"/>
      <w:iCs w:val="0"/>
      <w:color w:val="131413"/>
      <w:sz w:val="20"/>
      <w:szCs w:val="20"/>
    </w:rPr>
  </w:style>
  <w:style w:type="paragraph" w:styleId="Listenabsatz">
    <w:name w:val="List Paragraph"/>
    <w:basedOn w:val="Standard"/>
    <w:uiPriority w:val="34"/>
    <w:qFormat/>
    <w:rsid w:val="00B47AC4"/>
    <w:pPr>
      <w:ind w:left="720"/>
      <w:contextualSpacing/>
    </w:pPr>
  </w:style>
  <w:style w:type="paragraph" w:styleId="Kommentarthema">
    <w:name w:val="annotation subject"/>
    <w:basedOn w:val="Kommentartext"/>
    <w:next w:val="Kommentartext"/>
    <w:link w:val="KommentarthemaZchn"/>
    <w:uiPriority w:val="99"/>
    <w:semiHidden/>
    <w:unhideWhenUsed/>
    <w:rsid w:val="00490B6C"/>
    <w:pPr>
      <w:spacing w:line="240" w:lineRule="auto"/>
    </w:pPr>
    <w:rPr>
      <w:b/>
      <w:bCs/>
    </w:rPr>
  </w:style>
  <w:style w:type="character" w:customStyle="1" w:styleId="KommentarthemaZchn">
    <w:name w:val="Kommentarthema Zchn"/>
    <w:basedOn w:val="KommentartextZchn"/>
    <w:link w:val="Kommentarthema"/>
    <w:uiPriority w:val="99"/>
    <w:semiHidden/>
    <w:rsid w:val="00490B6C"/>
    <w:rPr>
      <w:rFonts w:ascii="Palatino Linotype" w:eastAsia="SimSun" w:hAnsi="Palatino Linotype" w:cs="Times New Roman"/>
      <w:b/>
      <w:bCs/>
      <w:noProof/>
      <w:color w:val="000000"/>
      <w:sz w:val="20"/>
      <w:szCs w:val="20"/>
      <w:lang w:eastAsia="zh-CN"/>
    </w:rPr>
  </w:style>
  <w:style w:type="table" w:styleId="Tabellenraster">
    <w:name w:val="Table Grid"/>
    <w:basedOn w:val="NormaleTabelle"/>
    <w:uiPriority w:val="59"/>
    <w:rsid w:val="00F61E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B9223F"/>
    <w:rPr>
      <w:color w:val="0000FF" w:themeColor="hyperlink"/>
      <w:u w:val="single"/>
    </w:rPr>
  </w:style>
  <w:style w:type="character" w:customStyle="1" w:styleId="NichtaufgelsteErwhnung1">
    <w:name w:val="Nicht aufgelöste Erwähnung1"/>
    <w:basedOn w:val="Absatz-Standardschriftart"/>
    <w:uiPriority w:val="99"/>
    <w:semiHidden/>
    <w:unhideWhenUsed/>
    <w:rsid w:val="00B9223F"/>
    <w:rPr>
      <w:color w:val="605E5C"/>
      <w:shd w:val="clear" w:color="auto" w:fill="E1DFDD"/>
    </w:rPr>
  </w:style>
  <w:style w:type="paragraph" w:customStyle="1" w:styleId="MDPI31text">
    <w:name w:val="MDPI_3.1_text"/>
    <w:link w:val="MDPI31textZchn"/>
    <w:qFormat/>
    <w:rsid w:val="0066685F"/>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character" w:customStyle="1" w:styleId="MDPI31textZchn">
    <w:name w:val="MDPI_3.1_text Zchn"/>
    <w:basedOn w:val="Absatz-Standardschriftart"/>
    <w:link w:val="MDPI31text"/>
    <w:rsid w:val="0066685F"/>
    <w:rPr>
      <w:rFonts w:ascii="Palatino Linotype" w:eastAsia="Times New Roman" w:hAnsi="Palatino Linotype" w:cs="Times New Roman"/>
      <w:snapToGrid w:val="0"/>
      <w:color w:val="000000"/>
      <w:sz w:val="20"/>
      <w:lang w:eastAsia="de-DE" w:bidi="en-US"/>
    </w:rPr>
  </w:style>
  <w:style w:type="character" w:styleId="NichtaufgelsteErwhnung">
    <w:name w:val="Unresolved Mention"/>
    <w:basedOn w:val="Absatz-Standardschriftart"/>
    <w:uiPriority w:val="99"/>
    <w:semiHidden/>
    <w:unhideWhenUsed/>
    <w:rsid w:val="00CE4F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558317">
      <w:bodyDiv w:val="1"/>
      <w:marLeft w:val="0"/>
      <w:marRight w:val="0"/>
      <w:marTop w:val="0"/>
      <w:marBottom w:val="0"/>
      <w:divBdr>
        <w:top w:val="none" w:sz="0" w:space="0" w:color="auto"/>
        <w:left w:val="none" w:sz="0" w:space="0" w:color="auto"/>
        <w:bottom w:val="none" w:sz="0" w:space="0" w:color="auto"/>
        <w:right w:val="none" w:sz="0" w:space="0" w:color="auto"/>
      </w:divBdr>
      <w:divsChild>
        <w:div w:id="411783318">
          <w:marLeft w:val="0"/>
          <w:marRight w:val="0"/>
          <w:marTop w:val="0"/>
          <w:marBottom w:val="0"/>
          <w:divBdr>
            <w:top w:val="none" w:sz="0" w:space="0" w:color="auto"/>
            <w:left w:val="none" w:sz="0" w:space="0" w:color="auto"/>
            <w:bottom w:val="none" w:sz="0" w:space="0" w:color="auto"/>
            <w:right w:val="none" w:sz="0" w:space="0" w:color="auto"/>
          </w:divBdr>
        </w:div>
      </w:divsChild>
    </w:div>
    <w:div w:id="1056666833">
      <w:bodyDiv w:val="1"/>
      <w:marLeft w:val="0"/>
      <w:marRight w:val="0"/>
      <w:marTop w:val="0"/>
      <w:marBottom w:val="0"/>
      <w:divBdr>
        <w:top w:val="none" w:sz="0" w:space="0" w:color="auto"/>
        <w:left w:val="none" w:sz="0" w:space="0" w:color="auto"/>
        <w:bottom w:val="none" w:sz="0" w:space="0" w:color="auto"/>
        <w:right w:val="none" w:sz="0" w:space="0" w:color="auto"/>
      </w:divBdr>
      <w:divsChild>
        <w:div w:id="887105887">
          <w:marLeft w:val="0"/>
          <w:marRight w:val="0"/>
          <w:marTop w:val="0"/>
          <w:marBottom w:val="0"/>
          <w:divBdr>
            <w:top w:val="none" w:sz="0" w:space="0" w:color="auto"/>
            <w:left w:val="none" w:sz="0" w:space="0" w:color="auto"/>
            <w:bottom w:val="none" w:sz="0" w:space="0" w:color="auto"/>
            <w:right w:val="none" w:sz="0" w:space="0" w:color="auto"/>
          </w:divBdr>
        </w:div>
      </w:divsChild>
    </w:div>
    <w:div w:id="1294486776">
      <w:bodyDiv w:val="1"/>
      <w:marLeft w:val="0"/>
      <w:marRight w:val="0"/>
      <w:marTop w:val="0"/>
      <w:marBottom w:val="0"/>
      <w:divBdr>
        <w:top w:val="none" w:sz="0" w:space="0" w:color="auto"/>
        <w:left w:val="none" w:sz="0" w:space="0" w:color="auto"/>
        <w:bottom w:val="none" w:sz="0" w:space="0" w:color="auto"/>
        <w:right w:val="none" w:sz="0" w:space="0" w:color="auto"/>
      </w:divBdr>
      <w:divsChild>
        <w:div w:id="558709953">
          <w:marLeft w:val="0"/>
          <w:marRight w:val="0"/>
          <w:marTop w:val="0"/>
          <w:marBottom w:val="0"/>
          <w:divBdr>
            <w:top w:val="none" w:sz="0" w:space="0" w:color="auto"/>
            <w:left w:val="none" w:sz="0" w:space="0" w:color="auto"/>
            <w:bottom w:val="none" w:sz="0" w:space="0" w:color="auto"/>
            <w:right w:val="none" w:sz="0" w:space="0" w:color="auto"/>
          </w:divBdr>
        </w:div>
      </w:divsChild>
    </w:div>
    <w:div w:id="1361856922">
      <w:bodyDiv w:val="1"/>
      <w:marLeft w:val="0"/>
      <w:marRight w:val="0"/>
      <w:marTop w:val="0"/>
      <w:marBottom w:val="0"/>
      <w:divBdr>
        <w:top w:val="none" w:sz="0" w:space="0" w:color="auto"/>
        <w:left w:val="none" w:sz="0" w:space="0" w:color="auto"/>
        <w:bottom w:val="none" w:sz="0" w:space="0" w:color="auto"/>
        <w:right w:val="none" w:sz="0" w:space="0" w:color="auto"/>
      </w:divBdr>
      <w:divsChild>
        <w:div w:id="1632979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76AA98A7FE073545AE31A4DE9F398A2A" ma:contentTypeVersion="6" ma:contentTypeDescription="Ein neues Dokument erstellen." ma:contentTypeScope="" ma:versionID="a2d28829ca969bb2a829d1f6fa554527">
  <xsd:schema xmlns:xsd="http://www.w3.org/2001/XMLSchema" xmlns:xs="http://www.w3.org/2001/XMLSchema" xmlns:p="http://schemas.microsoft.com/office/2006/metadata/properties" xmlns:ns2="2f405445-e295-470f-8567-4b11bc0e2131" xmlns:ns3="a39c31e1-0e21-4d48-a43e-e1004890f74b" targetNamespace="http://schemas.microsoft.com/office/2006/metadata/properties" ma:root="true" ma:fieldsID="749f888ad9c01c6bbcead10798a80a7a" ns2:_="" ns3:_="">
    <xsd:import namespace="2f405445-e295-470f-8567-4b11bc0e2131"/>
    <xsd:import namespace="a39c31e1-0e21-4d48-a43e-e1004890f7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405445-e295-470f-8567-4b11bc0e21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c31e1-0e21-4d48-a43e-e1004890f74b"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3439E2-E415-497E-8652-C6166066AEE9}">
  <ds:schemaRefs>
    <ds:schemaRef ds:uri="http://schemas.openxmlformats.org/officeDocument/2006/bibliography"/>
  </ds:schemaRefs>
</ds:datastoreItem>
</file>

<file path=customXml/itemProps2.xml><?xml version="1.0" encoding="utf-8"?>
<ds:datastoreItem xmlns:ds="http://schemas.openxmlformats.org/officeDocument/2006/customXml" ds:itemID="{2155A6FB-961B-4D6B-808D-82D0B269D71D}"/>
</file>

<file path=customXml/itemProps3.xml><?xml version="1.0" encoding="utf-8"?>
<ds:datastoreItem xmlns:ds="http://schemas.openxmlformats.org/officeDocument/2006/customXml" ds:itemID="{7373EF71-B900-410C-B63C-84F2259429F9}"/>
</file>

<file path=customXml/itemProps4.xml><?xml version="1.0" encoding="utf-8"?>
<ds:datastoreItem xmlns:ds="http://schemas.openxmlformats.org/officeDocument/2006/customXml" ds:itemID="{A8B325C2-A8E6-4210-84CF-0DD3C40DB66A}"/>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4070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DLR e.V.</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Naegler, Tobias</dc:creator>
  <cp:keywords/>
  <dc:description/>
  <cp:lastModifiedBy>Lisa Becker</cp:lastModifiedBy>
  <cp:revision>5</cp:revision>
  <dcterms:created xsi:type="dcterms:W3CDTF">2021-08-11T06:42:00Z</dcterms:created>
  <dcterms:modified xsi:type="dcterms:W3CDTF">2021-08-11T07:00:00Z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ACM SIG Proceedings With Long Author List</vt:lpwstr>
  </property>
  <property fmtid="{D5CDD505-2E9C-101B-9397-08002B2CF9AE}" pid="3" name="ContentTypeId">
    <vt:lpwstr>0x01010076AA98A7FE073545AE31A4DE9F398A2A</vt:lpwstr>
  </property>
</Properties>
</file>