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7615E" w14:textId="77777777" w:rsidR="00C22DDF" w:rsidRPr="00630C7F" w:rsidRDefault="00C22DDF" w:rsidP="00C22DDF">
      <w:pPr>
        <w:pStyle w:val="Heading2"/>
        <w:spacing w:before="80" w:after="360"/>
        <w:jc w:val="both"/>
        <w:rPr>
          <w:rFonts w:ascii="Times New Roman" w:hAnsi="Times New Roman" w:cs="Times New Roman"/>
        </w:rPr>
      </w:pPr>
      <w:r w:rsidRPr="00630C7F">
        <w:rPr>
          <w:rFonts w:ascii="Times New Roman" w:hAnsi="Times New Roman" w:cs="Times New Roman"/>
        </w:rPr>
        <w:t>Appendix</w:t>
      </w:r>
      <w:r>
        <w:rPr>
          <w:rFonts w:ascii="Times New Roman" w:hAnsi="Times New Roman" w:cs="Times New Roman"/>
        </w:rPr>
        <w:t xml:space="preserve"> A</w:t>
      </w:r>
      <w:r w:rsidRPr="00630C7F">
        <w:rPr>
          <w:rFonts w:ascii="Times New Roman" w:hAnsi="Times New Roman" w:cs="Times New Roman"/>
        </w:rPr>
        <w:t>: Methodological Details</w:t>
      </w:r>
    </w:p>
    <w:p w14:paraId="5A1F1FCC" w14:textId="77777777" w:rsidR="00C22DDF" w:rsidRPr="00630C7F" w:rsidRDefault="00C22DDF" w:rsidP="00C22DDF">
      <w:pPr>
        <w:jc w:val="both"/>
        <w:rPr>
          <w:rFonts w:ascii="Times New Roman" w:hAnsi="Times New Roman" w:cs="Times New Roman"/>
          <w:lang w:val="en-US"/>
        </w:rPr>
      </w:pPr>
      <w:r w:rsidRPr="00630C7F">
        <w:rPr>
          <w:rFonts w:ascii="Times New Roman" w:hAnsi="Times New Roman" w:cs="Times New Roman"/>
          <w:lang w:val="en-US"/>
        </w:rPr>
        <w:t>This appendix provides mathematical definitions and formulas for the key analytic measures used in the study. Each formula is explained in context. Let </w:t>
      </w:r>
      <w:r w:rsidRPr="00630C7F">
        <w:rPr>
          <w:rFonts w:ascii="Times New Roman" w:hAnsi="Times New Roman" w:cs="Times New Roman"/>
          <w:i/>
          <w:iCs/>
          <w:lang w:val="en-US"/>
        </w:rPr>
        <w:t>n</w:t>
      </w:r>
      <w:r w:rsidRPr="00630C7F">
        <w:rPr>
          <w:rFonts w:ascii="Times New Roman" w:hAnsi="Times New Roman" w:cs="Times New Roman"/>
          <w:lang w:val="en-US"/>
        </w:rPr>
        <w:t> be the number of cases (observations) and </w:t>
      </w: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lang w:val="en-US"/>
              </w:rPr>
              <m:t>(</m:t>
            </m:r>
            <m:r>
              <w:rPr>
                <w:rFonts w:ascii="Cambria Math" w:hAnsi="Cambria Math" w:cs="Times New Roman"/>
                <w:vertAlign w:val="subscript"/>
              </w:rPr>
              <m:t>i</m:t>
            </m:r>
            <m:r>
              <w:rPr>
                <w:rFonts w:ascii="Cambria Math" w:hAnsi="Cambria Math" w:cs="Times New Roman"/>
                <w:vertAlign w:val="subscript"/>
                <w:lang w:val="en-US"/>
              </w:rPr>
              <m:t>)</m:t>
            </m:r>
          </m:sub>
        </m:sSub>
      </m:oMath>
      <w:r w:rsidRPr="00630C7F">
        <w:rPr>
          <w:rFonts w:ascii="Times New Roman" w:hAnsi="Times New Roman" w:cs="Times New Roman"/>
          <w:lang w:val="en-US"/>
        </w:rPr>
        <w:t> denote the loss amount for the </w:t>
      </w:r>
      <w:r w:rsidRPr="00630C7F">
        <w:rPr>
          <w:rFonts w:ascii="Times New Roman" w:hAnsi="Times New Roman" w:cs="Times New Roman"/>
          <w:i/>
          <w:iCs/>
          <w:lang w:val="en-US"/>
        </w:rPr>
        <w:t>i</w:t>
      </w:r>
      <w:r w:rsidRPr="00630C7F">
        <w:rPr>
          <w:rFonts w:ascii="Times New Roman" w:hAnsi="Times New Roman" w:cs="Times New Roman"/>
          <w:lang w:val="en-US"/>
        </w:rPr>
        <w:t>-th case in ascending order (so </w:t>
      </w: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lang w:val="en-US"/>
              </w:rPr>
              <m:t>(</m:t>
            </m:r>
            <m:r>
              <w:rPr>
                <w:rFonts w:ascii="Cambria Math" w:hAnsi="Cambria Math" w:cs="Times New Roman"/>
                <w:vertAlign w:val="subscript"/>
              </w:rPr>
              <m:t>1</m:t>
            </m:r>
            <m:r>
              <w:rPr>
                <w:rFonts w:ascii="Cambria Math" w:hAnsi="Cambria Math" w:cs="Times New Roman"/>
                <w:vertAlign w:val="subscript"/>
                <w:lang w:val="en-US"/>
              </w:rPr>
              <m:t>)</m:t>
            </m:r>
          </m:sub>
        </m:sSub>
      </m:oMath>
      <w:r w:rsidRPr="00630C7F">
        <w:rPr>
          <w:rFonts w:ascii="Times New Roman" w:hAnsi="Times New Roman" w:cs="Times New Roman"/>
          <w:lang w:val="en-US"/>
        </w:rPr>
        <w:t> is the smallest loss and </w:t>
      </w: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lang w:val="en-US"/>
              </w:rPr>
              <m:t>(</m:t>
            </m:r>
            <m:r>
              <w:rPr>
                <w:rFonts w:ascii="Cambria Math" w:hAnsi="Cambria Math" w:cs="Times New Roman"/>
                <w:vertAlign w:val="subscript"/>
              </w:rPr>
              <m:t>n</m:t>
            </m:r>
            <m:r>
              <w:rPr>
                <w:rFonts w:ascii="Cambria Math" w:hAnsi="Cambria Math" w:cs="Times New Roman"/>
                <w:vertAlign w:val="subscript"/>
                <w:lang w:val="en-US"/>
              </w:rPr>
              <m:t>)</m:t>
            </m:r>
          </m:sub>
        </m:sSub>
      </m:oMath>
      <w:r w:rsidRPr="00630C7F">
        <w:rPr>
          <w:rFonts w:ascii="Times New Roman" w:hAnsi="Times New Roman" w:cs="Times New Roman"/>
          <w:lang w:val="en-US"/>
        </w:rPr>
        <w:t>is the largest).</w:t>
      </w:r>
    </w:p>
    <w:p w14:paraId="7713CE57" w14:textId="77777777" w:rsidR="00C22DDF" w:rsidRPr="00630C7F" w:rsidRDefault="00C22DDF" w:rsidP="00C22DDF">
      <w:pPr>
        <w:jc w:val="both"/>
        <w:rPr>
          <w:rFonts w:ascii="Times New Roman" w:hAnsi="Times New Roman" w:cs="Times New Roman"/>
          <w:lang w:val="en-US"/>
        </w:rPr>
      </w:pPr>
      <w:r w:rsidRPr="00630C7F">
        <w:rPr>
          <w:rFonts w:ascii="Times New Roman" w:hAnsi="Times New Roman" w:cs="Times New Roman"/>
          <w:b/>
          <w:bCs/>
          <w:lang w:val="en-US"/>
        </w:rPr>
        <w:t>Interquartile Range (IQR):</w:t>
      </w:r>
      <w:r w:rsidRPr="00630C7F">
        <w:rPr>
          <w:rFonts w:ascii="Times New Roman" w:hAnsi="Times New Roman" w:cs="Times New Roman"/>
          <w:lang w:val="en-US"/>
        </w:rPr>
        <w:t> The IQR is a measure of statistical dispersion and is defined as the difference between the 75th percentile (Q3) and the 25th percentile (Q1) of the loss distribution. In practice, Q1 and Q3 are computed from the sorted loss values. Formally, if </w:t>
      </w: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lang w:val="en-US"/>
              </w:rPr>
              <m:t>(</m:t>
            </m:r>
            <m:r>
              <w:rPr>
                <w:rFonts w:ascii="Cambria Math" w:hAnsi="Cambria Math" w:cs="Times New Roman"/>
                <w:vertAlign w:val="subscript"/>
              </w:rPr>
              <m:t>k</m:t>
            </m:r>
            <m:r>
              <w:rPr>
                <w:rFonts w:ascii="Cambria Math" w:hAnsi="Cambria Math" w:cs="Times New Roman"/>
                <w:vertAlign w:val="subscript"/>
                <w:lang w:val="en-US"/>
              </w:rPr>
              <m:t>)</m:t>
            </m:r>
          </m:sub>
        </m:sSub>
      </m:oMath>
      <w:r w:rsidRPr="00630C7F">
        <w:rPr>
          <w:rFonts w:ascii="Times New Roman" w:hAnsi="Times New Roman" w:cs="Times New Roman"/>
          <w:lang w:val="en-US"/>
        </w:rPr>
        <w:t> is the 25th percentile and </w:t>
      </w: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lang w:val="en-US"/>
              </w:rPr>
              <m:t>(</m:t>
            </m:r>
            <m:r>
              <w:rPr>
                <w:rFonts w:ascii="Cambria Math" w:hAnsi="Cambria Math" w:cs="Times New Roman"/>
                <w:vertAlign w:val="subscript"/>
              </w:rPr>
              <m:t>l</m:t>
            </m:r>
            <m:r>
              <w:rPr>
                <w:rFonts w:ascii="Cambria Math" w:hAnsi="Cambria Math" w:cs="Times New Roman"/>
                <w:vertAlign w:val="subscript"/>
                <w:lang w:val="en-US"/>
              </w:rPr>
              <m:t>)</m:t>
            </m:r>
          </m:sub>
        </m:sSub>
      </m:oMath>
      <w:r w:rsidRPr="00630C7F">
        <w:rPr>
          <w:rFonts w:ascii="Times New Roman" w:hAnsi="Times New Roman" w:cs="Times New Roman"/>
          <w:lang w:val="en-US"/>
        </w:rPr>
        <w:t> is the 75th percentile, then</w:t>
      </w:r>
    </w:p>
    <w:p w14:paraId="4DDFDBC3" w14:textId="77777777" w:rsidR="00C22DDF" w:rsidRPr="00630C7F" w:rsidRDefault="00C22DDF" w:rsidP="00C22DDF">
      <w:pPr>
        <w:spacing w:after="160"/>
        <w:jc w:val="center"/>
        <w:rPr>
          <w:rFonts w:ascii="Times New Roman" w:eastAsiaTheme="minorEastAsia" w:hAnsi="Times New Roman" w:cs="Times New Roman"/>
          <w:vertAlign w:val="subscript"/>
        </w:rPr>
      </w:pPr>
      <w:r w:rsidRPr="00630C7F">
        <w:rPr>
          <w:rFonts w:ascii="Times New Roman" w:hAnsi="Times New Roman" w:cs="Times New Roman"/>
          <w:lang w:val="en-US"/>
        </w:rPr>
        <w:t xml:space="preserve">IQR = Q3 – Q1 = </w:t>
      </w: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lang w:val="en-US"/>
              </w:rPr>
              <m:t>(</m:t>
            </m:r>
            <m:r>
              <w:rPr>
                <w:rFonts w:ascii="Cambria Math" w:hAnsi="Cambria Math" w:cs="Times New Roman"/>
                <w:vertAlign w:val="subscript"/>
              </w:rPr>
              <m:t>k</m:t>
            </m:r>
            <m:r>
              <w:rPr>
                <w:rFonts w:ascii="Cambria Math" w:hAnsi="Cambria Math" w:cs="Times New Roman"/>
                <w:vertAlign w:val="subscript"/>
                <w:lang w:val="en-US"/>
              </w:rPr>
              <m:t>)</m:t>
            </m:r>
          </m:sub>
        </m:sSub>
      </m:oMath>
      <w:r w:rsidRPr="00630C7F">
        <w:rPr>
          <w:rFonts w:ascii="Times New Roman" w:hAnsi="Times New Roman" w:cs="Times New Roman"/>
          <w:lang w:val="en-US"/>
        </w:rPr>
        <w:t xml:space="preserve"> – </w:t>
      </w:r>
      <m:oMath>
        <m:sSub>
          <m:sSubPr>
            <m:ctrlPr>
              <w:rPr>
                <w:rFonts w:ascii="Cambria Math" w:hAnsi="Cambria Math" w:cs="Times New Roman"/>
                <w:i/>
                <w:vertAlign w:val="subscript"/>
              </w:rPr>
            </m:ctrlPr>
          </m:sSubPr>
          <m:e>
            <m:r>
              <w:rPr>
                <w:rFonts w:ascii="Cambria Math" w:hAnsi="Cambria Math" w:cs="Times New Roman"/>
                <w:vertAlign w:val="subscript"/>
              </w:rPr>
              <m:t>x</m:t>
            </m:r>
          </m:e>
          <m:sub>
            <m:r>
              <w:rPr>
                <w:rFonts w:ascii="Cambria Math" w:hAnsi="Cambria Math" w:cs="Times New Roman"/>
                <w:vertAlign w:val="subscript"/>
                <w:lang w:val="en-US"/>
              </w:rPr>
              <m:t>(</m:t>
            </m:r>
            <m:r>
              <w:rPr>
                <w:rFonts w:ascii="Cambria Math" w:hAnsi="Cambria Math" w:cs="Times New Roman"/>
                <w:vertAlign w:val="subscript"/>
              </w:rPr>
              <m:t>l</m:t>
            </m:r>
            <m:r>
              <w:rPr>
                <w:rFonts w:ascii="Cambria Math" w:hAnsi="Cambria Math" w:cs="Times New Roman"/>
                <w:vertAlign w:val="subscript"/>
                <w:lang w:val="en-US"/>
              </w:rPr>
              <m:t>)</m:t>
            </m:r>
          </m:sub>
        </m:sSub>
      </m:oMath>
      <w:r w:rsidRPr="00630C7F">
        <w:rPr>
          <w:rFonts w:ascii="Times New Roman" w:eastAsiaTheme="minorEastAsia" w:hAnsi="Times New Roman" w:cs="Times New Roman"/>
          <w:vertAlign w:val="subscript"/>
        </w:rPr>
        <w:t>,</w:t>
      </w:r>
    </w:p>
    <w:p w14:paraId="1FFEA0EF" w14:textId="77777777" w:rsidR="00C22DDF" w:rsidRPr="00630C7F" w:rsidRDefault="00C22DDF" w:rsidP="00C22DDF">
      <w:pPr>
        <w:rPr>
          <w:rFonts w:ascii="Times New Roman" w:hAnsi="Times New Roman" w:cs="Times New Roman"/>
          <w:lang w:val="en-US"/>
        </w:rPr>
      </w:pPr>
      <w:r w:rsidRPr="00630C7F">
        <w:rPr>
          <w:rFonts w:ascii="Times New Roman" w:hAnsi="Times New Roman" w:cs="Times New Roman"/>
        </w:rPr>
        <w:t>where </w:t>
      </w:r>
      <w:r w:rsidRPr="00630C7F">
        <w:rPr>
          <w:rFonts w:ascii="Times New Roman" w:hAnsi="Times New Roman" w:cs="Times New Roman"/>
          <w:i/>
          <w:iCs/>
        </w:rPr>
        <w:t>ℓ</w:t>
      </w:r>
      <w:r w:rsidRPr="00630C7F">
        <w:rPr>
          <w:rFonts w:ascii="Times New Roman" w:hAnsi="Times New Roman" w:cs="Times New Roman"/>
        </w:rPr>
        <w:t> and </w:t>
      </w:r>
      <w:r w:rsidRPr="00630C7F">
        <w:rPr>
          <w:rFonts w:ascii="Times New Roman" w:hAnsi="Times New Roman" w:cs="Times New Roman"/>
          <w:i/>
          <w:iCs/>
        </w:rPr>
        <w:t>k</w:t>
      </w:r>
      <w:r w:rsidRPr="00630C7F">
        <w:rPr>
          <w:rFonts w:ascii="Times New Roman" w:hAnsi="Times New Roman" w:cs="Times New Roman"/>
        </w:rPr>
        <w:t> index the cases at the 75th and 25th percentile positions, respectively. The IQR captures the range of the middle 50% of values.</w:t>
      </w:r>
    </w:p>
    <w:p w14:paraId="0670A32E" w14:textId="77777777" w:rsidR="00C22DDF" w:rsidRPr="00630C7F" w:rsidRDefault="00C22DDF" w:rsidP="00C22DDF">
      <w:pPr>
        <w:jc w:val="both"/>
        <w:rPr>
          <w:rFonts w:ascii="Times New Roman" w:hAnsi="Times New Roman" w:cs="Times New Roman"/>
        </w:rPr>
      </w:pPr>
      <w:r w:rsidRPr="00630C7F">
        <w:rPr>
          <w:rFonts w:ascii="Times New Roman" w:hAnsi="Times New Roman" w:cs="Times New Roman"/>
          <w:b/>
          <w:bCs/>
        </w:rPr>
        <w:t>Gini Coefficient Formula: </w:t>
      </w:r>
      <w:r w:rsidRPr="00630C7F">
        <w:rPr>
          <w:rFonts w:ascii="Times New Roman" w:hAnsi="Times New Roman" w:cs="Times New Roman"/>
        </w:rPr>
        <w:t>The Gini coefficient is an inequality measure ranging from 0 (perfect equality) to 1 (maximal inequality). It is computed from all loss values as:</w:t>
      </w:r>
    </w:p>
    <w:p w14:paraId="2A30D196" w14:textId="77777777" w:rsidR="00C22DDF" w:rsidRPr="00630C7F" w:rsidRDefault="00C22DDF" w:rsidP="00C22DDF">
      <w:pPr>
        <w:spacing w:after="160"/>
        <w:ind w:left="720"/>
        <w:jc w:val="both"/>
        <w:rPr>
          <w:rFonts w:ascii="Times New Roman" w:eastAsiaTheme="minorEastAsia" w:hAnsi="Times New Roman" w:cs="Times New Roman"/>
          <w:lang w:val="en-US"/>
        </w:rPr>
      </w:pPr>
      <m:oMathPara>
        <m:oMath>
          <m:r>
            <m:rPr>
              <m:nor/>
            </m:rPr>
            <w:rPr>
              <w:rFonts w:ascii="Times New Roman" w:hAnsi="Times New Roman" w:cs="Times New Roman"/>
              <w:lang w:val="en-US"/>
            </w:rPr>
            <m:t xml:space="preserve">G = </m:t>
          </m:r>
          <m:f>
            <m:fPr>
              <m:ctrlPr>
                <w:rPr>
                  <w:rFonts w:ascii="Cambria Math" w:hAnsi="Cambria Math" w:cs="Times New Roman"/>
                  <w:i/>
                </w:rPr>
              </m:ctrlPr>
            </m:fPr>
            <m:num>
              <m:r>
                <m:rPr>
                  <m:nor/>
                </m:rPr>
                <w:rPr>
                  <w:rFonts w:ascii="Times New Roman" w:hAnsi="Times New Roman" w:cs="Times New Roman"/>
                  <w:lang w:val="en-US"/>
                </w:rPr>
                <m:t>2</m:t>
              </m:r>
              <m:nary>
                <m:naryPr>
                  <m:chr m:val="∑"/>
                  <m:limLoc m:val="undOvr"/>
                  <m:ctrlPr>
                    <w:rPr>
                      <w:rFonts w:ascii="Cambria Math" w:hAnsi="Cambria Math" w:cs="Times New Roman"/>
                      <w:i/>
                    </w:rPr>
                  </m:ctrlPr>
                </m:naryPr>
                <m:sub>
                  <m:r>
                    <m:rPr>
                      <m:nor/>
                    </m:rPr>
                    <w:rPr>
                      <w:rFonts w:ascii="Times New Roman" w:hAnsi="Times New Roman" w:cs="Times New Roman"/>
                      <w:lang w:val="en-US"/>
                    </w:rPr>
                    <m:t>i=1</m:t>
                  </m:r>
                </m:sub>
                <m:sup>
                  <m:r>
                    <m:rPr>
                      <m:nor/>
                    </m:rPr>
                    <w:rPr>
                      <w:rFonts w:ascii="Times New Roman" w:hAnsi="Times New Roman" w:cs="Times New Roman"/>
                      <w:lang w:val="en-US"/>
                    </w:rPr>
                    <m:t>n</m:t>
                  </m:r>
                </m:sup>
                <m:e>
                  <m:r>
                    <m:rPr>
                      <m:nor/>
                    </m:rPr>
                    <w:rPr>
                      <w:rFonts w:ascii="Times New Roman" w:hAnsi="Times New Roman" w:cs="Times New Roman"/>
                      <w:lang w:val="en-US"/>
                    </w:rPr>
                    <m:t>i</m:t>
                  </m:r>
                  <m:sSub>
                    <m:sSubPr>
                      <m:ctrlPr>
                        <w:rPr>
                          <w:rFonts w:ascii="Cambria Math" w:hAnsi="Cambria Math" w:cs="Times New Roman"/>
                          <w:i/>
                          <w:lang w:val="pt-BR"/>
                        </w:rPr>
                      </m:ctrlPr>
                    </m:sSubPr>
                    <m:e>
                      <m:r>
                        <w:rPr>
                          <w:rFonts w:ascii="Cambria Math" w:hAnsi="Cambria Math" w:cs="Times New Roman"/>
                          <w:lang w:val="pt-BR"/>
                        </w:rPr>
                        <m:t>x</m:t>
                      </m:r>
                    </m:e>
                    <m:sub>
                      <m:d>
                        <m:dPr>
                          <m:ctrlPr>
                            <w:rPr>
                              <w:rFonts w:ascii="Cambria Math" w:hAnsi="Cambria Math" w:cs="Times New Roman"/>
                              <w:i/>
                              <w:lang w:val="en-US"/>
                            </w:rPr>
                          </m:ctrlPr>
                        </m:dPr>
                        <m:e>
                          <m:r>
                            <w:rPr>
                              <w:rFonts w:ascii="Cambria Math" w:hAnsi="Cambria Math" w:cs="Times New Roman"/>
                              <w:lang w:val="pt-BR"/>
                            </w:rPr>
                            <m:t>i</m:t>
                          </m:r>
                        </m:e>
                      </m:d>
                    </m:sub>
                  </m:sSub>
                </m:e>
              </m:nary>
            </m:num>
            <m:den>
              <m:r>
                <m:rPr>
                  <m:nor/>
                </m:rPr>
                <w:rPr>
                  <w:rFonts w:ascii="Times New Roman" w:hAnsi="Times New Roman" w:cs="Times New Roman"/>
                  <w:lang w:val="en-US"/>
                </w:rPr>
                <m:t>n</m:t>
              </m:r>
              <m:nary>
                <m:naryPr>
                  <m:chr m:val="∑"/>
                  <m:limLoc m:val="undOvr"/>
                  <m:ctrlPr>
                    <w:rPr>
                      <w:rFonts w:ascii="Cambria Math" w:hAnsi="Cambria Math" w:cs="Times New Roman"/>
                      <w:i/>
                    </w:rPr>
                  </m:ctrlPr>
                </m:naryPr>
                <m:sub>
                  <m:r>
                    <m:rPr>
                      <m:nor/>
                    </m:rPr>
                    <w:rPr>
                      <w:rFonts w:ascii="Times New Roman" w:hAnsi="Times New Roman" w:cs="Times New Roman"/>
                      <w:lang w:val="en-US"/>
                    </w:rPr>
                    <m:t>i=1</m:t>
                  </m:r>
                </m:sub>
                <m:sup>
                  <m:r>
                    <m:rPr>
                      <m:nor/>
                    </m:rPr>
                    <w:rPr>
                      <w:rFonts w:ascii="Times New Roman" w:hAnsi="Times New Roman" w:cs="Times New Roman"/>
                      <w:lang w:val="en-US"/>
                    </w:rPr>
                    <m:t>n</m:t>
                  </m:r>
                </m:sup>
                <m:e>
                  <m:sSub>
                    <m:sSubPr>
                      <m:ctrlPr>
                        <w:rPr>
                          <w:rFonts w:ascii="Cambria Math" w:hAnsi="Cambria Math" w:cs="Times New Roman"/>
                          <w:i/>
                          <w:vertAlign w:val="subscript"/>
                        </w:rPr>
                      </m:ctrlPr>
                    </m:sSubPr>
                    <m:e>
                      <m:r>
                        <w:rPr>
                          <w:rFonts w:ascii="Cambria Math" w:hAnsi="Cambria Math" w:cs="Times New Roman"/>
                          <w:vertAlign w:val="subscript"/>
                        </w:rPr>
                        <m:t>x</m:t>
                      </m:r>
                    </m:e>
                    <m:sub>
                      <m:d>
                        <m:dPr>
                          <m:ctrlPr>
                            <w:rPr>
                              <w:rFonts w:ascii="Cambria Math" w:hAnsi="Cambria Math" w:cs="Times New Roman"/>
                              <w:i/>
                              <w:vertAlign w:val="subscript"/>
                              <w:lang w:val="en-US"/>
                            </w:rPr>
                          </m:ctrlPr>
                        </m:dPr>
                        <m:e>
                          <m:r>
                            <w:rPr>
                              <w:rFonts w:ascii="Cambria Math" w:hAnsi="Cambria Math" w:cs="Times New Roman"/>
                              <w:vertAlign w:val="subscript"/>
                            </w:rPr>
                            <m:t>i</m:t>
                          </m:r>
                        </m:e>
                      </m:d>
                    </m:sub>
                  </m:sSub>
                </m:e>
              </m:nary>
            </m:den>
          </m:f>
          <m:r>
            <m:rPr>
              <m:nor/>
            </m:rPr>
            <w:rPr>
              <w:rFonts w:ascii="Times New Roman" w:hAnsi="Times New Roman" w:cs="Times New Roman"/>
              <w:lang w:val="en-US"/>
            </w:rPr>
            <m:t>-</m:t>
          </m:r>
          <m:f>
            <m:fPr>
              <m:ctrlPr>
                <w:rPr>
                  <w:rFonts w:ascii="Cambria Math" w:hAnsi="Cambria Math" w:cs="Times New Roman"/>
                  <w:i/>
                </w:rPr>
              </m:ctrlPr>
            </m:fPr>
            <m:num>
              <m:r>
                <m:rPr>
                  <m:nor/>
                </m:rPr>
                <w:rPr>
                  <w:rFonts w:ascii="Times New Roman" w:hAnsi="Times New Roman" w:cs="Times New Roman"/>
                  <w:lang w:val="en-US"/>
                </w:rPr>
                <m:t>n+1</m:t>
              </m:r>
            </m:num>
            <m:den>
              <m:r>
                <m:rPr>
                  <m:nor/>
                </m:rPr>
                <w:rPr>
                  <w:rFonts w:ascii="Times New Roman" w:hAnsi="Times New Roman" w:cs="Times New Roman"/>
                  <w:lang w:val="en-US"/>
                </w:rPr>
                <m:t>n</m:t>
              </m:r>
            </m:den>
          </m:f>
        </m:oMath>
      </m:oMathPara>
    </w:p>
    <w:p w14:paraId="2DE531F9" w14:textId="77777777" w:rsidR="00C22DDF" w:rsidRPr="00630C7F" w:rsidRDefault="00C22DDF" w:rsidP="00C22DDF">
      <w:pPr>
        <w:jc w:val="both"/>
        <w:rPr>
          <w:rFonts w:ascii="Times New Roman" w:hAnsi="Times New Roman" w:cs="Times New Roman"/>
        </w:rPr>
      </w:pPr>
      <w:r w:rsidRPr="00630C7F">
        <w:rPr>
          <w:rFonts w:ascii="Times New Roman" w:hAnsi="Times New Roman" w:cs="Times New Roman"/>
        </w:rPr>
        <w:t>where </w:t>
      </w:r>
      <m:oMath>
        <m:nary>
          <m:naryPr>
            <m:chr m:val="∑"/>
            <m:limLoc m:val="undOvr"/>
            <m:ctrlPr>
              <w:rPr>
                <w:rFonts w:ascii="Cambria Math" w:hAnsi="Cambria Math" w:cs="Times New Roman"/>
                <w:i/>
              </w:rPr>
            </m:ctrlPr>
          </m:naryPr>
          <m:sub>
            <m:r>
              <m:rPr>
                <m:nor/>
              </m:rPr>
              <w:rPr>
                <w:rFonts w:ascii="Times New Roman" w:hAnsi="Times New Roman" w:cs="Times New Roman"/>
                <w:lang w:val="en-US"/>
              </w:rPr>
              <m:t>i=1</m:t>
            </m:r>
          </m:sub>
          <m:sup>
            <m:r>
              <m:rPr>
                <m:nor/>
              </m:rPr>
              <w:rPr>
                <w:rFonts w:ascii="Times New Roman" w:hAnsi="Times New Roman" w:cs="Times New Roman"/>
                <w:lang w:val="en-US"/>
              </w:rPr>
              <m:t>n</m:t>
            </m:r>
          </m:sup>
          <m:e>
            <m:sSub>
              <m:sSubPr>
                <m:ctrlPr>
                  <w:rPr>
                    <w:rFonts w:ascii="Cambria Math" w:hAnsi="Cambria Math" w:cs="Times New Roman"/>
                    <w:i/>
                    <w:vertAlign w:val="subscript"/>
                  </w:rPr>
                </m:ctrlPr>
              </m:sSubPr>
              <m:e>
                <m:r>
                  <w:rPr>
                    <w:rFonts w:ascii="Cambria Math" w:hAnsi="Cambria Math" w:cs="Times New Roman"/>
                    <w:vertAlign w:val="subscript"/>
                  </w:rPr>
                  <m:t>x</m:t>
                </m:r>
              </m:e>
              <m:sub>
                <m:d>
                  <m:dPr>
                    <m:ctrlPr>
                      <w:rPr>
                        <w:rFonts w:ascii="Cambria Math" w:hAnsi="Cambria Math" w:cs="Times New Roman"/>
                        <w:i/>
                        <w:vertAlign w:val="subscript"/>
                        <w:lang w:val="en-US"/>
                      </w:rPr>
                    </m:ctrlPr>
                  </m:dPr>
                  <m:e>
                    <m:r>
                      <w:rPr>
                        <w:rFonts w:ascii="Cambria Math" w:hAnsi="Cambria Math" w:cs="Times New Roman"/>
                        <w:vertAlign w:val="subscript"/>
                      </w:rPr>
                      <m:t>i</m:t>
                    </m:r>
                  </m:e>
                </m:d>
              </m:sub>
            </m:sSub>
          </m:e>
        </m:nary>
      </m:oMath>
      <w:r w:rsidRPr="00630C7F">
        <w:rPr>
          <w:rFonts w:ascii="Times New Roman" w:hAnsi="Times New Roman" w:cs="Times New Roman"/>
        </w:rPr>
        <w:t> is the sum of all losses. In this formula, each loss </w:t>
      </w:r>
      <m:oMath>
        <m:sSub>
          <m:sSubPr>
            <m:ctrlPr>
              <w:rPr>
                <w:rFonts w:ascii="Cambria Math" w:hAnsi="Cambria Math" w:cs="Times New Roman"/>
                <w:i/>
                <w:vertAlign w:val="subscript"/>
              </w:rPr>
            </m:ctrlPr>
          </m:sSubPr>
          <m:e>
            <m:r>
              <w:rPr>
                <w:rFonts w:ascii="Cambria Math" w:hAnsi="Cambria Math" w:cs="Times New Roman"/>
                <w:vertAlign w:val="subscript"/>
              </w:rPr>
              <m:t>x</m:t>
            </m:r>
          </m:e>
          <m:sub>
            <m:d>
              <m:dPr>
                <m:ctrlPr>
                  <w:rPr>
                    <w:rFonts w:ascii="Cambria Math" w:hAnsi="Cambria Math" w:cs="Times New Roman"/>
                    <w:i/>
                    <w:vertAlign w:val="subscript"/>
                    <w:lang w:val="en-US"/>
                  </w:rPr>
                </m:ctrlPr>
              </m:dPr>
              <m:e>
                <m:r>
                  <w:rPr>
                    <w:rFonts w:ascii="Cambria Math" w:hAnsi="Cambria Math" w:cs="Times New Roman"/>
                    <w:vertAlign w:val="subscript"/>
                  </w:rPr>
                  <m:t>i</m:t>
                </m:r>
              </m:e>
            </m:d>
          </m:sub>
        </m:sSub>
      </m:oMath>
      <w:r w:rsidRPr="00630C7F">
        <w:rPr>
          <w:rFonts w:ascii="Times New Roman" w:hAnsi="Times New Roman" w:cs="Times New Roman"/>
        </w:rPr>
        <w:t>is weighted by its rank </w:t>
      </w:r>
      <w:r w:rsidRPr="00630C7F">
        <w:rPr>
          <w:rFonts w:ascii="Times New Roman" w:hAnsi="Times New Roman" w:cs="Times New Roman"/>
          <w:i/>
          <w:iCs/>
        </w:rPr>
        <w:t>i</w:t>
      </w:r>
      <w:r w:rsidRPr="00630C7F">
        <w:rPr>
          <w:rFonts w:ascii="Times New Roman" w:hAnsi="Times New Roman" w:cs="Times New Roman"/>
        </w:rPr>
        <w:t>. If all losses are equal, </w:t>
      </w:r>
      <w:r w:rsidRPr="00630C7F">
        <w:rPr>
          <w:rFonts w:ascii="Times New Roman" w:hAnsi="Times New Roman" w:cs="Times New Roman"/>
          <w:i/>
          <w:iCs/>
        </w:rPr>
        <w:t>G</w:t>
      </w:r>
      <w:r w:rsidRPr="00630C7F">
        <w:rPr>
          <w:rFonts w:ascii="Times New Roman" w:hAnsi="Times New Roman" w:cs="Times New Roman"/>
        </w:rPr>
        <w:t> = 0. If losses are very unequal (a few cases account for most of the total), </w:t>
      </w:r>
      <w:r w:rsidRPr="00630C7F">
        <w:rPr>
          <w:rFonts w:ascii="Times New Roman" w:hAnsi="Times New Roman" w:cs="Times New Roman"/>
          <w:i/>
          <w:iCs/>
        </w:rPr>
        <w:t>G</w:t>
      </w:r>
      <w:r w:rsidRPr="00630C7F">
        <w:rPr>
          <w:rFonts w:ascii="Times New Roman" w:hAnsi="Times New Roman" w:cs="Times New Roman"/>
        </w:rPr>
        <w:t> approaches 1. In practice, after computing </w:t>
      </w:r>
      <w:r w:rsidRPr="00630C7F">
        <w:rPr>
          <w:rFonts w:ascii="Times New Roman" w:hAnsi="Times New Roman" w:cs="Times New Roman"/>
          <w:i/>
          <w:iCs/>
        </w:rPr>
        <w:t>G</w:t>
      </w:r>
      <w:r w:rsidRPr="00630C7F">
        <w:rPr>
          <w:rFonts w:ascii="Times New Roman" w:hAnsi="Times New Roman" w:cs="Times New Roman"/>
        </w:rPr>
        <w:t>, values above 0.4 are often interpreted as indicating high inequality.</w:t>
      </w:r>
    </w:p>
    <w:p w14:paraId="4CBAE610" w14:textId="77777777" w:rsidR="00C22DDF" w:rsidRPr="00630C7F" w:rsidRDefault="00C22DDF" w:rsidP="00C22DDF">
      <w:pPr>
        <w:jc w:val="both"/>
        <w:rPr>
          <w:rFonts w:ascii="Times New Roman" w:hAnsi="Times New Roman" w:cs="Times New Roman"/>
        </w:rPr>
      </w:pPr>
      <w:r w:rsidRPr="00630C7F">
        <w:rPr>
          <w:rFonts w:ascii="Times New Roman" w:hAnsi="Times New Roman" w:cs="Times New Roman"/>
          <w:b/>
          <w:bCs/>
        </w:rPr>
        <w:t>Cliff’s Delta (δ) Formula:</w:t>
      </w:r>
      <w:r w:rsidRPr="00630C7F">
        <w:rPr>
          <w:rFonts w:ascii="Times New Roman" w:hAnsi="Times New Roman" w:cs="Times New Roman"/>
        </w:rPr>
        <w:t xml:space="preserve"> A nonparametric effect size for comparing two groups A and B (McGraw and Wong 1992). It is defined as</w:t>
      </w:r>
    </w:p>
    <w:p w14:paraId="3918CE07" w14:textId="77777777" w:rsidR="00C22DDF" w:rsidRPr="00630C7F" w:rsidRDefault="00C22DDF" w:rsidP="00C22DDF">
      <w:pPr>
        <w:pStyle w:val="Compact"/>
        <w:spacing w:before="0" w:after="160"/>
        <w:ind w:left="720"/>
        <w:jc w:val="both"/>
        <w:rPr>
          <w:rFonts w:ascii="Times New Roman" w:hAnsi="Times New Roman" w:cs="Times New Roman"/>
        </w:rPr>
      </w:pPr>
      <m:oMathPara>
        <m:oMathParaPr>
          <m:jc m:val="center"/>
        </m:oMathParaPr>
        <m:oMath>
          <m:r>
            <w:rPr>
              <w:rFonts w:ascii="Cambria Math" w:hAnsi="Cambria Math" w:cs="Times New Roman"/>
            </w:rPr>
            <m:t>δ </m:t>
          </m:r>
          <m:r>
            <m:rPr>
              <m:sty m:val="p"/>
            </m:rPr>
            <w:rPr>
              <w:rFonts w:ascii="Cambria Math" w:hAnsi="Cambria Math" w:cs="Times New Roman"/>
            </w:rPr>
            <m:t>=</m:t>
          </m:r>
          <m:r>
            <w:rPr>
              <w:rFonts w:ascii="Cambria Math" w:hAnsi="Cambria Math" w:cs="Times New Roman"/>
            </w:rPr>
            <m:t> P</m:t>
          </m:r>
          <m:d>
            <m:dPr>
              <m:ctrlPr>
                <w:rPr>
                  <w:rFonts w:ascii="Cambria Math" w:hAnsi="Cambria Math" w:cs="Times New Roman"/>
                </w:rPr>
              </m:ctrlPr>
            </m:dPr>
            <m:e>
              <m:r>
                <w:rPr>
                  <w:rFonts w:ascii="Cambria Math" w:hAnsi="Cambria Math" w:cs="Times New Roman"/>
                </w:rPr>
                <m:t>X</m:t>
              </m:r>
              <m:r>
                <m:rPr>
                  <m:sty m:val="p"/>
                </m:rPr>
                <w:rPr>
                  <w:rFonts w:ascii="Cambria Math" w:hAnsi="Cambria Math" w:cs="Times New Roman"/>
                </w:rPr>
                <m:t>&gt;</m:t>
              </m:r>
              <m:r>
                <w:rPr>
                  <w:rFonts w:ascii="Cambria Math" w:hAnsi="Cambria Math" w:cs="Times New Roman"/>
                </w:rPr>
                <m:t>Y</m:t>
              </m:r>
            </m:e>
          </m:d>
          <m:r>
            <w:rPr>
              <w:rFonts w:ascii="Cambria Math" w:hAnsi="Cambria Math" w:cs="Times New Roman"/>
            </w:rPr>
            <m:t> </m:t>
          </m:r>
          <m:r>
            <m:rPr>
              <m:sty m:val="p"/>
            </m:rPr>
            <w:rPr>
              <w:rFonts w:ascii="Cambria Math" w:hAnsi="Cambria Math" w:cs="Times New Roman"/>
            </w:rPr>
            <m:t>-</m:t>
          </m:r>
          <m:r>
            <w:rPr>
              <w:rFonts w:ascii="Cambria Math" w:hAnsi="Cambria Math" w:cs="Times New Roman"/>
            </w:rPr>
            <m:t> P</m:t>
          </m:r>
          <m:d>
            <m:dPr>
              <m:ctrlPr>
                <w:rPr>
                  <w:rFonts w:ascii="Cambria Math" w:hAnsi="Cambria Math" w:cs="Times New Roman"/>
                </w:rPr>
              </m:ctrlPr>
            </m:dPr>
            <m:e>
              <m:r>
                <w:rPr>
                  <w:rFonts w:ascii="Cambria Math" w:hAnsi="Cambria Math" w:cs="Times New Roman"/>
                </w:rPr>
                <m:t>X</m:t>
              </m:r>
              <m:r>
                <m:rPr>
                  <m:sty m:val="p"/>
                </m:rPr>
                <w:rPr>
                  <w:rFonts w:ascii="Cambria Math" w:hAnsi="Cambria Math" w:cs="Times New Roman"/>
                </w:rPr>
                <m:t>&lt;</m:t>
              </m:r>
              <m:r>
                <w:rPr>
                  <w:rFonts w:ascii="Cambria Math" w:hAnsi="Cambria Math" w:cs="Times New Roman"/>
                </w:rPr>
                <m:t>Y</m:t>
              </m:r>
            </m:e>
          </m:d>
          <m:r>
            <m:rPr>
              <m:sty m:val="p"/>
            </m:rPr>
            <w:rPr>
              <w:rFonts w:ascii="Cambria Math" w:hAnsi="Cambria Math" w:cs="Times New Roman"/>
            </w:rPr>
            <m:t>,</m:t>
          </m:r>
        </m:oMath>
      </m:oMathPara>
    </w:p>
    <w:p w14:paraId="07A4B0B2" w14:textId="77777777" w:rsidR="00C22DDF" w:rsidRPr="00630C7F" w:rsidRDefault="00C22DDF" w:rsidP="00C22DDF">
      <w:pPr>
        <w:jc w:val="both"/>
        <w:rPr>
          <w:rFonts w:ascii="Times New Roman" w:hAnsi="Times New Roman" w:cs="Times New Roman"/>
        </w:rPr>
      </w:pPr>
      <w:r w:rsidRPr="00630C7F">
        <w:rPr>
          <w:rFonts w:ascii="Times New Roman" w:hAnsi="Times New Roman" w:cs="Times New Roman"/>
        </w:rPr>
        <w:t>where </w:t>
      </w:r>
      <w:r w:rsidRPr="00630C7F">
        <w:rPr>
          <w:rFonts w:ascii="Times New Roman" w:hAnsi="Times New Roman" w:cs="Times New Roman"/>
          <w:i/>
          <w:iCs/>
        </w:rPr>
        <w:t>P(A &gt; B)</w:t>
      </w:r>
      <w:r w:rsidRPr="00630C7F">
        <w:rPr>
          <w:rFonts w:ascii="Times New Roman" w:hAnsi="Times New Roman" w:cs="Times New Roman"/>
        </w:rPr>
        <w:t> is the probability that a randomly chosen value from group A exceeds a randomly chosen value from group B, and </w:t>
      </w:r>
      <w:r w:rsidRPr="00630C7F">
        <w:rPr>
          <w:rFonts w:ascii="Times New Roman" w:hAnsi="Times New Roman" w:cs="Times New Roman"/>
          <w:i/>
          <w:iCs/>
        </w:rPr>
        <w:t>P(A &lt; B)</w:t>
      </w:r>
      <w:r w:rsidRPr="00630C7F">
        <w:rPr>
          <w:rFonts w:ascii="Times New Roman" w:hAnsi="Times New Roman" w:cs="Times New Roman"/>
        </w:rPr>
        <w:t> is the probability of the reverse. In computation, one considers all pairwise comparisons between values in A and values in B: count the proportion of pairs where A &gt; B, the proportion where A &lt; B, and subtract them. Ties count as zero. The range of δ is –1 to 1: δ = 1 means every value in A is greater than every value in B, δ = 0 means the distributions are symmetric, and δ = –1 means every value in B is greater. This measure is robust to skewed data and unequal group sizes.</w:t>
      </w:r>
    </w:p>
    <w:p w14:paraId="541B6173" w14:textId="77777777" w:rsidR="00C22DDF" w:rsidRPr="00630C7F" w:rsidRDefault="00C22DDF" w:rsidP="00C22DDF">
      <w:pPr>
        <w:jc w:val="both"/>
        <w:rPr>
          <w:rFonts w:ascii="Times New Roman" w:hAnsi="Times New Roman" w:cs="Times New Roman"/>
        </w:rPr>
      </w:pPr>
      <w:r w:rsidRPr="00630C7F">
        <w:rPr>
          <w:rFonts w:ascii="Times New Roman" w:hAnsi="Times New Roman" w:cs="Times New Roman"/>
          <w:b/>
          <w:bCs/>
        </w:rPr>
        <w:t>Common-Language Effect Size (CLES) Formula:</w:t>
      </w:r>
      <w:r w:rsidRPr="00630C7F">
        <w:rPr>
          <w:rFonts w:ascii="Times New Roman" w:hAnsi="Times New Roman" w:cs="Times New Roman"/>
        </w:rPr>
        <w:t xml:space="preserve"> CLES is a transformation of Cliff’s δ that expresses the effect size as a probability (Meissel and Yao 2024). It is defined as:</w:t>
      </w:r>
    </w:p>
    <w:p w14:paraId="397648E0" w14:textId="77777777" w:rsidR="00C22DDF" w:rsidRPr="00630C7F" w:rsidRDefault="00C22DDF" w:rsidP="00C22DDF">
      <w:pPr>
        <w:pStyle w:val="Compact"/>
        <w:spacing w:before="0" w:after="160"/>
        <w:ind w:left="720"/>
        <w:jc w:val="both"/>
        <w:rPr>
          <w:rFonts w:ascii="Times New Roman" w:hAnsi="Times New Roman" w:cs="Times New Roman"/>
        </w:rPr>
      </w:pPr>
      <m:oMathPara>
        <m:oMathParaPr>
          <m:jc m:val="center"/>
        </m:oMathParaPr>
        <m:oMath>
          <m:r>
            <m:rPr>
              <m:nor/>
            </m:rPr>
            <w:rPr>
              <w:rFonts w:ascii="Times New Roman" w:hAnsi="Times New Roman" w:cs="Times New Roman"/>
            </w:rPr>
            <m:t>CLES</m:t>
          </m:r>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δ</m:t>
              </m:r>
              <m:r>
                <m:rPr>
                  <m:sty m:val="p"/>
                </m:rPr>
                <w:rPr>
                  <w:rFonts w:ascii="Cambria Math" w:hAnsi="Cambria Math" w:cs="Times New Roman"/>
                </w:rPr>
                <m:t>+</m:t>
              </m:r>
              <m:r>
                <w:rPr>
                  <w:rFonts w:ascii="Cambria Math" w:hAnsi="Cambria Math" w:cs="Times New Roman"/>
                </w:rPr>
                <m:t>1</m:t>
              </m:r>
            </m:num>
            <m:den>
              <m:r>
                <w:rPr>
                  <w:rFonts w:ascii="Cambria Math" w:hAnsi="Cambria Math" w:cs="Times New Roman"/>
                </w:rPr>
                <m:t>2</m:t>
              </m:r>
            </m:den>
          </m:f>
        </m:oMath>
      </m:oMathPara>
    </w:p>
    <w:p w14:paraId="09D699E3" w14:textId="77777777" w:rsidR="00C22DDF" w:rsidRPr="00E05B6A" w:rsidRDefault="00C22DDF" w:rsidP="00C22DDF">
      <w:pPr>
        <w:pStyle w:val="Compact"/>
        <w:spacing w:before="0" w:after="160"/>
        <w:jc w:val="both"/>
        <w:rPr>
          <w:rFonts w:ascii="Times New Roman" w:hAnsi="Times New Roman" w:cs="Times New Roman"/>
        </w:rPr>
      </w:pPr>
      <w:r w:rsidRPr="00630C7F">
        <w:rPr>
          <w:rFonts w:ascii="Times New Roman" w:hAnsi="Times New Roman" w:cs="Times New Roman"/>
          <w:lang w:val="en-US"/>
        </w:rPr>
        <w:t>CLES ranges from 0 to 1 and represents the probability that a randomly selected case from group A has a higher loss than a randomly selected case from group B. For example, if δ = 0.80, then CLES = 0.90, indicating a 90% probability that a case from group A exceeds a case from group B.</w:t>
      </w:r>
    </w:p>
    <w:p w14:paraId="08DA4B25" w14:textId="77777777" w:rsidR="00C22DDF" w:rsidRDefault="00C22DDF" w:rsidP="00C22DDF">
      <w:pPr>
        <w:jc w:val="both"/>
        <w:rPr>
          <w:rFonts w:ascii="Times New Roman" w:hAnsi="Times New Roman" w:cs="Times New Roman"/>
          <w:lang w:val="en-US"/>
        </w:rPr>
      </w:pPr>
    </w:p>
    <w:p w14:paraId="39818E54" w14:textId="77777777" w:rsidR="00C22DDF" w:rsidRDefault="00C22DDF" w:rsidP="00C22DDF">
      <w:pPr>
        <w:jc w:val="both"/>
        <w:rPr>
          <w:rFonts w:ascii="Times New Roman" w:hAnsi="Times New Roman" w:cs="Times New Roman"/>
          <w:lang w:val="en-US"/>
        </w:rPr>
        <w:sectPr w:rsidR="00C22DDF" w:rsidSect="00C22DDF">
          <w:footnotePr>
            <w:numRestart w:val="eachSect"/>
          </w:footnotePr>
          <w:pgSz w:w="11906" w:h="16838" w:code="9"/>
          <w:pgMar w:top="1440" w:right="1440" w:bottom="1440" w:left="1440" w:header="720" w:footer="720" w:gutter="0"/>
          <w:cols w:space="720"/>
          <w:docGrid w:linePitch="326"/>
        </w:sectPr>
      </w:pPr>
    </w:p>
    <w:p w14:paraId="3A3DF5B9" w14:textId="77777777" w:rsidR="00C22DDF" w:rsidRPr="00C527C9" w:rsidRDefault="00C22DDF" w:rsidP="00C22DDF">
      <w:pPr>
        <w:pStyle w:val="Heading2"/>
        <w:spacing w:before="80" w:after="360"/>
        <w:jc w:val="both"/>
        <w:rPr>
          <w:rFonts w:ascii="Times New Roman" w:hAnsi="Times New Roman" w:cs="Times New Roman"/>
        </w:rPr>
      </w:pPr>
      <w:r w:rsidRPr="00C527C9">
        <w:rPr>
          <w:rFonts w:ascii="Times New Roman" w:hAnsi="Times New Roman" w:cs="Times New Roman"/>
        </w:rPr>
        <w:lastRenderedPageBreak/>
        <w:t xml:space="preserve">Appendix </w:t>
      </w:r>
      <w:r>
        <w:rPr>
          <w:rFonts w:ascii="Times New Roman" w:hAnsi="Times New Roman" w:cs="Times New Roman"/>
        </w:rPr>
        <w:t>B</w:t>
      </w:r>
      <w:r w:rsidRPr="00C527C9">
        <w:rPr>
          <w:rFonts w:ascii="Times New Roman" w:hAnsi="Times New Roman" w:cs="Times New Roman"/>
        </w:rPr>
        <w:t>: Illustrative Complaint Narratives</w:t>
      </w:r>
    </w:p>
    <w:p w14:paraId="76087F70" w14:textId="77777777" w:rsidR="00C22DDF" w:rsidRPr="003D31BE" w:rsidRDefault="00C22DDF" w:rsidP="00C22DDF">
      <w:pPr>
        <w:pStyle w:val="NormalWeb"/>
        <w:jc w:val="both"/>
        <w:rPr>
          <w:rStyle w:val="Strong"/>
          <w:b w:val="0"/>
          <w:bCs w:val="0"/>
        </w:rPr>
      </w:pPr>
      <w:r>
        <w:rPr>
          <w:rStyle w:val="Strong"/>
        </w:rPr>
        <w:t>Narrative 1:</w:t>
      </w:r>
      <w:r>
        <w:t xml:space="preserve"> In early 2024, the victim received a WhatsApp message from an individual claiming to represent a digital marketing agency. The contact offered an easy part-time income opportunity, requiring only that the victim subscribe to YouTube channels and “like” videos. After completing a few simple tasks, the victim received a small payment via mobile money. This immediate reward helped establish trust. The contact then invited the victim to join a Telegram group for additional assignments and introduced what appeared to be an “investment opportunity.” A woman in the group guided the victim to deposit approximately BDT 1,600, promising a return of BDT 2,400. The promised return arrived quickly. Encouraged by this success, the victim agreed to a subsequent deposit of about BDT 5,300 to advance to the next phase. The scammers then directed the victim to a fake trading website, which displayed a growing account balance. Over the following days, under the guidance of multiple group members, the victim transferred a series of payments, eventually exceeding BDT 770,000, to various bank accounts. When the victim attempted to withdraw the displayed earnings, the platform blocked access. A new contact, posing as a financial officer, demanded an additional BDT 345,000 in “taxes” before releasing any funds. It was at this point the victim realized that he had been defrauded, regardless of how much was paid, no money was ever returned.</w:t>
      </w:r>
    </w:p>
    <w:p w14:paraId="3F0DE599" w14:textId="77777777" w:rsidR="00C22DDF" w:rsidRDefault="00C22DDF" w:rsidP="00C22DDF">
      <w:pPr>
        <w:pStyle w:val="NormalWeb"/>
        <w:jc w:val="both"/>
      </w:pPr>
      <w:r>
        <w:rPr>
          <w:rStyle w:val="Strong"/>
        </w:rPr>
        <w:t>Narrative 2:</w:t>
      </w:r>
      <w:r>
        <w:t xml:space="preserve"> The victim was approached via WhatsApp by someone posing as an HR manager of an overseas firm offering a part-time online job. Initially, he was tasked with simple assignments like posting positive hotel reviews, for which the scammers paid small rewards (e.g. BDT 150, then a cumulative BDT 750) via mobile money to build trust. Once the victim was engaged, the fraudsters invited him into an “investment” group chat. They guided him to deposit BDT 2,000 via mobile wallet, then promptly returned BDT 2,800 as a profit. Encouraged, he followed instructions to send BDT 5,000 in exchange for BDT 7,000, and was subsequently added to a group with other supposed investors. There, the scheme escalated: he was told to invest BDT 18k to receive ~BDT 30k, then pay BDT 36k more to unlock those funds, followed by even larger sums (BDT 58k, BDT 146k, etc.). Each time he hesitated, fake group members shared “proof” of their payouts, pressuring him to continue. When delays occurred, the scammers introduced a fake “credit score” requirement, claiming his score was too low to withdraw and coercing additional fees in staggered amounts. Believing these assurances, the victim made a series of hefty payments to bank accounts provided by the scammers. Whenever he requested a payout, the con artists invented new reasons (account errors, taxes, verification fees) to demand more money. Ultimately, over numerous transactions, he sent the fraudsters the equivalent of several million taka. Once he was tapped out financially, the scammers cut off contact. The victim never recovered any funds, only at the end did he realize that every step, from the initial friendly offer to the final “fee,” had been part of an elaborate scam.</w:t>
      </w:r>
    </w:p>
    <w:p w14:paraId="132DE671" w14:textId="77777777" w:rsidR="00C22DDF" w:rsidRDefault="00C22DDF" w:rsidP="00C22DDF">
      <w:pPr>
        <w:pStyle w:val="NormalWeb"/>
        <w:jc w:val="both"/>
      </w:pPr>
      <w:r>
        <w:rPr>
          <w:rStyle w:val="Strong"/>
        </w:rPr>
        <w:t>Narrative 3:</w:t>
      </w:r>
      <w:r>
        <w:t xml:space="preserve"> The victim, a 39-year-old professional, received a WhatsApp message from an individual claiming to be an HR recruiter for a reputed international company. This person offered easy online freelance tasks, saying the victim could earn BDT 5–7k daily. To start, he was asked to leave a positive review of a hotel on Google Maps. After completing the review, he unexpectedly received BDT 150 via bKash (mobile money), confirming the offer’s legitimacy. The scammers then invited him to a Telegram group chat alongside several accomplices posing as other participants. In the group (titled “Merchant Task Group”), he completed a small “welcome” task and was paid another BDT 300. Next, the fraudsters introduced a lucrative “benefit task”: if he deposited BDT 2,000 via bKash, he would get </w:t>
      </w:r>
      <w:r>
        <w:lastRenderedPageBreak/>
        <w:t>BDT 2,800 back. He complied and did, in fact, receive BDT 2,800, increasing his confidence. They then urged a BDT 5,000 deposit to earn BDT 7,000. He sent the money as instructed, but this time no return came. Instead, the scammers moved him into a new “advanced tasks” Telegram channel and removed him from the prior group (cutting him off from the other “members”). They had him register on a fake investment website that showed his earlier BDT 7,000 plus profits pending, but locked until he finished all assigned “investment tasks.” Believing he needed to complete these steps to reclaim his money, the victim followed the syndicate’s instructions to make a series of bank transfers. Over several days, he deposited funds in roughly nine installments (totaling about BDT 8.5 lakh) into accounts provided by the scammers. Once the victim had paid everything they asked, he attempted to withdraw his supposed earnings through the website. At that point, the scammers immediately blocked him on Telegram and took down the fake site. Only then did he understand that after the initial token payments, every subsequent transaction had been a ruse. The victim lost approximately BDT 851,000 in total and received nothing in return.</w:t>
      </w:r>
    </w:p>
    <w:p w14:paraId="62EE37F1" w14:textId="77777777" w:rsidR="00C22DDF" w:rsidRDefault="00C22DDF" w:rsidP="00C22DDF">
      <w:pPr>
        <w:pStyle w:val="NormalWeb"/>
        <w:jc w:val="both"/>
      </w:pPr>
      <w:r>
        <w:rPr>
          <w:rStyle w:val="Strong"/>
        </w:rPr>
        <w:t>Narrative 4:</w:t>
      </w:r>
      <w:r>
        <w:t xml:space="preserve"> The victim was enticed by a WhatsApp message offering pay-per-task for simple social media activities, specifically, BDT 50 for each review of Bangladeshi hotels. After he agreed, the scammers added him to a Telegram group where he completed dozens of minor tasks (e.g. writing 6 positive hotel reviews) and earned a token BDT 300 reward via mobile money. With trust established, the scheme shifted to “investment” tasks. Group members (actually scam operatives) began sharing screenshots of profits, then the victim was invited to participate. He first deposited BDT 5,000 via mobile wallet (bKash) and was promptly sent BDT 7,000 back, mirroring others’ reported success. After a few more small paid tasks, the organizers announced the victim’s promotion to a higher “level” with bigger returns. They directed him to deposit another BDT 5,000, promising BDT 7,500 in return. He complied and was then introduced to a so-called “chain investment” program. The scammers showed him an online dashboard (at a fraudulent website) where all his contributions and “profits” were accumulating. However, they explained that he needed to complete all remaining levels to withdraw the full amount. Over the next several days, the victim was guided through a series of increasingly large transfers via bank channels. By following the syndicate’s step-by-step instructions, he ultimately sent roughly BDT 19.6 lakh (nearly his entire savings) into multiple bank accounts controlled by the fraudsters. Once all levels were completed, the victim attempted to cash out his balance as displayed on the fake platform, by now purportedly over BDT 4 million including profits. At that point, the scammers sprang a final trap: he was told his withdrawal was blocked due to a low “credit score” and a 30% tax requirement. Desperate to retrieve his money, he scraped together an additional BDT 9.68 lakh to cover an “income tax” fee they demanded. After paying this, the group again insisted his credit score had dropped and asked for yet another BDT 7.37 lakh. This was the breaking point. Having depleted all his funds (approximately BDT 29.3 lakh in total) and even borrowed money, the victim could not continue. When he refused the latest fee, the scammers went silent, they deleted the group, took down the website, and became unreachable. The victim was left devastated, with no way to recover his losses.</w:t>
      </w:r>
    </w:p>
    <w:p w14:paraId="67E50FE9" w14:textId="77777777" w:rsidR="00C22DDF" w:rsidRDefault="00C22DDF" w:rsidP="00C22DDF">
      <w:pPr>
        <w:pStyle w:val="NormalWeb"/>
        <w:jc w:val="both"/>
      </w:pPr>
      <w:r>
        <w:rPr>
          <w:rStyle w:val="Strong"/>
        </w:rPr>
        <w:t>Narrative 5:</w:t>
      </w:r>
      <w:r>
        <w:t xml:space="preserve"> The victim, a young woman from Dhaka, was contacted by a person claiming to represent “Sky Walk Digital Marketing” with an offer to earn money through social media engagement. The caller explained that she could make BDT 1,000–2,500 per day by subscribing to YouTube channels and liking posts, with the marketing company paying her for each interaction. It sounded risk-free and required no upfront fee, so she agreed. Initially, the victim completed a couple of YouTube subscribe/like tasks and sent back screenshots as proof. True to their word, the scammers paid her a small amount (BDT 300) via bKash that day, </w:t>
      </w:r>
      <w:r>
        <w:lastRenderedPageBreak/>
        <w:t>lending credibility to the arrangement. They then invited her to join a Telegram channel for more assignments. There, a coordinator (using the alias “Ahana”) outlined a structured program: the victim could “upgrade” to higher-paying tasks after a trial period. Soon, she was asked to pay an entry fee for the next level, for example, deposit BDT 1,600 in exchange for a BDT 2,400 reward. Skeptical but tempted by the earlier success, she paid the fee and did receive approximately BDT 2,400 back. This encouraged her to proceed further. The following task required a larger deposit (around BDT 5,320), which she again sent to the designated number. At this point the scam shifted from simple social-media tasks to a phony investment scheme. Another persona on Telegram, “Mr. Jerome,” introduced her to a fake crypto trading website and showed her account accumulating funds (her deposits plus unrealistically high profits). He and others in the group (including fake “fellow investors” and a fake customer support agent) coached her that to withdraw her growing balance, she must complete a sequence of investment “phases.” Over the next several days, the victim was directed to transfer money in multiple installments to various bKash wallets and bank accounts, each payment supposedly unlocking a new stage of profit. Whenever she grew concerned, the scammers reassured her and pointed to the website’s dashboard reflecting her increasing (but fictional) earnings. In total, she sent them roughly BDT 777,000 through a series of transactions. When she finally attempted to withdraw the funds, the fraudsters created one last hurdle: a man posing as a government tax official contacted her, claiming that 15% tax (about BDT 345,000) was due before her full balance could be released. This demand raised her suspicions, and she refused to pay further. Immediately, all communication channels went silent, the Telegram accounts blocked her and the investment website became inaccessible. Only then did it become clear that every step had been orchestrated. The “digital marketing” job was a ploy, and the entire process, from paid subscriptions to the crypto platform and fake tax agent, was part of a sophisticated scam. The victim lost approximately BDT 8 lakh with no way to recover it, having been deceived by the illusion of easy online income.</w:t>
      </w:r>
    </w:p>
    <w:p w14:paraId="59A0450B" w14:textId="77777777" w:rsidR="00C22DDF" w:rsidRPr="00630C7F" w:rsidRDefault="00C22DDF" w:rsidP="00C22DDF">
      <w:pPr>
        <w:jc w:val="both"/>
        <w:rPr>
          <w:rFonts w:ascii="Times New Roman" w:hAnsi="Times New Roman" w:cs="Times New Roman"/>
          <w:lang w:val="en-US"/>
        </w:rPr>
      </w:pPr>
    </w:p>
    <w:p w14:paraId="7485AA4F" w14:textId="77777777" w:rsidR="00A91650" w:rsidRDefault="00A91650"/>
    <w:sectPr w:rsidR="00A91650" w:rsidSect="00C22DDF">
      <w:footnotePr>
        <w:numRestart w:val="eachSect"/>
      </w:footnotePr>
      <w:pgSz w:w="11906" w:h="16838" w:code="9"/>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DDF"/>
    <w:rsid w:val="000E2EDD"/>
    <w:rsid w:val="00A91650"/>
    <w:rsid w:val="00A97E92"/>
    <w:rsid w:val="00C22DDF"/>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6536F"/>
  <w15:chartTrackingRefBased/>
  <w15:docId w15:val="{156BCEE1-214E-4128-85F3-746475709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DDF"/>
    <w:pPr>
      <w:spacing w:after="200" w:line="240" w:lineRule="auto"/>
    </w:pPr>
    <w:rPr>
      <w:kern w:val="0"/>
      <w:lang w:val="en"/>
      <w14:ligatures w14:val="none"/>
    </w:rPr>
  </w:style>
  <w:style w:type="paragraph" w:styleId="Heading1">
    <w:name w:val="heading 1"/>
    <w:basedOn w:val="Normal"/>
    <w:next w:val="Normal"/>
    <w:link w:val="Heading1Char"/>
    <w:uiPriority w:val="9"/>
    <w:qFormat/>
    <w:rsid w:val="00C22DD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unhideWhenUsed/>
    <w:qFormat/>
    <w:rsid w:val="00C22DD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C22DDF"/>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C22DDF"/>
    <w:pPr>
      <w:keepNext/>
      <w:keepLines/>
      <w:spacing w:before="80" w:after="40" w:line="278" w:lineRule="auto"/>
      <w:outlineLvl w:val="3"/>
    </w:pPr>
    <w:rPr>
      <w:rFonts w:eastAsiaTheme="majorEastAsia"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C22DDF"/>
    <w:pPr>
      <w:keepNext/>
      <w:keepLines/>
      <w:spacing w:before="80" w:after="40" w:line="278" w:lineRule="auto"/>
      <w:outlineLvl w:val="4"/>
    </w:pPr>
    <w:rPr>
      <w:rFonts w:eastAsiaTheme="majorEastAsia"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C22DDF"/>
    <w:pPr>
      <w:keepNext/>
      <w:keepLines/>
      <w:spacing w:before="40" w:after="0" w:line="278" w:lineRule="auto"/>
      <w:outlineLvl w:val="5"/>
    </w:pPr>
    <w:rPr>
      <w:rFonts w:eastAsiaTheme="majorEastAsia"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C22DDF"/>
    <w:pPr>
      <w:keepNext/>
      <w:keepLines/>
      <w:spacing w:before="40" w:after="0" w:line="278" w:lineRule="auto"/>
      <w:outlineLvl w:val="6"/>
    </w:pPr>
    <w:rPr>
      <w:rFonts w:eastAsiaTheme="majorEastAsia"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C22DDF"/>
    <w:pPr>
      <w:keepNext/>
      <w:keepLines/>
      <w:spacing w:after="0" w:line="278" w:lineRule="auto"/>
      <w:outlineLvl w:val="7"/>
    </w:pPr>
    <w:rPr>
      <w:rFonts w:eastAsiaTheme="majorEastAsia"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C22DDF"/>
    <w:pPr>
      <w:keepNext/>
      <w:keepLines/>
      <w:spacing w:after="0" w:line="278" w:lineRule="auto"/>
      <w:outlineLvl w:val="8"/>
    </w:pPr>
    <w:rPr>
      <w:rFonts w:eastAsiaTheme="majorEastAsia"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D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22D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2D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2D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2D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2D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2D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2D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2DDF"/>
    <w:rPr>
      <w:rFonts w:eastAsiaTheme="majorEastAsia" w:cstheme="majorBidi"/>
      <w:color w:val="272727" w:themeColor="text1" w:themeTint="D8"/>
    </w:rPr>
  </w:style>
  <w:style w:type="paragraph" w:styleId="Title">
    <w:name w:val="Title"/>
    <w:basedOn w:val="Normal"/>
    <w:next w:val="Normal"/>
    <w:link w:val="TitleChar"/>
    <w:uiPriority w:val="10"/>
    <w:qFormat/>
    <w:rsid w:val="00C22DDF"/>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C22D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2DDF"/>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C22D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2DDF"/>
    <w:pPr>
      <w:spacing w:before="160" w:after="160" w:line="278" w:lineRule="auto"/>
      <w:jc w:val="center"/>
    </w:pPr>
    <w:rPr>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C22DDF"/>
    <w:rPr>
      <w:i/>
      <w:iCs/>
      <w:color w:val="404040" w:themeColor="text1" w:themeTint="BF"/>
    </w:rPr>
  </w:style>
  <w:style w:type="paragraph" w:styleId="ListParagraph">
    <w:name w:val="List Paragraph"/>
    <w:basedOn w:val="Normal"/>
    <w:uiPriority w:val="34"/>
    <w:qFormat/>
    <w:rsid w:val="00C22DDF"/>
    <w:pPr>
      <w:spacing w:after="160" w:line="278" w:lineRule="auto"/>
      <w:ind w:left="720"/>
      <w:contextualSpacing/>
    </w:pPr>
    <w:rPr>
      <w:kern w:val="2"/>
      <w:lang w:val="en-IN"/>
      <w14:ligatures w14:val="standardContextual"/>
    </w:rPr>
  </w:style>
  <w:style w:type="character" w:styleId="IntenseEmphasis">
    <w:name w:val="Intense Emphasis"/>
    <w:basedOn w:val="DefaultParagraphFont"/>
    <w:uiPriority w:val="21"/>
    <w:qFormat/>
    <w:rsid w:val="00C22DDF"/>
    <w:rPr>
      <w:i/>
      <w:iCs/>
      <w:color w:val="0F4761" w:themeColor="accent1" w:themeShade="BF"/>
    </w:rPr>
  </w:style>
  <w:style w:type="paragraph" w:styleId="IntenseQuote">
    <w:name w:val="Intense Quote"/>
    <w:basedOn w:val="Normal"/>
    <w:next w:val="Normal"/>
    <w:link w:val="IntenseQuoteChar"/>
    <w:uiPriority w:val="30"/>
    <w:qFormat/>
    <w:rsid w:val="00C22DD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C22DDF"/>
    <w:rPr>
      <w:i/>
      <w:iCs/>
      <w:color w:val="0F4761" w:themeColor="accent1" w:themeShade="BF"/>
    </w:rPr>
  </w:style>
  <w:style w:type="character" w:styleId="IntenseReference">
    <w:name w:val="Intense Reference"/>
    <w:basedOn w:val="DefaultParagraphFont"/>
    <w:uiPriority w:val="32"/>
    <w:qFormat/>
    <w:rsid w:val="00C22DDF"/>
    <w:rPr>
      <w:b/>
      <w:bCs/>
      <w:smallCaps/>
      <w:color w:val="0F4761" w:themeColor="accent1" w:themeShade="BF"/>
      <w:spacing w:val="5"/>
    </w:rPr>
  </w:style>
  <w:style w:type="paragraph" w:customStyle="1" w:styleId="Compact">
    <w:name w:val="Compact"/>
    <w:basedOn w:val="BodyText"/>
    <w:qFormat/>
    <w:rsid w:val="00C22DDF"/>
    <w:pPr>
      <w:spacing w:before="36" w:after="36"/>
    </w:pPr>
  </w:style>
  <w:style w:type="paragraph" w:styleId="NormalWeb">
    <w:name w:val="Normal (Web)"/>
    <w:basedOn w:val="Normal"/>
    <w:uiPriority w:val="99"/>
    <w:unhideWhenUsed/>
    <w:rsid w:val="00C22DDF"/>
    <w:pPr>
      <w:spacing w:before="100" w:beforeAutospacing="1" w:after="100" w:afterAutospacing="1"/>
    </w:pPr>
    <w:rPr>
      <w:rFonts w:ascii="Times New Roman" w:eastAsia="Times New Roman" w:hAnsi="Times New Roman" w:cs="Times New Roman"/>
      <w:lang w:val="en-IN" w:eastAsia="en-GB" w:bidi="bn-IN"/>
    </w:rPr>
  </w:style>
  <w:style w:type="character" w:styleId="Strong">
    <w:name w:val="Strong"/>
    <w:basedOn w:val="DefaultParagraphFont"/>
    <w:uiPriority w:val="22"/>
    <w:qFormat/>
    <w:rsid w:val="00C22DDF"/>
    <w:rPr>
      <w:b/>
      <w:bCs/>
    </w:rPr>
  </w:style>
  <w:style w:type="paragraph" w:styleId="BodyText">
    <w:name w:val="Body Text"/>
    <w:basedOn w:val="Normal"/>
    <w:link w:val="BodyTextChar"/>
    <w:uiPriority w:val="99"/>
    <w:semiHidden/>
    <w:unhideWhenUsed/>
    <w:rsid w:val="00C22DDF"/>
    <w:pPr>
      <w:spacing w:after="120"/>
    </w:pPr>
  </w:style>
  <w:style w:type="character" w:customStyle="1" w:styleId="BodyTextChar">
    <w:name w:val="Body Text Char"/>
    <w:basedOn w:val="DefaultParagraphFont"/>
    <w:link w:val="BodyText"/>
    <w:uiPriority w:val="99"/>
    <w:semiHidden/>
    <w:rsid w:val="00C22DDF"/>
    <w:rPr>
      <w:kern w:val="0"/>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1869</Words>
  <Characters>11480</Characters>
  <Application>Microsoft Office Word</Application>
  <DocSecurity>0</DocSecurity>
  <Lines>191</Lines>
  <Paragraphs>65</Paragraphs>
  <ScaleCrop>false</ScaleCrop>
  <Company/>
  <LinksUpToDate>false</LinksUpToDate>
  <CharactersWithSpaces>13284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2025-12-03T10:53:00Z</dcterms:created>
  <dcterms:modified xsi:type="dcterms:W3CDTF">2025-12-03T10:53:00Z</dcterms:modified>
</cp:coreProperties>
</file>