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DFE2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auto"/>
          <w:spacing w:val="0"/>
          <w:kern w:val="0"/>
          <w:sz w:val="30"/>
          <w:szCs w:val="30"/>
          <w:shd w:val="clear" w:fill="auto"/>
        </w:rPr>
      </w:pPr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auto"/>
          <w:spacing w:val="0"/>
          <w:kern w:val="0"/>
          <w:sz w:val="30"/>
          <w:szCs w:val="30"/>
          <w:shd w:val="clear" w:fill="auto"/>
        </w:rPr>
        <w:t>Green Synthesis of Nitrogen-Doped Carbon Quantum Dots from Medium-Molecular-Weight Chitosan for Ultrasensitive Fe³⁺ Detection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kern w:val="0"/>
          <w:sz w:val="30"/>
          <w:szCs w:val="30"/>
          <w:shd w:val="clear" w:fill="auto"/>
          <w:lang w:val="en-US" w:eastAsia="zh-CN"/>
        </w:rPr>
        <w:t xml:space="preserve"> and </w:t>
      </w:r>
      <w:r>
        <w:rPr>
          <w:rFonts w:hint="default" w:ascii="Times New Roman" w:hAnsi="Times New Roman" w:cs="Times New Roman"/>
          <w:b/>
          <w:bCs/>
          <w:color w:val="auto"/>
          <w:kern w:val="0"/>
          <w:sz w:val="30"/>
          <w:szCs w:val="30"/>
          <w:shd w:val="clear" w:fill="auto"/>
          <w:lang w:eastAsia="zh-CN"/>
        </w:rPr>
        <w:t>R</w:t>
      </w:r>
      <w:r>
        <w:rPr>
          <w:rFonts w:hint="default" w:ascii="Times New Roman" w:hAnsi="Times New Roman" w:cs="Times New Roman"/>
          <w:b/>
          <w:bCs/>
          <w:color w:val="auto"/>
          <w:kern w:val="0"/>
          <w:sz w:val="30"/>
          <w:szCs w:val="30"/>
          <w:shd w:val="clear" w:fill="auto"/>
        </w:rPr>
        <w:t xml:space="preserve">esponsive </w:t>
      </w:r>
      <w:r>
        <w:rPr>
          <w:rFonts w:hint="default" w:ascii="Times New Roman" w:hAnsi="Times New Roman" w:cs="Times New Roman"/>
          <w:b/>
          <w:bCs/>
          <w:color w:val="auto"/>
          <w:kern w:val="0"/>
          <w:sz w:val="30"/>
          <w:szCs w:val="30"/>
          <w:shd w:val="clear" w:fill="auto"/>
          <w:lang w:val="en-US" w:eastAsia="zh-CN"/>
        </w:rPr>
        <w:t>P</w:t>
      </w:r>
      <w:r>
        <w:rPr>
          <w:rFonts w:hint="default" w:ascii="Times New Roman" w:hAnsi="Times New Roman" w:cs="Times New Roman"/>
          <w:b/>
          <w:bCs/>
          <w:color w:val="auto"/>
          <w:kern w:val="0"/>
          <w:sz w:val="30"/>
          <w:szCs w:val="30"/>
          <w:shd w:val="clear" w:fill="auto"/>
        </w:rPr>
        <w:t>robe</w:t>
      </w:r>
    </w:p>
    <w:p w14:paraId="40082AE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auto"/>
        </w:rPr>
      </w:pPr>
    </w:p>
    <w:p w14:paraId="09ED1BF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default" w:ascii="Times New Roman" w:hAnsi="Times New Roman" w:cs="Times New Roman" w:eastAsiaTheme="minorEastAsia"/>
          <w:b/>
          <w:bCs/>
          <w:kern w:val="0"/>
          <w:sz w:val="24"/>
          <w:szCs w:val="24"/>
          <w:lang w:val="en-US"/>
        </w:rPr>
      </w:pPr>
      <w:r>
        <w:rPr>
          <w:rFonts w:hint="default" w:ascii="Times New Roman" w:hAnsi="Times New Roman" w:cs="Times New Roman" w:eastAsiaTheme="minorEastAsia"/>
          <w:b/>
          <w:bCs/>
          <w:kern w:val="0"/>
          <w:sz w:val="24"/>
          <w:szCs w:val="24"/>
        </w:rPr>
        <w:t>Lulu</w:t>
      </w:r>
      <w:r>
        <w:rPr>
          <w:rFonts w:hint="default" w:ascii="Times New Roman" w:hAnsi="Times New Roman" w:cs="Times New Roman"/>
          <w:b/>
          <w:bCs/>
          <w:kern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/>
          <w:bCs/>
          <w:kern w:val="0"/>
          <w:sz w:val="24"/>
          <w:szCs w:val="24"/>
        </w:rPr>
        <w:t>Feng</w:t>
      </w:r>
      <w:r>
        <w:rPr>
          <w:rFonts w:hint="default" w:ascii="Times New Roman" w:hAnsi="Times New Roman" w:cs="Times New Roman"/>
          <w:b/>
          <w:bCs/>
          <w:kern w:val="0"/>
          <w:sz w:val="24"/>
          <w:szCs w:val="24"/>
          <w:vertAlign w:val="superscript"/>
          <w:lang w:eastAsia="zh-CN"/>
        </w:rPr>
        <w:t>a</w:t>
      </w:r>
      <w:r>
        <w:rPr>
          <w:rFonts w:hint="default" w:ascii="Times New Roman" w:hAnsi="Times New Roman" w:cs="Times New Roman" w:eastAsiaTheme="minorEastAsia"/>
          <w:b/>
          <w:bCs/>
          <w:kern w:val="0"/>
          <w:sz w:val="24"/>
          <w:szCs w:val="24"/>
        </w:rPr>
        <w:t>, Hainan</w:t>
      </w:r>
      <w:r>
        <w:rPr>
          <w:rFonts w:hint="default" w:ascii="Times New Roman" w:hAnsi="Times New Roman" w:cs="Times New Roman"/>
          <w:b/>
          <w:bCs/>
          <w:kern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/>
          <w:bCs/>
          <w:kern w:val="0"/>
          <w:sz w:val="24"/>
          <w:szCs w:val="24"/>
        </w:rPr>
        <w:t>Li</w:t>
      </w:r>
      <w:r>
        <w:rPr>
          <w:rFonts w:hint="default" w:ascii="Times New Roman" w:hAnsi="Times New Roman" w:cs="Times New Roman"/>
          <w:b/>
          <w:bCs/>
          <w:kern w:val="0"/>
          <w:sz w:val="24"/>
          <w:szCs w:val="24"/>
          <w:vertAlign w:val="superscript"/>
          <w:lang w:eastAsia="zh-CN"/>
        </w:rPr>
        <w:t>a</w:t>
      </w:r>
      <w:r>
        <w:rPr>
          <w:rFonts w:hint="default" w:ascii="Times New Roman" w:hAnsi="Times New Roman" w:cs="Times New Roman" w:eastAsiaTheme="minorEastAsia"/>
          <w:b/>
          <w:bCs/>
          <w:kern w:val="0"/>
          <w:sz w:val="24"/>
          <w:szCs w:val="24"/>
        </w:rPr>
        <w:t>, Zishuai</w:t>
      </w:r>
      <w:r>
        <w:rPr>
          <w:rFonts w:hint="default" w:ascii="Times New Roman" w:hAnsi="Times New Roman" w:cs="Times New Roman"/>
          <w:b/>
          <w:bCs/>
          <w:kern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/>
          <w:bCs/>
          <w:kern w:val="0"/>
          <w:sz w:val="24"/>
          <w:szCs w:val="24"/>
        </w:rPr>
        <w:t>Zhang</w:t>
      </w:r>
      <w:r>
        <w:rPr>
          <w:rFonts w:hint="default" w:ascii="Times New Roman" w:hAnsi="Times New Roman" w:cs="Times New Roman"/>
          <w:b/>
          <w:bCs/>
          <w:kern w:val="0"/>
          <w:sz w:val="24"/>
          <w:szCs w:val="24"/>
          <w:vertAlign w:val="superscript"/>
          <w:lang w:eastAsia="zh-CN"/>
        </w:rPr>
        <w:t>a</w:t>
      </w:r>
      <w:r>
        <w:rPr>
          <w:rFonts w:hint="default" w:ascii="Times New Roman" w:hAnsi="Times New Roman" w:cs="Times New Roman" w:eastAsiaTheme="minorEastAsia"/>
          <w:b/>
          <w:bCs/>
          <w:kern w:val="0"/>
          <w:sz w:val="24"/>
          <w:szCs w:val="24"/>
        </w:rPr>
        <w:t>,</w:t>
      </w:r>
      <w:r>
        <w:rPr>
          <w:rFonts w:hint="default" w:ascii="Times New Roman" w:hAnsi="Times New Roman" w:cs="Times New Roman"/>
          <w:b/>
          <w:bCs/>
          <w:kern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/>
          <w:bCs/>
          <w:kern w:val="0"/>
          <w:sz w:val="24"/>
          <w:szCs w:val="24"/>
        </w:rPr>
        <w:t>Shuang</w:t>
      </w:r>
      <w:r>
        <w:rPr>
          <w:rFonts w:hint="default" w:ascii="Times New Roman" w:hAnsi="Times New Roman" w:cs="Times New Roman"/>
          <w:b/>
          <w:bCs/>
          <w:kern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/>
          <w:bCs/>
          <w:kern w:val="0"/>
          <w:sz w:val="24"/>
          <w:szCs w:val="24"/>
        </w:rPr>
        <w:t>Pang</w:t>
      </w:r>
      <w:r>
        <w:rPr>
          <w:rFonts w:hint="default" w:ascii="Times New Roman" w:hAnsi="Times New Roman" w:cs="Times New Roman"/>
          <w:b/>
          <w:bCs/>
          <w:kern w:val="0"/>
          <w:sz w:val="24"/>
          <w:szCs w:val="24"/>
          <w:vertAlign w:val="superscript"/>
          <w:lang w:eastAsia="zh-CN"/>
        </w:rPr>
        <w:t>a</w:t>
      </w:r>
      <w:r>
        <w:rPr>
          <w:rFonts w:hint="default" w:ascii="Times New Roman" w:hAnsi="Times New Roman" w:cs="Times New Roman" w:eastAsiaTheme="minorEastAsia"/>
          <w:b/>
          <w:bCs/>
          <w:kern w:val="0"/>
          <w:sz w:val="24"/>
          <w:szCs w:val="24"/>
        </w:rPr>
        <w:t>,</w:t>
      </w:r>
      <w:r>
        <w:rPr>
          <w:rFonts w:hint="default" w:ascii="Times New Roman" w:hAnsi="Times New Roman" w:cs="Times New Roman"/>
          <w:b/>
          <w:bCs/>
          <w:kern w:val="0"/>
          <w:sz w:val="24"/>
          <w:szCs w:val="24"/>
          <w:lang w:val="en-US" w:eastAsia="zh-CN"/>
        </w:rPr>
        <w:t xml:space="preserve"> Zhiyu Liu</w:t>
      </w:r>
      <w:r>
        <w:rPr>
          <w:rFonts w:hint="default" w:ascii="Times New Roman" w:hAnsi="Times New Roman" w:cs="Times New Roman"/>
          <w:b/>
          <w:bCs/>
          <w:kern w:val="0"/>
          <w:sz w:val="24"/>
          <w:szCs w:val="24"/>
          <w:vertAlign w:val="superscript"/>
          <w:lang w:val="en-US" w:eastAsia="zh-CN"/>
        </w:rPr>
        <w:t>a</w:t>
      </w:r>
      <w:r>
        <w:rPr>
          <w:rFonts w:hint="default" w:ascii="Times New Roman" w:hAnsi="Times New Roman" w:cs="Times New Roman"/>
          <w:b/>
          <w:bCs/>
          <w:kern w:val="0"/>
          <w:sz w:val="24"/>
          <w:szCs w:val="24"/>
          <w:vertAlign w:val="baseline"/>
          <w:lang w:val="en-US" w:eastAsia="zh-CN"/>
        </w:rPr>
        <w:t>, Jiahao Lin</w:t>
      </w:r>
      <w:r>
        <w:rPr>
          <w:rFonts w:hint="default" w:ascii="Times New Roman" w:hAnsi="Times New Roman" w:cs="Times New Roman"/>
          <w:b/>
          <w:bCs/>
          <w:kern w:val="0"/>
          <w:sz w:val="24"/>
          <w:szCs w:val="24"/>
          <w:vertAlign w:val="superscript"/>
          <w:lang w:val="en-US" w:eastAsia="zh-CN"/>
        </w:rPr>
        <w:t>b</w:t>
      </w:r>
      <w:r>
        <w:rPr>
          <w:rFonts w:hint="default" w:ascii="Times New Roman" w:hAnsi="Times New Roman" w:cs="Times New Roman"/>
          <w:b/>
          <w:bCs/>
          <w:kern w:val="0"/>
          <w:sz w:val="24"/>
          <w:szCs w:val="24"/>
          <w:lang w:val="en-US" w:eastAsia="zh-CN"/>
        </w:rPr>
        <w:t>, ,Shiyu Wang</w:t>
      </w:r>
      <w:r>
        <w:rPr>
          <w:rFonts w:hint="default" w:ascii="Times New Roman" w:hAnsi="Times New Roman" w:cs="Times New Roman" w:eastAsiaTheme="minorEastAsia"/>
          <w:b/>
          <w:bCs/>
          <w:kern w:val="0"/>
          <w:sz w:val="24"/>
          <w:szCs w:val="24"/>
          <w:vertAlign w:val="superscript"/>
        </w:rPr>
        <w:t>a,</w:t>
      </w:r>
      <w:r>
        <w:rPr>
          <w:rFonts w:hint="default" w:ascii="Times New Roman" w:hAnsi="Times New Roman" w:cs="Times New Roman"/>
          <w:b/>
          <w:bCs/>
          <w:kern w:val="0"/>
          <w:sz w:val="24"/>
          <w:szCs w:val="24"/>
          <w:lang w:val="en-US" w:eastAsia="zh-CN"/>
        </w:rPr>
        <w:t>*,Zhenning Lou</w:t>
      </w:r>
      <w:r>
        <w:rPr>
          <w:rFonts w:hint="default" w:ascii="Times New Roman" w:hAnsi="Times New Roman" w:cs="Times New Roman"/>
          <w:b/>
          <w:bCs/>
          <w:kern w:val="0"/>
          <w:sz w:val="24"/>
          <w:szCs w:val="24"/>
          <w:vertAlign w:val="superscript"/>
          <w:lang w:val="en-US" w:eastAsia="zh-CN"/>
        </w:rPr>
        <w:t>b</w:t>
      </w:r>
    </w:p>
    <w:p w14:paraId="2927188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default" w:ascii="Times New Roman" w:hAnsi="Times New Roman" w:cs="Times New Roman"/>
          <w:b/>
          <w:bCs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kern w:val="0"/>
          <w:sz w:val="24"/>
          <w:szCs w:val="24"/>
          <w:vertAlign w:val="superscript"/>
          <w:lang w:val="en-US" w:eastAsia="zh-CN"/>
        </w:rPr>
        <w:t xml:space="preserve">a </w:t>
      </w:r>
      <w:r>
        <w:rPr>
          <w:rFonts w:hint="default" w:ascii="Times New Roman" w:hAnsi="Times New Roman" w:cs="Times New Roman"/>
          <w:b/>
          <w:bCs/>
          <w:kern w:val="0"/>
          <w:sz w:val="24"/>
          <w:szCs w:val="24"/>
          <w:lang w:val="en-US" w:eastAsia="zh-CN"/>
        </w:rPr>
        <w:t>College of Physics, Liaoning University, Shenyang, 110036, China</w:t>
      </w:r>
    </w:p>
    <w:p w14:paraId="5B44E53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default" w:ascii="Times New Roman" w:hAnsi="Times New Roman" w:cs="Times New Roman"/>
          <w:b/>
          <w:bCs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kern w:val="0"/>
          <w:sz w:val="24"/>
          <w:szCs w:val="24"/>
          <w:vertAlign w:val="superscript"/>
          <w:lang w:val="en-US" w:eastAsia="zh-CN"/>
        </w:rPr>
        <w:t xml:space="preserve">b </w:t>
      </w:r>
      <w:r>
        <w:rPr>
          <w:rFonts w:hint="default" w:ascii="Times New Roman" w:hAnsi="Times New Roman" w:cs="Times New Roman"/>
          <w:b/>
          <w:bCs/>
          <w:kern w:val="0"/>
          <w:sz w:val="24"/>
          <w:szCs w:val="24"/>
          <w:lang w:val="en-US" w:eastAsia="zh-CN"/>
        </w:rPr>
        <w:t>College of Chemistry, Liaoning University, Shenyang, 110036, China</w:t>
      </w:r>
    </w:p>
    <w:p w14:paraId="174367B3">
      <w:pPr>
        <w:spacing w:line="360" w:lineRule="auto"/>
        <w:jc w:val="left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 w:eastAsiaTheme="minorEastAsia"/>
          <w:b/>
          <w:bCs/>
          <w:kern w:val="0"/>
          <w:sz w:val="24"/>
          <w:szCs w:val="24"/>
        </w:rPr>
        <w:t xml:space="preserve">E-mail: 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wangshiyu@lnu.edu.cn (Shiyu Wang)</w:t>
      </w:r>
    </w:p>
    <w:p w14:paraId="741A3F58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</w:p>
    <w:p w14:paraId="784BEC28">
      <w:pPr>
        <w:pStyle w:val="8"/>
        <w:rPr>
          <w:rFonts w:hint="default" w:ascii="Times New Roman" w:hAnsi="Times New Roman" w:cs="Times New Roman"/>
          <w:sz w:val="24"/>
        </w:rPr>
      </w:pPr>
      <w:bookmarkStart w:id="0" w:name="_Toc172489316"/>
      <w:r>
        <w:rPr>
          <w:rFonts w:hint="default" w:ascii="Times New Roman" w:hAnsi="Times New Roman" w:cs="Times New Roman"/>
          <w:sz w:val="28"/>
          <w:szCs w:val="28"/>
        </w:rPr>
        <w:t>Section 1 Additional Characterization Data</w:t>
      </w:r>
      <w:bookmarkEnd w:id="0"/>
    </w:p>
    <w:p w14:paraId="62E8E6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Chitosan, derived exclusively from crab shells, served as the sole precursor material. The degree of deacetylation (DD) was determined via potentiometric titration by: (1) preparing 0.1 mol·L</w:t>
      </w:r>
      <w:r>
        <w:rPr>
          <w:rFonts w:hint="default" w:ascii="Times New Roman" w:hAnsi="Times New Roman" w:cs="Times New Roman"/>
          <w:sz w:val="24"/>
          <w:szCs w:val="24"/>
          <w:vertAlign w:val="superscript"/>
          <w:lang w:val="en-US" w:eastAsia="zh-CN"/>
        </w:rPr>
        <w:t>-1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NaOH standard solution through dissolution of 2.0 g NaOH in distilled water followed by dilution to 100 mL; (2) diluting 0.8 mL concentrated HCl to 100 mL with distilled water to obtain 0.1 mol·L</w:t>
      </w:r>
      <w:r>
        <w:rPr>
          <w:rFonts w:hint="default" w:ascii="Times New Roman" w:hAnsi="Times New Roman" w:cs="Times New Roman"/>
          <w:sz w:val="24"/>
          <w:szCs w:val="24"/>
          <w:vertAlign w:val="superscript"/>
          <w:lang w:val="en-US" w:eastAsia="zh-CN"/>
        </w:rPr>
        <w:t>-1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HCl standard solution; (3) dissolving a precisely weighed 30 g chitosan sample in 20 mL HCl solution under magnetic stirring; (4) titrating with NaOH standard solution while monitoring pH using a calibrated electrode; (5) plotting pH versus NaOH volume to generate the titration curve; and (6) constructing the first-derivative curve (ΔpH/ΔV vs. NaOH volume) to identify the equivalence point. The DD value was calculated as 100% using the standard formula </w:t>
      </w:r>
      <m:oMath>
        <m:r>
          <m:rPr>
            <m:nor/>
            <m:sty m:val="p"/>
          </m:rPr>
          <w:rPr>
            <w:rFonts w:hint="default" w:ascii="Times New Roman" w:hAnsi="Times New Roman" w:cs="Times New Roman"/>
            <w:b w:val="0"/>
            <w:i w:val="0"/>
            <w:kern w:val="2"/>
            <w:sz w:val="28"/>
            <w:szCs w:val="22"/>
            <w:lang w:val="en-US" w:eastAsia="zh-CN" w:bidi="ar-SA"/>
          </w:rPr>
          <m:t>DD(</m:t>
        </m:r>
        <m:r>
          <m:rPr>
            <m:nor/>
            <m:sty m:val="p"/>
          </m:rPr>
          <w:rPr>
            <w:rFonts w:hint="default" w:ascii="Times New Roman" w:hAnsi="Times New Roman" w:cs="Times New Roman"/>
            <w:b w:val="0"/>
            <w:i w:val="0"/>
            <w:kern w:val="2"/>
            <w:sz w:val="28"/>
            <w:szCs w:val="22"/>
            <w:lang w:val="en-US" w:bidi="ar-SA"/>
          </w:rPr>
          <m:t>%</m:t>
        </m:r>
        <m:r>
          <m:rPr>
            <m:nor/>
            <m:sty m:val="p"/>
          </m:rPr>
          <w:rPr>
            <w:rFonts w:hint="default" w:ascii="Times New Roman" w:hAnsi="Times New Roman" w:cs="Times New Roman"/>
            <w:b w:val="0"/>
            <w:i w:val="0"/>
            <w:kern w:val="2"/>
            <w:sz w:val="28"/>
            <w:szCs w:val="22"/>
            <w:lang w:val="en-US" w:eastAsia="zh-CN" w:bidi="ar-SA"/>
          </w:rPr>
          <m:t>)=</m:t>
        </m:r>
        <m:f>
          <m:fPr>
            <m:ctrlPr>
              <w:rPr>
                <w:rFonts w:hint="default" w:ascii="Cambria Math" w:hAnsi="Cambria Math" w:cs="Times New Roman"/>
                <w:kern w:val="2"/>
                <w:sz w:val="28"/>
                <w:szCs w:val="22"/>
                <w:lang w:val="en-US" w:eastAsia="zh-CN" w:bidi="ar-SA"/>
              </w:rPr>
            </m:ctrlPr>
          </m:fPr>
          <m:num>
            <m:r>
              <m:rPr>
                <m:nor/>
                <m:sty m:val="p"/>
              </m:rPr>
              <w:rPr>
                <w:rFonts w:hint="default" w:ascii="Times New Roman" w:hAnsi="Times New Roman" w:cs="Times New Roman"/>
                <w:b w:val="0"/>
                <w:i w:val="0"/>
                <w:kern w:val="2"/>
                <w:sz w:val="28"/>
                <w:szCs w:val="22"/>
                <w:lang w:val="en-US" w:eastAsia="zh-CN" w:bidi="ar-SA"/>
              </w:rPr>
              <m:t>(</m:t>
            </m:r>
            <m:sSub>
              <m:sSubPr>
                <m:ctrlPr>
                  <w:rPr>
                    <w:rFonts w:hint="default" w:ascii="Cambria Math" w:hAnsi="Cambria Math" w:cs="Times New Roman"/>
                    <w:kern w:val="2"/>
                    <w:sz w:val="28"/>
                    <w:szCs w:val="22"/>
                    <w:lang w:val="en-US" w:eastAsia="zh-CN" w:bidi="ar-SA"/>
                  </w:rPr>
                </m:ctrlPr>
              </m:sSubPr>
              <m:e>
                <m:r>
                  <m:rPr>
                    <m:nor/>
                    <m:sty m:val="p"/>
                  </m:rPr>
                  <w:rPr>
                    <w:rFonts w:hint="default" w:ascii="Times New Roman" w:hAnsi="Times New Roman" w:cs="Times New Roman"/>
                    <w:b w:val="0"/>
                    <w:i w:val="0"/>
                    <w:kern w:val="2"/>
                    <w:sz w:val="28"/>
                    <w:szCs w:val="22"/>
                    <w:lang w:val="en-US" w:eastAsia="zh-CN" w:bidi="ar-SA"/>
                  </w:rPr>
                  <m:t>V</m:t>
                </m:r>
                <m:ctrlPr>
                  <w:rPr>
                    <w:rFonts w:hint="default" w:ascii="Cambria Math" w:hAnsi="Cambria Math" w:cs="Times New Roman"/>
                    <w:kern w:val="2"/>
                    <w:sz w:val="28"/>
                    <w:szCs w:val="22"/>
                    <w:lang w:val="en-US" w:eastAsia="zh-CN" w:bidi="ar-SA"/>
                  </w:rPr>
                </m:ctrlPr>
              </m:e>
              <m:sub>
                <m:r>
                  <m:rPr>
                    <m:nor/>
                    <m:sty m:val="p"/>
                  </m:rPr>
                  <w:rPr>
                    <w:rFonts w:hint="default" w:ascii="Times New Roman" w:hAnsi="Times New Roman" w:cs="Times New Roman"/>
                    <w:b w:val="0"/>
                    <w:i w:val="0"/>
                    <w:kern w:val="2"/>
                    <w:sz w:val="28"/>
                    <w:szCs w:val="22"/>
                    <w:lang w:val="en-US" w:eastAsia="zh-CN" w:bidi="ar-SA"/>
                  </w:rPr>
                  <m:t>3</m:t>
                </m:r>
                <m:ctrlPr>
                  <w:rPr>
                    <w:rFonts w:hint="default" w:ascii="Cambria Math" w:hAnsi="Cambria Math" w:cs="Times New Roman"/>
                    <w:kern w:val="2"/>
                    <w:sz w:val="28"/>
                    <w:szCs w:val="22"/>
                    <w:lang w:val="en-US" w:eastAsia="zh-CN" w:bidi="ar-SA"/>
                  </w:rPr>
                </m:ctrlPr>
              </m:sub>
            </m:sSub>
            <m:r>
              <m:rPr>
                <m:nor/>
                <m:sty m:val="p"/>
              </m:rPr>
              <w:rPr>
                <w:rFonts w:hint="default" w:ascii="Times New Roman" w:hAnsi="Times New Roman" w:cs="Times New Roman"/>
                <w:b w:val="0"/>
                <w:i w:val="0"/>
                <w:kern w:val="2"/>
                <w:sz w:val="28"/>
                <w:szCs w:val="22"/>
                <w:lang w:val="en-US" w:eastAsia="zh-CN" w:bidi="ar-SA"/>
              </w:rPr>
              <m:t>−</m:t>
            </m:r>
            <m:sSub>
              <m:sSubPr>
                <m:ctrlPr>
                  <w:rPr>
                    <w:rFonts w:hint="default" w:ascii="Cambria Math" w:hAnsi="Cambria Math" w:cs="Times New Roman"/>
                    <w:kern w:val="2"/>
                    <w:sz w:val="28"/>
                    <w:szCs w:val="22"/>
                    <w:lang w:val="en-US" w:eastAsia="zh-CN" w:bidi="ar-SA"/>
                  </w:rPr>
                </m:ctrlPr>
              </m:sSubPr>
              <m:e>
                <m:r>
                  <m:rPr>
                    <m:nor/>
                    <m:sty m:val="p"/>
                  </m:rPr>
                  <w:rPr>
                    <w:rFonts w:hint="default" w:ascii="Times New Roman" w:hAnsi="Times New Roman" w:cs="Times New Roman"/>
                    <w:b w:val="0"/>
                    <w:i w:val="0"/>
                    <w:kern w:val="2"/>
                    <w:sz w:val="28"/>
                    <w:szCs w:val="22"/>
                    <w:lang w:val="en-US" w:eastAsia="zh-CN" w:bidi="ar-SA"/>
                  </w:rPr>
                  <m:t>V</m:t>
                </m:r>
                <m:ctrlPr>
                  <w:rPr>
                    <w:rFonts w:hint="default" w:ascii="Cambria Math" w:hAnsi="Cambria Math" w:cs="Times New Roman"/>
                    <w:kern w:val="2"/>
                    <w:sz w:val="28"/>
                    <w:szCs w:val="22"/>
                    <w:lang w:val="en-US" w:eastAsia="zh-CN" w:bidi="ar-SA"/>
                  </w:rPr>
                </m:ctrlPr>
              </m:e>
              <m:sub>
                <m:r>
                  <m:rPr>
                    <m:nor/>
                    <m:sty m:val="p"/>
                  </m:rPr>
                  <w:rPr>
                    <w:rFonts w:hint="default" w:ascii="Times New Roman" w:hAnsi="Times New Roman" w:cs="Times New Roman"/>
                    <w:b w:val="0"/>
                    <w:i w:val="0"/>
                    <w:kern w:val="2"/>
                    <w:sz w:val="28"/>
                    <w:szCs w:val="22"/>
                    <w:lang w:val="en-US" w:eastAsia="zh-CN" w:bidi="ar-SA"/>
                  </w:rPr>
                  <m:t>2</m:t>
                </m:r>
                <m:ctrlPr>
                  <w:rPr>
                    <w:rFonts w:hint="default" w:ascii="Cambria Math" w:hAnsi="Cambria Math" w:cs="Times New Roman"/>
                    <w:kern w:val="2"/>
                    <w:sz w:val="28"/>
                    <w:szCs w:val="22"/>
                    <w:lang w:val="en-US" w:eastAsia="zh-CN" w:bidi="ar-SA"/>
                  </w:rPr>
                </m:ctrlPr>
              </m:sub>
            </m:sSub>
            <m:r>
              <m:rPr>
                <m:nor/>
                <m:sty m:val="p"/>
              </m:rPr>
              <w:rPr>
                <w:rFonts w:hint="default" w:ascii="Times New Roman" w:hAnsi="Times New Roman" w:cs="Times New Roman"/>
                <w:b w:val="0"/>
                <w:i w:val="0"/>
                <w:kern w:val="2"/>
                <w:sz w:val="28"/>
                <w:szCs w:val="22"/>
                <w:lang w:val="en-US" w:eastAsia="zh-CN" w:bidi="ar-SA"/>
              </w:rPr>
              <m:t>)</m:t>
            </m:r>
            <m:r>
              <m:rPr>
                <m:nor/>
                <m:sty m:val="p"/>
              </m:rPr>
              <w:rPr>
                <w:rFonts w:hint="default" w:ascii="Times New Roman" w:hAnsi="Times New Roman" w:cs="Times New Roman"/>
                <w:b w:val="0"/>
                <w:i w:val="0"/>
                <w:kern w:val="2"/>
                <w:sz w:val="28"/>
                <w:szCs w:val="22"/>
                <w:lang w:val="en-US" w:bidi="ar-SA"/>
              </w:rPr>
              <m:t>×</m:t>
            </m:r>
            <m:r>
              <m:rPr>
                <m:nor/>
                <m:sty m:val="p"/>
              </m:rPr>
              <w:rPr>
                <w:rFonts w:hint="default" w:ascii="Times New Roman" w:hAnsi="Times New Roman" w:cs="Times New Roman"/>
                <w:b w:val="0"/>
                <w:i w:val="0"/>
                <w:kern w:val="2"/>
                <w:sz w:val="28"/>
                <w:szCs w:val="22"/>
                <w:lang w:val="en-US" w:eastAsia="zh-CN" w:bidi="ar-SA"/>
              </w:rPr>
              <m:t>0.1</m:t>
            </m:r>
            <m:r>
              <m:rPr>
                <m:nor/>
                <m:sty m:val="p"/>
              </m:rPr>
              <w:rPr>
                <w:rFonts w:hint="default" w:ascii="Times New Roman" w:hAnsi="Times New Roman" w:cs="Times New Roman"/>
                <w:b w:val="0"/>
                <w:i w:val="0"/>
                <w:kern w:val="2"/>
                <w:sz w:val="28"/>
                <w:szCs w:val="22"/>
                <w:lang w:val="en-US" w:bidi="ar-SA"/>
              </w:rPr>
              <m:t>×</m:t>
            </m:r>
            <m:r>
              <m:rPr>
                <m:nor/>
                <m:sty m:val="p"/>
              </m:rPr>
              <w:rPr>
                <w:rFonts w:hint="default" w:ascii="Times New Roman" w:hAnsi="Times New Roman" w:cs="Times New Roman"/>
                <w:b w:val="0"/>
                <w:i w:val="0"/>
                <w:kern w:val="2"/>
                <w:sz w:val="28"/>
                <w:szCs w:val="22"/>
                <w:lang w:val="en-US" w:eastAsia="zh-CN" w:bidi="ar-SA"/>
              </w:rPr>
              <m:t>240.3</m:t>
            </m:r>
            <m:r>
              <m:rPr>
                <m:nor/>
                <m:sty m:val="p"/>
              </m:rPr>
              <w:rPr>
                <w:rFonts w:hint="default" w:ascii="Times New Roman" w:hAnsi="Times New Roman" w:cs="Times New Roman"/>
                <w:b w:val="0"/>
                <w:i w:val="0"/>
                <w:kern w:val="2"/>
                <w:sz w:val="28"/>
                <w:szCs w:val="22"/>
                <w:lang w:val="en-US" w:bidi="ar-SA"/>
              </w:rPr>
              <m:t>×</m:t>
            </m:r>
            <m:r>
              <m:rPr>
                <m:nor/>
                <m:sty m:val="p"/>
              </m:rPr>
              <w:rPr>
                <w:rFonts w:hint="default" w:ascii="Times New Roman" w:hAnsi="Times New Roman" w:cs="Times New Roman"/>
                <w:b w:val="0"/>
                <w:i w:val="0"/>
                <w:kern w:val="2"/>
                <w:sz w:val="28"/>
                <w:szCs w:val="22"/>
                <w:lang w:val="en-US" w:eastAsia="zh-CN" w:bidi="ar-SA"/>
              </w:rPr>
              <m:t>100</m:t>
            </m:r>
            <m:ctrlPr>
              <w:rPr>
                <w:rFonts w:hint="default" w:ascii="Cambria Math" w:hAnsi="Cambria Math" w:cs="Times New Roman"/>
                <w:kern w:val="2"/>
                <w:sz w:val="28"/>
                <w:szCs w:val="22"/>
                <w:lang w:val="en-US" w:eastAsia="zh-CN" w:bidi="ar-SA"/>
              </w:rPr>
            </m:ctrlPr>
          </m:num>
          <m:den>
            <m:r>
              <m:rPr>
                <m:nor/>
                <m:sty m:val="p"/>
              </m:rPr>
              <w:rPr>
                <w:rFonts w:hint="default" w:ascii="Times New Roman" w:hAnsi="Times New Roman" w:cs="Times New Roman"/>
                <w:b w:val="0"/>
                <w:i w:val="0"/>
                <w:kern w:val="2"/>
                <w:sz w:val="28"/>
                <w:szCs w:val="28"/>
                <w:lang w:val="en-US" w:eastAsia="zh-CN" w:bidi="ar-SA"/>
              </w:rPr>
              <m:t>m</m:t>
            </m:r>
            <m:r>
              <m:rPr>
                <m:nor/>
                <m:sty m:val="p"/>
              </m:rPr>
              <w:rPr>
                <w:rFonts w:hint="default" w:ascii="Times New Roman" w:hAnsi="Times New Roman" w:cs="Times New Roman"/>
                <w:b w:val="0"/>
                <w:i w:val="0"/>
                <w:kern w:val="2"/>
                <w:sz w:val="28"/>
                <w:szCs w:val="28"/>
                <w:lang w:val="en-US" w:bidi="ar-SA"/>
              </w:rPr>
              <m:t>×</m:t>
            </m:r>
            <m:r>
              <m:rPr>
                <m:nor/>
                <m:sty m:val="p"/>
              </m:rPr>
              <w:rPr>
                <w:rFonts w:hint="default" w:ascii="Times New Roman" w:hAnsi="Times New Roman" w:cs="Times New Roman"/>
                <w:b w:val="0"/>
                <w:i w:val="0"/>
                <w:kern w:val="2"/>
                <w:sz w:val="28"/>
                <w:szCs w:val="28"/>
                <w:lang w:val="en-US" w:eastAsia="zh-CN" w:bidi="ar-SA"/>
              </w:rPr>
              <m:t>1000</m:t>
            </m:r>
            <m:ctrlPr>
              <w:rPr>
                <w:rFonts w:hint="default" w:ascii="Cambria Math" w:hAnsi="Cambria Math" w:cs="Times New Roman"/>
                <w:kern w:val="2"/>
                <w:sz w:val="28"/>
                <w:szCs w:val="22"/>
                <w:lang w:val="en-US" w:eastAsia="zh-CN" w:bidi="ar-SA"/>
              </w:rPr>
            </m:ctrlPr>
          </m:den>
        </m:f>
      </m:oMath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.</w:t>
      </w:r>
    </w:p>
    <w:p w14:paraId="0372D063">
      <w:pPr>
        <w:rPr>
          <w:rFonts w:hint="default" w:ascii="Times New Roman" w:hAnsi="Times New Roman" w:cs="Times New Roman"/>
          <w:i w:val="0"/>
          <w:kern w:val="2"/>
          <w:sz w:val="28"/>
          <w:szCs w:val="22"/>
          <w:lang w:val="en-US" w:eastAsia="zh-CN" w:bidi="ar-SA"/>
        </w:rPr>
      </w:pPr>
      <w:r>
        <w:rPr>
          <w:rFonts w:hint="default" w:ascii="Times New Roman" w:hAnsi="Times New Roman" w:cs="Times New Roman"/>
          <w:i w:val="0"/>
          <w:kern w:val="2"/>
          <w:sz w:val="28"/>
          <w:szCs w:val="22"/>
          <w:lang w:val="en-US" w:eastAsia="zh-CN" w:bidi="ar-SA"/>
        </w:rPr>
        <w:drawing>
          <wp:inline distT="0" distB="0" distL="114300" distR="114300">
            <wp:extent cx="5270500" cy="4466590"/>
            <wp:effectExtent l="0" t="0" r="2540" b="13970"/>
            <wp:docPr id="1" name="图片 1" descr="壳聚糖脱乙酰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壳聚糖脱乙酰度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46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69D519">
      <w:pPr>
        <w:rPr>
          <w:rFonts w:hint="default" w:ascii="Times New Roman" w:hAnsi="Times New Roman" w:cs="Times New Roman"/>
          <w:sz w:val="24"/>
        </w:rPr>
      </w:pPr>
    </w:p>
    <w:p w14:paraId="2557E98C">
      <w:pPr>
        <w:jc w:val="center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Fig.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S</w:t>
      </w: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 xml:space="preserve">1 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P</w:t>
      </w: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otentiometric titration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test for the </w:t>
      </w:r>
      <w:r>
        <w:rPr>
          <w:rFonts w:hint="default" w:ascii="Times New Roman" w:hAnsi="Times New Roman" w:cs="Times New Roman" w:eastAsiaTheme="minorEastAsia"/>
          <w:sz w:val="21"/>
          <w:szCs w:val="21"/>
        </w:rPr>
        <w:t>precursor material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of chitosan.</w:t>
      </w:r>
    </w:p>
    <w:p w14:paraId="2AF2B118">
      <w:pPr>
        <w:rPr>
          <w:rFonts w:hint="default" w:ascii="Times New Roman" w:hAnsi="Times New Roman" w:cs="Times New Roman"/>
          <w:sz w:val="24"/>
        </w:rPr>
      </w:pPr>
    </w:p>
    <w:p w14:paraId="77F76328">
      <w:pPr>
        <w:pStyle w:val="8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bookmarkStart w:id="1" w:name="_GoBack"/>
      <w:r>
        <w:rPr>
          <w:rFonts w:hint="default" w:ascii="Times New Roman" w:hAnsi="Times New Roman" w:cs="Times New Roman"/>
          <w:sz w:val="28"/>
          <w:szCs w:val="28"/>
        </w:rPr>
        <w:t xml:space="preserve">Section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 Additional Characterization Data</w:t>
      </w:r>
    </w:p>
    <w:bookmarkEnd w:id="1"/>
    <w:p w14:paraId="2F354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The molecular weight distribution of the chitosan precursor was evaluated by high-performance liquid chromatography (HPLC). Results indicate a highly uniform molecular weight profile centered at approximately 200 kDa, demonstrating narrow dispersity.</w:t>
      </w:r>
    </w:p>
    <w:p w14:paraId="22007E10">
      <w:pPr>
        <w:rPr>
          <w:rFonts w:hint="default" w:ascii="Times New Roman" w:hAnsi="Times New Roman" w:cs="Times New Roman"/>
          <w:i w:val="0"/>
          <w:kern w:val="2"/>
          <w:sz w:val="28"/>
          <w:szCs w:val="22"/>
          <w:lang w:val="en-US" w:eastAsia="zh-CN" w:bidi="ar-SA"/>
        </w:rPr>
      </w:pPr>
      <w:r>
        <w:rPr>
          <w:rFonts w:hint="default" w:ascii="Times New Roman" w:hAnsi="Times New Roman" w:cs="Times New Roman"/>
          <w:i w:val="0"/>
          <w:kern w:val="2"/>
          <w:sz w:val="28"/>
          <w:szCs w:val="22"/>
          <w:lang w:val="en-US" w:eastAsia="zh-CN" w:bidi="ar-SA"/>
        </w:rPr>
        <w:drawing>
          <wp:inline distT="0" distB="0" distL="114300" distR="114300">
            <wp:extent cx="5266690" cy="4311015"/>
            <wp:effectExtent l="0" t="0" r="6350" b="1905"/>
            <wp:docPr id="2" name="图片 2" descr="壳聚糖纯度时间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壳聚糖纯度时间谱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311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6C77C">
      <w:pPr>
        <w:jc w:val="center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Fig.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S2</w:t>
      </w: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High-performance liquid chromatography test for the </w:t>
      </w:r>
      <w:r>
        <w:rPr>
          <w:rFonts w:hint="default" w:ascii="Times New Roman" w:hAnsi="Times New Roman" w:cs="Times New Roman" w:eastAsiaTheme="minorEastAsia"/>
          <w:sz w:val="21"/>
          <w:szCs w:val="21"/>
        </w:rPr>
        <w:t>precursor material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of chitosan.</w:t>
      </w:r>
    </w:p>
    <w:p w14:paraId="0B3BEDD3">
      <w:pPr>
        <w:rPr>
          <w:rFonts w:hint="default" w:ascii="Times New Roman" w:hAnsi="Times New Roman" w:eastAsia="宋体" w:cs="Times New Roman"/>
          <w:sz w:val="2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lnNumType w:countBy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AA8D7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644B99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644B99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667C6"/>
    <w:rsid w:val="085B04EC"/>
    <w:rsid w:val="0F49602C"/>
    <w:rsid w:val="15147BAB"/>
    <w:rsid w:val="20125624"/>
    <w:rsid w:val="28CA1927"/>
    <w:rsid w:val="29B25BEE"/>
    <w:rsid w:val="2A420817"/>
    <w:rsid w:val="2D213248"/>
    <w:rsid w:val="38E5315D"/>
    <w:rsid w:val="3B0F2396"/>
    <w:rsid w:val="545706BB"/>
    <w:rsid w:val="6C225C3A"/>
    <w:rsid w:val="7AEF4C90"/>
    <w:rsid w:val="7D9D257F"/>
    <w:rsid w:val="7F93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21bc9c4b-6a32-43e5-beaa-fd2d792c5735"/>
    <w:basedOn w:val="2"/>
    <w:next w:val="9"/>
    <w:qFormat/>
    <w:uiPriority w:val="0"/>
    <w:pPr>
      <w:widowControl/>
      <w:adjustRightInd w:val="0"/>
      <w:spacing w:before="0" w:after="0" w:line="288" w:lineRule="auto"/>
      <w:jc w:val="left"/>
    </w:pPr>
    <w:rPr>
      <w:rFonts w:ascii="微软雅黑" w:hAnsi="微软雅黑" w:eastAsia="微软雅黑" w:cs="Times New Roman"/>
      <w:bCs w:val="0"/>
      <w:color w:val="000000"/>
      <w:kern w:val="0"/>
      <w:sz w:val="32"/>
      <w:szCs w:val="24"/>
    </w:rPr>
  </w:style>
  <w:style w:type="paragraph" w:customStyle="1" w:styleId="9">
    <w:name w:val="acbfdd8b-e11b-4d36-88ff-6049b138f862"/>
    <w:basedOn w:val="3"/>
    <w:qFormat/>
    <w:uiPriority w:val="0"/>
    <w:pPr>
      <w:widowControl/>
      <w:adjustRightInd w:val="0"/>
      <w:spacing w:after="0" w:line="288" w:lineRule="auto"/>
      <w:jc w:val="left"/>
    </w:pPr>
    <w:rPr>
      <w:rFonts w:ascii="微软雅黑" w:hAnsi="微软雅黑" w:eastAsia="微软雅黑" w:cs="Times New Roman"/>
      <w:bCs/>
      <w:color w:val="000000"/>
      <w:kern w:val="0"/>
      <w:sz w:val="2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tiff"/><Relationship Id="rId5" Type="http://schemas.openxmlformats.org/officeDocument/2006/relationships/image" Target="media/image1.tif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248</Words>
  <Characters>1574</Characters>
  <Lines>0</Lines>
  <Paragraphs>0</Paragraphs>
  <TotalTime>5</TotalTime>
  <ScaleCrop>false</ScaleCrop>
  <LinksUpToDate>false</LinksUpToDate>
  <CharactersWithSpaces>1811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2025-06-17T12:45:00Z</dcterms:created>
  <dc:creator>ASUS</dc:creator>
  <cp:lastModifiedBy>逆风の蒲公英</cp:lastModifiedBy>
  <dcterms:modified xsi:type="dcterms:W3CDTF">2025-11-15T06:37:44Z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eyJoZGlkIjoiODBmODhhNDEzYTQyYzA5ZjE5NGJkMmRiNWQ4YmYwMjUiLCJ1c2VySWQiOiIxMjE5MjUzODUyIn0=</vt:lpwstr>
  </property>
  <property fmtid="{D5CDD505-2E9C-101B-9397-08002B2CF9AE}" pid="4" name="ICV">
    <vt:lpwstr>B5E0B054C64B4CCF8A1B84104B75CD11_13</vt:lpwstr>
  </property>
</Properties>
</file>