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61924">
      <w:pPr>
        <w:jc w:val="center"/>
      </w:pPr>
      <w:bookmarkStart w:id="0" w:name="_GoBack"/>
      <w:bookmarkEnd w:id="0"/>
      <w:r>
        <w:rPr>
          <w:rFonts w:hint="eastAsia"/>
        </w:rPr>
        <w:drawing>
          <wp:inline distT="0" distB="0" distL="0" distR="0">
            <wp:extent cx="5274310" cy="1678305"/>
            <wp:effectExtent l="0" t="0" r="2540" b="0"/>
            <wp:docPr id="2114720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20657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F097">
      <w:pPr>
        <w:rPr>
          <w:b/>
          <w:bCs/>
        </w:rPr>
      </w:pPr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1</w:t>
      </w:r>
      <w:r>
        <w:rPr>
          <w:b/>
          <w:bCs/>
        </w:rPr>
        <w:t>. Subcellular localization and secretion activity of PsAvh208.</w:t>
      </w:r>
      <w:r>
        <w:t xml:space="preserve"> </w:t>
      </w:r>
      <w:r>
        <w:rPr>
          <w:rFonts w:hint="eastAsia"/>
          <w:b/>
          <w:bCs/>
        </w:rPr>
        <w:t xml:space="preserve">a. </w:t>
      </w:r>
      <w:r>
        <w:t xml:space="preserve">Co-localization of PsAvh208 with PsAvh181 under plasmolysis conditions, showing PsAvh208 accumulation in the apoplast. </w:t>
      </w:r>
      <w:r>
        <w:rPr>
          <w:rFonts w:hint="eastAsia"/>
          <w:b/>
          <w:bCs/>
        </w:rPr>
        <w:t>b.</w:t>
      </w:r>
      <w:r>
        <w:t xml:space="preserve"> Immunoblot analysis of PsAvh208 and PsAvh181 in intracellular and extracellular protein fractions, confirming secretion of PsAvh208. </w:t>
      </w:r>
      <w:r>
        <w:rPr>
          <w:rFonts w:hint="eastAsia"/>
          <w:b/>
          <w:bCs/>
        </w:rPr>
        <w:t>c.</w:t>
      </w:r>
      <w:r>
        <w:t xml:space="preserve"> Yeast signal sequence trap assay showing that PsAvh208 and PsAvr1d enable yeast growth on YPRAA medium by reducing 2,3,5-triphenyltetrazolium chloride (TTC) to triphenyl formazan (TPF), indicating functional signal peptides.</w:t>
      </w:r>
    </w:p>
    <w:p w14:paraId="44C1A728">
      <w:r>
        <w:rPr>
          <w:rFonts w:hint="eastAsia"/>
        </w:rPr>
        <w:drawing>
          <wp:inline distT="0" distB="0" distL="0" distR="0">
            <wp:extent cx="5187315" cy="4172585"/>
            <wp:effectExtent l="0" t="0" r="0" b="0"/>
            <wp:docPr id="2074117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17218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696" cy="417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D77E">
      <w:pPr>
        <w:jc w:val="left"/>
        <w:rPr>
          <w:rFonts w:eastAsia="宋体"/>
          <w:szCs w:val="21"/>
        </w:rPr>
      </w:pPr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2</w:t>
      </w:r>
      <w:r>
        <w:rPr>
          <w:rFonts w:eastAsia="宋体"/>
          <w:b/>
          <w:bCs/>
          <w:szCs w:val="21"/>
        </w:rPr>
        <w:t xml:space="preserve"> Generation and phenotypic characterization of </w:t>
      </w:r>
      <w:r>
        <w:rPr>
          <w:rFonts w:eastAsia="宋体"/>
          <w:b/>
          <w:bCs/>
          <w:i/>
          <w:iCs/>
          <w:szCs w:val="21"/>
        </w:rPr>
        <w:t>PsAvh208</w:t>
      </w:r>
      <w:r>
        <w:rPr>
          <w:rFonts w:eastAsia="宋体"/>
          <w:b/>
          <w:bCs/>
          <w:szCs w:val="21"/>
        </w:rPr>
        <w:t xml:space="preserve"> knockout mutants.</w:t>
      </w:r>
      <w:r>
        <w:rPr>
          <w:rFonts w:hint="eastAsia" w:eastAsia="宋体"/>
          <w:b/>
          <w:bCs/>
          <w:szCs w:val="21"/>
        </w:rPr>
        <w:t xml:space="preserve"> a.</w:t>
      </w:r>
      <w:r>
        <w:rPr>
          <w:rFonts w:eastAsia="宋体"/>
          <w:szCs w:val="21"/>
        </w:rPr>
        <w:t xml:space="preserve"> Schematic diagram of PsAvh208 gene knockout using the CRISPR/Cas9 system. Knockout mutants were verified by PCR using primers F and R. </w:t>
      </w:r>
      <w:r>
        <w:rPr>
          <w:rFonts w:hint="eastAsia" w:eastAsia="宋体"/>
          <w:b/>
          <w:bCs/>
          <w:szCs w:val="21"/>
        </w:rPr>
        <w:t>b.</w:t>
      </w:r>
      <w:r>
        <w:rPr>
          <w:rFonts w:eastAsia="宋体"/>
          <w:szCs w:val="21"/>
        </w:rPr>
        <w:t xml:space="preserve"> PCR validation of PsAvh208 knockout transformants. </w:t>
      </w:r>
      <w:r>
        <w:rPr>
          <w:rFonts w:hint="eastAsia" w:eastAsia="宋体"/>
          <w:b/>
          <w:bCs/>
          <w:szCs w:val="21"/>
        </w:rPr>
        <w:t>c.</w:t>
      </w:r>
      <w:r>
        <w:rPr>
          <w:rFonts w:eastAsia="宋体"/>
          <w:szCs w:val="21"/>
        </w:rPr>
        <w:t xml:space="preserve"> Comparison of mycelial growth rates among PsAvh208 knockout mutants, wild-type, and control strains. Images were taken after 5 days of growth on V8 medium.</w:t>
      </w:r>
      <w:r>
        <w:rPr>
          <w:rFonts w:eastAsia="宋体"/>
          <w:szCs w:val="21"/>
        </w:rPr>
        <w:br w:type="textWrapping"/>
      </w:r>
      <w:r>
        <w:rPr>
          <w:rFonts w:hint="eastAsia" w:eastAsia="宋体"/>
          <w:b/>
          <w:bCs/>
          <w:szCs w:val="21"/>
        </w:rPr>
        <w:t>d.</w:t>
      </w:r>
      <w:r>
        <w:rPr>
          <w:rFonts w:eastAsia="宋体"/>
          <w:szCs w:val="21"/>
        </w:rPr>
        <w:t xml:space="preserve"> Measurement of mycelial colony diameter on V8 medium. </w:t>
      </w:r>
      <w:r>
        <w:rPr>
          <w:rFonts w:hint="eastAsia" w:eastAsia="宋体"/>
          <w:b/>
          <w:bCs/>
          <w:szCs w:val="21"/>
        </w:rPr>
        <w:t>e.</w:t>
      </w:r>
      <w:r>
        <w:rPr>
          <w:rFonts w:eastAsia="宋体"/>
          <w:szCs w:val="21"/>
        </w:rPr>
        <w:t xml:space="preserve"> Quantification of oospore production induced by </w:t>
      </w:r>
      <w:r>
        <w:rPr>
          <w:rFonts w:eastAsia="宋体"/>
          <w:i/>
          <w:iCs/>
          <w:szCs w:val="21"/>
        </w:rPr>
        <w:t>P. sojae</w:t>
      </w:r>
      <w:r>
        <w:rPr>
          <w:rFonts w:eastAsia="宋体"/>
          <w:szCs w:val="21"/>
        </w:rPr>
        <w:t xml:space="preserve">. Data in </w:t>
      </w:r>
      <w:r>
        <w:rPr>
          <w:rFonts w:hint="eastAsia" w:eastAsia="宋体"/>
          <w:b/>
          <w:bCs/>
          <w:szCs w:val="21"/>
        </w:rPr>
        <w:t>d</w:t>
      </w:r>
      <w:r>
        <w:rPr>
          <w:rFonts w:eastAsia="宋体"/>
          <w:szCs w:val="21"/>
        </w:rPr>
        <w:t xml:space="preserve"> and </w:t>
      </w:r>
      <w:r>
        <w:rPr>
          <w:rFonts w:hint="eastAsia" w:eastAsia="宋体"/>
          <w:b/>
          <w:bCs/>
          <w:szCs w:val="21"/>
        </w:rPr>
        <w:t>e</w:t>
      </w:r>
      <w:r>
        <w:rPr>
          <w:rFonts w:eastAsia="宋体"/>
          <w:szCs w:val="21"/>
        </w:rPr>
        <w:t xml:space="preserve"> are presented as mean ± standard deviation (s.d.). P values were calculated using a two-tailed unpaired Student’s </w:t>
      </w:r>
      <w:r>
        <w:rPr>
          <w:rFonts w:eastAsia="宋体"/>
          <w:i/>
          <w:iCs/>
          <w:szCs w:val="21"/>
        </w:rPr>
        <w:t>t</w:t>
      </w:r>
      <w:r>
        <w:rPr>
          <w:rFonts w:eastAsia="宋体"/>
          <w:szCs w:val="21"/>
        </w:rPr>
        <w:t>-test. Three independent biological experiments produced similar results.</w:t>
      </w:r>
    </w:p>
    <w:p w14:paraId="3FFFB355"/>
    <w:p w14:paraId="2A660737">
      <w:pPr>
        <w:jc w:val="center"/>
      </w:pPr>
      <w:r>
        <w:drawing>
          <wp:inline distT="0" distB="0" distL="0" distR="0">
            <wp:extent cx="3377565" cy="884555"/>
            <wp:effectExtent l="0" t="0" r="0" b="0"/>
            <wp:docPr id="472347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4755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58B9"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3</w:t>
      </w:r>
      <w:r>
        <w:rPr>
          <w:b/>
          <w:bCs/>
        </w:rPr>
        <w:t xml:space="preserve"> Verification of PsAvh208 protein expression in plants.</w:t>
      </w:r>
      <w:r>
        <w:rPr>
          <w:rFonts w:hint="eastAsia"/>
          <w:b/>
          <w:bCs/>
        </w:rPr>
        <w:t xml:space="preserve"> a.</w:t>
      </w:r>
      <w:r>
        <w:rPr>
          <w:rFonts w:hint="eastAsia"/>
        </w:rPr>
        <w:t xml:space="preserve"> </w:t>
      </w:r>
      <w:r>
        <w:t xml:space="preserve">Western blot analysis of RFP (EV) and RFP–PsAvh208 expression in transgenic soybean hairy roots. </w:t>
      </w:r>
      <w:r>
        <w:rPr>
          <w:rFonts w:hint="eastAsia"/>
          <w:b/>
          <w:bCs/>
        </w:rPr>
        <w:t>b.</w:t>
      </w:r>
      <w:r>
        <w:t xml:space="preserve"> Western blot analysis of GFP and GFP–PsAvh208 expression in </w:t>
      </w:r>
      <w:r>
        <w:rPr>
          <w:i/>
          <w:iCs/>
        </w:rPr>
        <w:t>N</w:t>
      </w:r>
      <w:r>
        <w:rPr>
          <w:rFonts w:hint="eastAsia"/>
          <w:i/>
          <w:iCs/>
        </w:rPr>
        <w:t>.</w:t>
      </w:r>
      <w:r>
        <w:rPr>
          <w:i/>
          <w:iCs/>
        </w:rPr>
        <w:t xml:space="preserve"> benthamiana</w:t>
      </w:r>
      <w:r>
        <w:t xml:space="preserve"> leaves. </w:t>
      </w:r>
    </w:p>
    <w:p w14:paraId="634CD28E"/>
    <w:p w14:paraId="237BEC41">
      <w:pPr>
        <w:jc w:val="center"/>
      </w:pPr>
      <w:r>
        <w:rPr>
          <w:rFonts w:hint="eastAsia"/>
        </w:rPr>
        <w:drawing>
          <wp:inline distT="0" distB="0" distL="0" distR="0">
            <wp:extent cx="5274310" cy="7594600"/>
            <wp:effectExtent l="0" t="0" r="2540" b="6350"/>
            <wp:docPr id="15159064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06470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40ED">
      <w:pPr>
        <w:rPr>
          <w:rFonts w:eastAsia="宋体"/>
          <w:szCs w:val="21"/>
        </w:rPr>
      </w:pPr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4</w:t>
      </w:r>
      <w:r>
        <w:rPr>
          <w:rFonts w:eastAsia="宋体"/>
          <w:b/>
          <w:bCs/>
          <w:szCs w:val="21"/>
        </w:rPr>
        <w:t xml:space="preserve"> Phylogenetic analysis of PIP2 homologs in </w:t>
      </w:r>
      <w:r>
        <w:rPr>
          <w:rFonts w:eastAsia="宋体"/>
          <w:b/>
          <w:bCs/>
          <w:i/>
          <w:iCs/>
          <w:szCs w:val="21"/>
        </w:rPr>
        <w:t>Arabidopsis thaliana</w:t>
      </w:r>
      <w:r>
        <w:rPr>
          <w:rFonts w:eastAsia="宋体"/>
          <w:b/>
          <w:bCs/>
          <w:szCs w:val="21"/>
        </w:rPr>
        <w:t xml:space="preserve">, </w:t>
      </w:r>
      <w:r>
        <w:rPr>
          <w:rFonts w:eastAsia="宋体"/>
          <w:b/>
          <w:bCs/>
          <w:i/>
          <w:iCs/>
          <w:szCs w:val="21"/>
        </w:rPr>
        <w:t>Nicotiana benthamiana</w:t>
      </w:r>
      <w:r>
        <w:rPr>
          <w:rFonts w:eastAsia="宋体"/>
          <w:b/>
          <w:bCs/>
          <w:szCs w:val="21"/>
        </w:rPr>
        <w:t xml:space="preserve">, and </w:t>
      </w:r>
      <w:r>
        <w:rPr>
          <w:rFonts w:eastAsia="宋体"/>
          <w:b/>
          <w:bCs/>
          <w:i/>
          <w:iCs/>
          <w:szCs w:val="21"/>
        </w:rPr>
        <w:t>Glycine max</w:t>
      </w:r>
      <w:r>
        <w:rPr>
          <w:rFonts w:eastAsia="宋体"/>
          <w:b/>
          <w:bCs/>
          <w:szCs w:val="21"/>
        </w:rPr>
        <w:t>.</w:t>
      </w:r>
      <w:r>
        <w:rPr>
          <w:rFonts w:eastAsia="宋体"/>
          <w:szCs w:val="21"/>
        </w:rPr>
        <w:t xml:space="preserve"> A maximum-likelihood phylogeny was constructed from full-length protein sequences, revealing the evolutionary relationship of GmPIP2;6 with its homologs in </w:t>
      </w:r>
      <w:r>
        <w:rPr>
          <w:rFonts w:eastAsia="宋体"/>
          <w:i/>
          <w:iCs/>
          <w:szCs w:val="21"/>
        </w:rPr>
        <w:t>A. thaliana</w:t>
      </w:r>
      <w:r>
        <w:rPr>
          <w:rFonts w:eastAsia="宋体"/>
          <w:szCs w:val="21"/>
        </w:rPr>
        <w:t xml:space="preserve"> and </w:t>
      </w:r>
      <w:r>
        <w:rPr>
          <w:rFonts w:eastAsia="宋体"/>
          <w:i/>
          <w:iCs/>
          <w:szCs w:val="21"/>
        </w:rPr>
        <w:t>N. benthamiana</w:t>
      </w:r>
      <w:r>
        <w:rPr>
          <w:rFonts w:eastAsia="宋体"/>
          <w:szCs w:val="21"/>
        </w:rPr>
        <w:t>.</w:t>
      </w:r>
    </w:p>
    <w:p w14:paraId="34F2D81D"/>
    <w:p w14:paraId="4CEF363F">
      <w:pPr>
        <w:jc w:val="center"/>
      </w:pPr>
      <w:r>
        <w:rPr>
          <w:rFonts w:hint="eastAsia"/>
        </w:rPr>
        <w:drawing>
          <wp:inline distT="0" distB="0" distL="0" distR="0">
            <wp:extent cx="5274310" cy="3330575"/>
            <wp:effectExtent l="0" t="0" r="2540" b="3175"/>
            <wp:docPr id="6443132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13213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B10D"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5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Molecular dynamics simulation of the GmPIP2;6 tetramer.</w:t>
      </w:r>
      <w:r>
        <w:t xml:space="preserve"> </w:t>
      </w:r>
      <w:r>
        <w:rPr>
          <w:rFonts w:hint="eastAsia"/>
          <w:b/>
          <w:bCs/>
        </w:rPr>
        <w:t>a.</w:t>
      </w:r>
      <w:r>
        <w:rPr>
          <w:rFonts w:hint="eastAsia"/>
        </w:rPr>
        <w:t xml:space="preserve"> </w:t>
      </w:r>
      <w:r>
        <w:t xml:space="preserve">Construction of the tetrameric protein–lipid bilayer system. A POPE bilayer (120 Å × 120 Å) was built using the Bilayer Builder module, with the tetrameric GmPIP2;6 protein embedded at the center and a 0.4 mmol/L K⁺/Cl⁻ ionic concentration added. </w:t>
      </w:r>
      <w:r>
        <w:rPr>
          <w:rFonts w:hint="eastAsia"/>
          <w:b/>
          <w:bCs/>
        </w:rPr>
        <w:t>b.</w:t>
      </w:r>
      <w:r>
        <w:t xml:space="preserve"> Root mean square deviation (RMSD) of the channel protein over the course of the simulation.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c.</w:t>
      </w:r>
      <w:r>
        <w:t xml:space="preserve"> Average root mean square fluctuation (RMSF) values for residues within the tetrameric channel protein. </w:t>
      </w:r>
      <w:r>
        <w:rPr>
          <w:rFonts w:hint="eastAsia"/>
          <w:b/>
          <w:bCs/>
        </w:rPr>
        <w:t>d.</w:t>
      </w:r>
      <w:r>
        <w:t xml:space="preserve"> Definition of the interface based on the geometric midpoint between the terminal carbon atoms of the Ile93 and Val112 side chains.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e.</w:t>
      </w:r>
      <w:r>
        <w:t xml:space="preserve"> Definition of the interface based on the geometric midpoint between the aromatic carbon atoms of the Phe212 side chains from two adjacent monomers.</w:t>
      </w:r>
    </w:p>
    <w:p w14:paraId="131D0105"/>
    <w:p w14:paraId="3F1B9BBC">
      <w:r>
        <w:rPr>
          <w:rFonts w:hint="eastAsia"/>
        </w:rPr>
        <w:drawing>
          <wp:inline distT="0" distB="0" distL="0" distR="0">
            <wp:extent cx="5274310" cy="1594485"/>
            <wp:effectExtent l="0" t="0" r="2540" b="5715"/>
            <wp:docPr id="13757381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3814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5A1C"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6</w:t>
      </w:r>
      <w:r>
        <w:rPr>
          <w:b/>
          <w:bCs/>
        </w:rPr>
        <w:t xml:space="preserve"> Sequence alignment of GmPIP2;6 and its homologs in </w:t>
      </w:r>
      <w:r>
        <w:rPr>
          <w:b/>
          <w:bCs/>
          <w:i/>
          <w:iCs/>
        </w:rPr>
        <w:t>N</w:t>
      </w:r>
      <w:r>
        <w:rPr>
          <w:rFonts w:hint="eastAsia"/>
          <w:b/>
          <w:bCs/>
          <w:i/>
          <w:iCs/>
        </w:rPr>
        <w:t xml:space="preserve">. </w:t>
      </w:r>
      <w:r>
        <w:rPr>
          <w:b/>
          <w:bCs/>
          <w:i/>
          <w:iCs/>
        </w:rPr>
        <w:t>benthamiana</w:t>
      </w:r>
      <w:r>
        <w:rPr>
          <w:b/>
          <w:bCs/>
        </w:rPr>
        <w:t>.</w:t>
      </w:r>
      <w:r>
        <w:t xml:space="preserve"> Sequence alignment showing the high similarity between soybean GmPIP2;6 and its homologous aquaporin sequences in </w:t>
      </w:r>
      <w:r>
        <w:rPr>
          <w:i/>
          <w:iCs/>
        </w:rPr>
        <w:t>N</w:t>
      </w:r>
      <w:r>
        <w:rPr>
          <w:rFonts w:hint="eastAsia"/>
          <w:i/>
          <w:iCs/>
        </w:rPr>
        <w:t>.</w:t>
      </w:r>
      <w:r>
        <w:rPr>
          <w:i/>
          <w:iCs/>
        </w:rPr>
        <w:t xml:space="preserve"> benthamiana</w:t>
      </w:r>
      <w:r>
        <w:t>. Conserved residues are indicated, highlighting structural and functional conservation across species.</w:t>
      </w:r>
    </w:p>
    <w:p w14:paraId="1777BACF">
      <w:pPr>
        <w:jc w:val="center"/>
      </w:pPr>
      <w:r>
        <w:drawing>
          <wp:inline distT="0" distB="0" distL="0" distR="0">
            <wp:extent cx="4855210" cy="7534275"/>
            <wp:effectExtent l="0" t="0" r="2540" b="0"/>
            <wp:docPr id="19535365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36515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D0D5"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7</w:t>
      </w:r>
      <w:r>
        <w:rPr>
          <w:b/>
          <w:bCs/>
        </w:rPr>
        <w:t xml:space="preserve"> Functional analysis of GmPIP2;6 and its homolog NbPIP2;6 in regulating susceptibility to infection. </w:t>
      </w:r>
      <w:r>
        <w:rPr>
          <w:rFonts w:hint="eastAsia"/>
          <w:b/>
          <w:bCs/>
        </w:rPr>
        <w:t>a.b.</w:t>
      </w:r>
      <w:r>
        <w:t xml:space="preserve"> Quantitative RT–PCR analysis of </w:t>
      </w:r>
      <w:r>
        <w:rPr>
          <w:i/>
          <w:iCs/>
        </w:rPr>
        <w:t>GmPIP2;6</w:t>
      </w:r>
      <w:r>
        <w:t xml:space="preserve"> expression in soybean hairy roots expressing RFP (EV), RFP–GmPIP2;6, or RFP–GmPIP2;6–RNAi. </w:t>
      </w:r>
      <w:r>
        <w:rPr>
          <w:rFonts w:hint="eastAsia"/>
          <w:b/>
          <w:bCs/>
        </w:rPr>
        <w:t>c.</w:t>
      </w:r>
      <w:r>
        <w:t xml:space="preserve"> Phenotypic observation of </w:t>
      </w:r>
      <w:r>
        <w:rPr>
          <w:i/>
          <w:iCs/>
        </w:rPr>
        <w:t>Nicotiana benthamiana</w:t>
      </w:r>
      <w:r>
        <w:t xml:space="preserve"> plants after silencing the </w:t>
      </w:r>
      <w:r>
        <w:rPr>
          <w:i/>
          <w:iCs/>
        </w:rPr>
        <w:t>GmPIP2;6</w:t>
      </w:r>
      <w:r>
        <w:t xml:space="preserve"> homolog (</w:t>
      </w:r>
      <w:r>
        <w:rPr>
          <w:i/>
          <w:iCs/>
        </w:rPr>
        <w:t>NbPIP2;6</w:t>
      </w:r>
      <w:r>
        <w:t>).</w:t>
      </w:r>
      <w:r>
        <w:rPr>
          <w:rFonts w:hint="eastAsia"/>
          <w:b/>
          <w:bCs/>
        </w:rPr>
        <w:t xml:space="preserve"> d.</w:t>
      </w:r>
      <w:r>
        <w:t xml:space="preserve"> Quantitative RT–PCR analysis of </w:t>
      </w:r>
      <w:r>
        <w:rPr>
          <w:i/>
          <w:iCs/>
        </w:rPr>
        <w:t>NbPIP2;6</w:t>
      </w:r>
      <w:r>
        <w:t xml:space="preserve"> expression levels in control and </w:t>
      </w:r>
      <w:r>
        <w:rPr>
          <w:i/>
          <w:iCs/>
        </w:rPr>
        <w:t>NbPIP2;6</w:t>
      </w:r>
      <w:r>
        <w:t xml:space="preserve">-silenced </w:t>
      </w:r>
      <w:r>
        <w:rPr>
          <w:i/>
          <w:iCs/>
        </w:rPr>
        <w:t>N. benthamiana</w:t>
      </w:r>
      <w:r>
        <w:t xml:space="preserve"> leaves.</w:t>
      </w:r>
      <w:r>
        <w:rPr>
          <w:rFonts w:hint="eastAsia"/>
          <w:b/>
          <w:bCs/>
        </w:rPr>
        <w:t xml:space="preserve"> e.</w:t>
      </w:r>
      <w:r>
        <w:t xml:space="preserve"> Infection assay of </w:t>
      </w:r>
      <w:r>
        <w:rPr>
          <w:i/>
          <w:iCs/>
        </w:rPr>
        <w:t>Phytophthora capsici</w:t>
      </w:r>
      <w:r>
        <w:t xml:space="preserve"> on </w:t>
      </w:r>
      <w:r>
        <w:rPr>
          <w:i/>
          <w:iCs/>
        </w:rPr>
        <w:t>NbPIP2;6</w:t>
      </w:r>
      <w:r>
        <w:t xml:space="preserve">-silenced leaves, photographed under UV light at 36 h post-inoculation. </w:t>
      </w:r>
      <w:r>
        <w:rPr>
          <w:rFonts w:hint="eastAsia"/>
          <w:b/>
          <w:bCs/>
        </w:rPr>
        <w:t>f.</w:t>
      </w:r>
      <w:r>
        <w:t xml:space="preserve"> Statistical analysis of lesion diameter caused by </w:t>
      </w:r>
      <w:r>
        <w:rPr>
          <w:i/>
          <w:iCs/>
        </w:rPr>
        <w:t>P. capsici</w:t>
      </w:r>
      <w:r>
        <w:t xml:space="preserve">. </w:t>
      </w:r>
      <w:r>
        <w:rPr>
          <w:rFonts w:hint="eastAsia"/>
          <w:b/>
          <w:bCs/>
        </w:rPr>
        <w:t>g.</w:t>
      </w:r>
      <w:r>
        <w:t xml:space="preserve"> Quantitative measurement of </w:t>
      </w:r>
      <w:r>
        <w:rPr>
          <w:i/>
          <w:iCs/>
        </w:rPr>
        <w:t>P. capsici</w:t>
      </w:r>
      <w:r>
        <w:t xml:space="preserve"> biomass in infected leaves by qPCR. </w:t>
      </w:r>
      <w:r>
        <w:rPr>
          <w:rFonts w:hint="eastAsia"/>
          <w:b/>
          <w:bCs/>
        </w:rPr>
        <w:t>h.</w:t>
      </w:r>
      <w:r>
        <w:t xml:space="preserve"> Representative UV images showing water-soaked lesions on </w:t>
      </w:r>
      <w:r>
        <w:rPr>
          <w:i/>
          <w:iCs/>
        </w:rPr>
        <w:t>NbPIP2;6</w:t>
      </w:r>
      <w:r>
        <w:t xml:space="preserve">-silenced and GFP control </w:t>
      </w:r>
      <w:r>
        <w:rPr>
          <w:i/>
          <w:iCs/>
        </w:rPr>
        <w:t>N. benthamiana</w:t>
      </w:r>
      <w:r>
        <w:t xml:space="preserve"> leaves at 36 h post-inoculation under high humidity. </w:t>
      </w:r>
      <w:r>
        <w:rPr>
          <w:rFonts w:hint="eastAsia"/>
          <w:b/>
          <w:bCs/>
        </w:rPr>
        <w:t>i.</w:t>
      </w:r>
      <w:r>
        <w:t xml:space="preserve"> Quantification of water-soaked lesion length under high-humidity infection conditions. </w:t>
      </w:r>
      <w:r>
        <w:rPr>
          <w:rFonts w:hint="eastAsia"/>
          <w:b/>
          <w:bCs/>
        </w:rPr>
        <w:t>j.</w:t>
      </w:r>
      <w:r>
        <w:t xml:space="preserve"> Quantitative analysis of </w:t>
      </w:r>
      <w:r>
        <w:rPr>
          <w:i/>
          <w:iCs/>
        </w:rPr>
        <w:t>P. capsici</w:t>
      </w:r>
      <w:r>
        <w:t xml:space="preserve"> biomass in leaves under high-humidity infection conditions.</w:t>
      </w:r>
      <w:r>
        <w:rPr>
          <w:rFonts w:hint="eastAsia"/>
          <w:b/>
          <w:bCs/>
        </w:rPr>
        <w:t xml:space="preserve"> k.</w:t>
      </w:r>
      <w:r>
        <w:rPr>
          <w:b/>
          <w:bCs/>
        </w:rPr>
        <w:t xml:space="preserve"> </w:t>
      </w:r>
      <w:r>
        <w:t xml:space="preserve">Infection assay of </w:t>
      </w:r>
      <w:r>
        <w:rPr>
          <w:i/>
          <w:iCs/>
        </w:rPr>
        <w:t>P. capsici</w:t>
      </w:r>
      <w:r>
        <w:t xml:space="preserve"> on </w:t>
      </w:r>
      <w:r>
        <w:rPr>
          <w:i/>
          <w:iCs/>
        </w:rPr>
        <w:t>NbPIP2;6</w:t>
      </w:r>
      <w:r>
        <w:t xml:space="preserve">-silenced </w:t>
      </w:r>
      <w:r>
        <w:rPr>
          <w:i/>
          <w:iCs/>
        </w:rPr>
        <w:t>N. benthamiana</w:t>
      </w:r>
      <w:r>
        <w:t xml:space="preserve"> leaves transiently expressing GFP or GFP–GmPIP2;6–Mono, imaged under UV light after water soaking. </w:t>
      </w:r>
      <w:r>
        <w:rPr>
          <w:rFonts w:hint="eastAsia"/>
          <w:b/>
          <w:bCs/>
        </w:rPr>
        <w:t>l.</w:t>
      </w:r>
      <w:r>
        <w:t xml:space="preserve"> Statistical analysis of lesion diameter following </w:t>
      </w:r>
      <w:r>
        <w:rPr>
          <w:i/>
          <w:iCs/>
        </w:rPr>
        <w:t>P. capsici</w:t>
      </w:r>
      <w:r>
        <w:t xml:space="preserve"> infection in GFP- or GFP–GmPIP2;6–Mono–expressing leaves.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m.</w:t>
      </w:r>
      <w:r>
        <w:rPr>
          <w:b/>
          <w:bCs/>
        </w:rPr>
        <w:t xml:space="preserve"> </w:t>
      </w:r>
      <w:r>
        <w:t xml:space="preserve">Quantitative analysis of </w:t>
      </w:r>
      <w:r>
        <w:rPr>
          <w:i/>
          <w:iCs/>
        </w:rPr>
        <w:t>P. capsici</w:t>
      </w:r>
      <w:r>
        <w:t xml:space="preserve"> biomass in GFP- or GFP–GmPIP2;6–Mono–expressing leaves after infection.Data in (</w:t>
      </w:r>
      <w:r>
        <w:rPr>
          <w:b/>
          <w:bCs/>
        </w:rPr>
        <w:t>a, b, d, f, g, i, j, l, m</w:t>
      </w:r>
      <w:r>
        <w:t xml:space="preserve">) are presented as means ± standard deviation (s.d.). P values were calculated using a two-tailed unpaired Student’s </w:t>
      </w:r>
      <w:r>
        <w:rPr>
          <w:i/>
          <w:iCs/>
        </w:rPr>
        <w:t>t</w:t>
      </w:r>
      <w:r>
        <w:t>-test. All experiments were repeated three times with similar results.</w:t>
      </w:r>
    </w:p>
    <w:p w14:paraId="117FFFEF"/>
    <w:p w14:paraId="6DFE76A0">
      <w:pPr>
        <w:jc w:val="center"/>
      </w:pPr>
      <w:r>
        <w:rPr>
          <w:rFonts w:hint="eastAsia"/>
        </w:rPr>
        <w:drawing>
          <wp:inline distT="0" distB="0" distL="0" distR="0">
            <wp:extent cx="4638675" cy="3547745"/>
            <wp:effectExtent l="0" t="0" r="9525" b="0"/>
            <wp:docPr id="14278046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04634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D1F6">
      <w:r>
        <w:rPr>
          <w:rFonts w:eastAsia="宋体"/>
          <w:b/>
          <w:bCs/>
          <w:szCs w:val="21"/>
        </w:rPr>
        <w:t>Supplementary Fig. S</w:t>
      </w:r>
      <w:r>
        <w:rPr>
          <w:rFonts w:hint="eastAsia" w:eastAsia="宋体"/>
          <w:b/>
          <w:bCs/>
          <w:szCs w:val="21"/>
        </w:rPr>
        <w:t>8</w:t>
      </w:r>
      <w:r>
        <w:rPr>
          <w:b/>
          <w:bCs/>
        </w:rPr>
        <w:t xml:space="preserve"> Identification and functional validation of key residues required for GmPIP2;6 homomeric interaction.</w:t>
      </w:r>
      <w:r>
        <w:t xml:space="preserve"> </w:t>
      </w:r>
      <w:r>
        <w:rPr>
          <w:rFonts w:hint="eastAsia"/>
          <w:b/>
          <w:bCs/>
        </w:rPr>
        <w:t>a.</w:t>
      </w:r>
      <w:r>
        <w:rPr>
          <w:b/>
          <w:bCs/>
        </w:rPr>
        <w:t xml:space="preserve"> </w:t>
      </w:r>
      <w:r>
        <w:t>Structural prediction of GmPIP2;6 homomeric interaction sites using AlphaFold3. Different regions are shown in distinct colors: pink and blue represent two GmPIP2;6 monomers, and purple indicates the predicted interaction interface.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b.</w:t>
      </w:r>
      <w:r>
        <w:t xml:space="preserve"> Yeast two-hybrid (Y2H) assay showing that mutation of key residues disrupts the interaction between GmPIP2;6 and the monomeric mutant GmPIP2;6–Mono. </w:t>
      </w:r>
      <w:r>
        <w:rPr>
          <w:rFonts w:hint="eastAsia"/>
          <w:b/>
          <w:bCs/>
        </w:rPr>
        <w:t>c.</w:t>
      </w:r>
      <w:r>
        <w:t xml:space="preserve"> Co-immunoprecipitation (Co-IP) assay confirming that GmPIP2;6–Mono fails to interact with GmPIP2;6 in plant cells.</w:t>
      </w:r>
      <w:r>
        <w:rPr>
          <w:rFonts w:hint="eastAsia"/>
          <w:b/>
          <w:bCs/>
        </w:rPr>
        <w:t xml:space="preserve"> d.</w:t>
      </w:r>
      <w:r>
        <w:rPr>
          <w:b/>
          <w:bCs/>
        </w:rPr>
        <w:t xml:space="preserve"> </w:t>
      </w:r>
      <w:r>
        <w:t>Split-luciferase complementation assay demonstrating loss of interaction between GmPIP2;6 and GmPIP2;6–Mono.These results collectively verify that the identified residues are essential for GmPIP2;6 tetramer formation.</w:t>
      </w:r>
    </w:p>
    <w:p w14:paraId="76971EC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BA"/>
    <w:rsid w:val="000724DE"/>
    <w:rsid w:val="001277D6"/>
    <w:rsid w:val="001800A8"/>
    <w:rsid w:val="001937BA"/>
    <w:rsid w:val="001E58FC"/>
    <w:rsid w:val="001E7669"/>
    <w:rsid w:val="00272938"/>
    <w:rsid w:val="00280694"/>
    <w:rsid w:val="0037277A"/>
    <w:rsid w:val="003E4B96"/>
    <w:rsid w:val="00542FBC"/>
    <w:rsid w:val="005A7E1F"/>
    <w:rsid w:val="00617B7A"/>
    <w:rsid w:val="00725EB5"/>
    <w:rsid w:val="00766CFA"/>
    <w:rsid w:val="0079083A"/>
    <w:rsid w:val="007F1ACA"/>
    <w:rsid w:val="0086569A"/>
    <w:rsid w:val="009B73AD"/>
    <w:rsid w:val="00AF0C8F"/>
    <w:rsid w:val="00AF4CD3"/>
    <w:rsid w:val="00B3628B"/>
    <w:rsid w:val="00BA252A"/>
    <w:rsid w:val="00CD037F"/>
    <w:rsid w:val="00D27D16"/>
    <w:rsid w:val="00D6708C"/>
    <w:rsid w:val="00E67CF0"/>
    <w:rsid w:val="00E945AE"/>
    <w:rsid w:val="00EA0428"/>
    <w:rsid w:val="00ED1FFC"/>
    <w:rsid w:val="00F710FC"/>
    <w:rsid w:val="00F94419"/>
    <w:rsid w:val="00FA0D03"/>
    <w:rsid w:val="00FF66F6"/>
    <w:rsid w:val="7242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772</Words>
  <Characters>4857</Characters>
  <Lines>68</Lines>
  <Paragraphs>17</Paragraphs>
  <TotalTime>41</TotalTime>
  <ScaleCrop>false</ScaleCrop>
  <LinksUpToDate>false</LinksUpToDate>
  <CharactersWithSpaces>5621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2025-11-05T03:31:00Z</dcterms:created>
  <dc:creator>XY H</dc:creator>
  <cp:lastModifiedBy>Administrator</cp:lastModifiedBy>
  <dcterms:modified xsi:type="dcterms:W3CDTF">2025-11-15T06:47:30Z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3A94B30998FA4846B70465B6C404F272_13</vt:lpwstr>
  </property>
</Properties>
</file>