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eFigure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 1.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Markov states.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2.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Kaplan-Meier Curve Fitting and Extrapolation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Probability Sensitivity Analysis Scatter Plot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eTable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</w:rPr>
        <w:t>.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Drug dose and costs.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Results of subgroup analyses.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eTable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3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Summary of statistical goodness-of-fit of K-M curve in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Keynote-604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trial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.</w:t>
      </w:r>
    </w:p>
    <w:p>
      <w:pPr>
        <w:kinsoku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eFigure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 xml:space="preserve"> 1.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Markov states.</w:t>
      </w:r>
    </w:p>
    <w:p>
      <w:pPr>
        <w:kinsoku w:val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eastAsia="zh-CN" w:bidi="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279400</wp:posOffset>
            </wp:positionV>
            <wp:extent cx="7560310" cy="3171825"/>
            <wp:effectExtent l="0" t="0" r="2540" b="0"/>
            <wp:wrapTight wrapText="bothSides">
              <wp:wrapPolygon>
                <wp:start x="0" y="0"/>
                <wp:lineTo x="0" y="21535"/>
                <wp:lineTo x="21580" y="21535"/>
                <wp:lineTo x="21580" y="0"/>
                <wp:lineTo x="0" y="0"/>
              </wp:wrapPolygon>
            </wp:wrapTight>
            <wp:docPr id="1" name="图片 1" descr="e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eastAsia="zh-CN" w:bidi="ar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ind w:firstLine="482" w:firstLineChars="20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ind w:firstLine="482" w:firstLineChars="20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ind w:firstLine="482" w:firstLineChars="20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ind w:firstLine="482" w:firstLineChars="20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baseline"/>
        </w:rPr>
        <w:t xml:space="preserve">Abbreviation: 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EP, </w:t>
      </w:r>
      <w:r>
        <w:rPr>
          <w:rFonts w:ascii="Times New Roman" w:hAnsi="Times New Roman" w:eastAsia="宋体" w:cs="Times New Roman"/>
          <w:sz w:val="24"/>
          <w:szCs w:val="24"/>
        </w:rPr>
        <w:t>platinum-etoposide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Figure 2. Kaplan-Meier Curve Fitting and Extrapolation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112395</wp:posOffset>
            </wp:positionV>
            <wp:extent cx="7919720" cy="4319905"/>
            <wp:effectExtent l="0" t="0" r="5080" b="4445"/>
            <wp:wrapTight wrapText="bothSides">
              <wp:wrapPolygon>
                <wp:start x="0" y="0"/>
                <wp:lineTo x="0" y="21575"/>
                <wp:lineTo x="21562" y="21575"/>
                <wp:lineTo x="21562" y="0"/>
                <wp:lineTo x="0" y="0"/>
              </wp:wrapPolygon>
            </wp:wrapTight>
            <wp:docPr id="3" name="图片 3" descr="efigure 4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figure 4a"/>
                    <pic:cNvPicPr/>
                  </pic:nvPicPr>
                  <pic:blipFill>
                    <a:blip r:embed="rId6"/>
                    <a:srcRect l="5416" r="3859" b="-56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  </w:t>
      </w: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ind w:firstLine="1920" w:firstLineChars="800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4"/>
        </w:rPr>
      </w:pPr>
    </w:p>
    <w:p>
      <w:pPr>
        <w:ind w:firstLine="720" w:firstLineChars="300"/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ind w:firstLine="1200" w:firstLineChars="500"/>
        <w:rPr>
          <w:rFonts w:hint="default" w:ascii="Times New Roman" w:hAnsi="Times New Roman" w:cs="Times New Roman" w:eastAsiaTheme="minorEastAsia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102870</wp:posOffset>
            </wp:positionV>
            <wp:extent cx="7919720" cy="4319905"/>
            <wp:effectExtent l="0" t="0" r="5080" b="4445"/>
            <wp:wrapTight wrapText="bothSides">
              <wp:wrapPolygon>
                <wp:start x="0" y="0"/>
                <wp:lineTo x="0" y="21575"/>
                <wp:lineTo x="21562" y="21575"/>
                <wp:lineTo x="21562" y="0"/>
                <wp:lineTo x="0" y="0"/>
              </wp:wrapPolygon>
            </wp:wrapTight>
            <wp:docPr id="5" name="图片 5" descr="efigure 4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figure 4b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vertAlign w:val="baseline"/>
        </w:rPr>
        <w:t>Abbreviation: OS, overall survival; PFS, progression-free survival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; EP, </w:t>
      </w:r>
      <w:r>
        <w:rPr>
          <w:rFonts w:ascii="Times New Roman" w:hAnsi="Times New Roman" w:eastAsia="宋体" w:cs="Times New Roman"/>
          <w:sz w:val="24"/>
          <w:szCs w:val="24"/>
        </w:rPr>
        <w:t>platinum-etoposide</w:t>
      </w: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 Probability Sensitivity Analysis Scatter Plot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14:textFill>
            <w14:noFill/>
          </w14:textFill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12065</wp:posOffset>
            </wp:positionV>
            <wp:extent cx="7745095" cy="4014470"/>
            <wp:effectExtent l="0" t="0" r="8255" b="5080"/>
            <wp:wrapTight wrapText="bothSides">
              <wp:wrapPolygon>
                <wp:start x="0" y="0"/>
                <wp:lineTo x="0" y="21525"/>
                <wp:lineTo x="21570" y="21525"/>
                <wp:lineTo x="21570" y="0"/>
                <wp:lineTo x="0" y="0"/>
              </wp:wrapPolygon>
            </wp:wrapTight>
            <wp:docPr id="6" name="图片 6" descr="e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Fig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5095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spacing w:before="312" w:beforeLines="100" w:line="360" w:lineRule="auto"/>
        <w:ind w:right="-191" w:rightChars="-91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before="312" w:beforeLines="100" w:line="360" w:lineRule="auto"/>
        <w:ind w:right="-191" w:rightChars="-91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before="312" w:beforeLines="100" w:line="360" w:lineRule="auto"/>
        <w:ind w:right="-191" w:rightChars="-91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ind w:right="-191" w:rightChars="-91"/>
        <w:jc w:val="lef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ind w:right="-191" w:rightChars="-9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Abbreviation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EP, </w:t>
      </w:r>
      <w:r>
        <w:rPr>
          <w:rFonts w:ascii="Times New Roman" w:hAnsi="Times New Roman" w:eastAsia="宋体" w:cs="Times New Roman"/>
          <w:sz w:val="24"/>
          <w:szCs w:val="24"/>
        </w:rPr>
        <w:t>platinum-etoposide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4"/>
          <w:szCs w:val="24"/>
        </w:rPr>
        <w:t>WTP, willingness-to-pay</w:t>
      </w:r>
    </w:p>
    <w:p>
      <w:pPr>
        <w:spacing w:before="312" w:beforeLines="100" w:line="360" w:lineRule="auto"/>
        <w:ind w:right="-191" w:rightChars="-91"/>
        <w:jc w:val="both"/>
        <w:rPr>
          <w:rFonts w:hint="default" w:ascii="Times New Roman" w:hAnsi="Times New Roman" w:eastAsia="微软雅黑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</w:rPr>
        <w:t>ach point in the diagram represents a simulation result of 10,000 Monte Carlo simulation. Ellipse represent the 95% CI and dotted line represent WTP ($150,000/QALY). Points to the right of the dotted line are considered cost-effective.</w:t>
      </w:r>
    </w:p>
    <w:p>
      <w:pPr>
        <w:kinsoku w:val="0"/>
        <w:spacing w:line="480" w:lineRule="auto"/>
        <w:rPr>
          <w:rFonts w:hint="default" w:ascii="Times New Roman" w:hAnsi="Times New Roman" w:eastAsia="微软雅黑" w:cs="Times New Roman"/>
          <w:b/>
          <w:sz w:val="24"/>
          <w:szCs w:val="24"/>
        </w:rPr>
      </w:pPr>
      <w:r>
        <w:rPr>
          <w:rFonts w:hint="default" w:ascii="Times New Roman" w:hAnsi="Times New Roman" w:eastAsia="微软雅黑" w:cs="Times New Roman"/>
          <w:b/>
          <w:sz w:val="24"/>
          <w:szCs w:val="24"/>
        </w:rPr>
        <w:t xml:space="preserve">eTable </w:t>
      </w:r>
      <w:r>
        <w:rPr>
          <w:rFonts w:hint="default" w:ascii="Times New Roman" w:hAnsi="Times New Roman" w:eastAsia="微软雅黑" w:cs="Times New Roman"/>
          <w:b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微软雅黑" w:cs="Times New Roman"/>
          <w:b/>
          <w:sz w:val="24"/>
          <w:szCs w:val="24"/>
        </w:rPr>
        <w:t>. Drug dose and costs</w:t>
      </w:r>
    </w:p>
    <w:p>
      <w:pPr>
        <w:kinsoku w:val="0"/>
        <w:spacing w:line="480" w:lineRule="auto"/>
        <w:rPr>
          <w:rFonts w:hint="default" w:ascii="Times New Roman" w:hAnsi="Times New Roman" w:eastAsia="微软雅黑" w:cs="Times New Roman"/>
          <w:b/>
          <w:sz w:val="24"/>
          <w:szCs w:val="24"/>
        </w:rPr>
      </w:pPr>
    </w:p>
    <w:tbl>
      <w:tblPr>
        <w:tblStyle w:val="7"/>
        <w:tblpPr w:leftFromText="180" w:rightFromText="180" w:vertAnchor="text" w:horzAnchor="page" w:tblpX="1420" w:tblpY="15"/>
        <w:tblOverlap w:val="never"/>
        <w:tblW w:w="1405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9"/>
        <w:gridCol w:w="5292"/>
        <w:gridCol w:w="2614"/>
        <w:gridCol w:w="31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959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bookmarkStart w:id="2" w:name="_GoBack"/>
            <w:r>
              <w:rPr>
                <w:rFonts w:ascii="Times New Roman" w:hAnsi="Times New Roman" w:eastAsia="微软雅黑" w:cs="Times New Roman"/>
                <w:b/>
                <w:bCs/>
                <w:sz w:val="20"/>
                <w:szCs w:val="20"/>
              </w:rPr>
              <w:t>Drug</w:t>
            </w:r>
          </w:p>
        </w:tc>
        <w:tc>
          <w:tcPr>
            <w:tcW w:w="5292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20"/>
                <w:szCs w:val="20"/>
              </w:rPr>
              <w:t>Dose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20"/>
                <w:szCs w:val="20"/>
              </w:rPr>
              <w:t>Unit costs(＄)</w:t>
            </w:r>
          </w:p>
        </w:tc>
        <w:tc>
          <w:tcPr>
            <w:tcW w:w="3193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20"/>
                <w:szCs w:val="20"/>
              </w:rPr>
              <w:t>Costs for 1 model cycle (＄, 6 weeks)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959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ind w:firstLine="100" w:firstLineChars="50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Pembrolizumab</w:t>
            </w:r>
          </w:p>
        </w:tc>
        <w:tc>
          <w:tcPr>
            <w:tcW w:w="5292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both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200mg every 3 weeks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50.927 per 1mg</w:t>
            </w:r>
          </w:p>
        </w:tc>
        <w:tc>
          <w:tcPr>
            <w:tcW w:w="3193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20370.80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959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ind w:firstLine="100" w:firstLineChars="50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Etoposide</w:t>
            </w:r>
          </w:p>
        </w:tc>
        <w:tc>
          <w:tcPr>
            <w:tcW w:w="5292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both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mg/m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(on days 1,2,3 For the first 4 cycles)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1.5071 per 1 mg</w:t>
            </w:r>
          </w:p>
        </w:tc>
        <w:tc>
          <w:tcPr>
            <w:tcW w:w="3193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  <w:t>1663.73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959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ind w:firstLine="100" w:firstLineChars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Carboplatin</w:t>
            </w:r>
          </w:p>
        </w:tc>
        <w:tc>
          <w:tcPr>
            <w:tcW w:w="5292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both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carboplatin area under curve 6(on day 1 of each 3-week cycle)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0.05772 per 1 mg</w:t>
            </w:r>
          </w:p>
        </w:tc>
        <w:tc>
          <w:tcPr>
            <w:tcW w:w="3193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  <w:t>56.52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959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ind w:firstLine="100" w:firstLineChars="50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Cisplatin</w:t>
            </w:r>
          </w:p>
        </w:tc>
        <w:tc>
          <w:tcPr>
            <w:tcW w:w="5292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both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75 mg/m2 (on day 1 of each 3-week cycle)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0.1876 per 1mg</w:t>
            </w:r>
          </w:p>
        </w:tc>
        <w:tc>
          <w:tcPr>
            <w:tcW w:w="3193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  <w:t>51.78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2959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Topotecan</w:t>
            </w:r>
          </w:p>
        </w:tc>
        <w:tc>
          <w:tcPr>
            <w:tcW w:w="5292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both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sz w:val="20"/>
                <w:szCs w:val="20"/>
              </w:rPr>
              <w:t>1.25mg/m2，d1-5</w:t>
            </w:r>
          </w:p>
        </w:tc>
        <w:tc>
          <w:tcPr>
            <w:tcW w:w="2614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  <w:t>8.69 per 1 mg</w:t>
            </w:r>
          </w:p>
        </w:tc>
        <w:tc>
          <w:tcPr>
            <w:tcW w:w="3193" w:type="dxa"/>
            <w:tcBorders>
              <w:left w:val="nil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微软雅黑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Cs/>
                <w:kern w:val="0"/>
                <w:sz w:val="20"/>
                <w:szCs w:val="20"/>
              </w:rPr>
              <w:t>199.87</w:t>
            </w:r>
          </w:p>
        </w:tc>
      </w:tr>
      <w:bookmarkEnd w:id="2"/>
    </w:tbl>
    <w:p>
      <w:pPr>
        <w:kinsoku w:val="0"/>
        <w:spacing w:line="480" w:lineRule="auto"/>
        <w:rPr>
          <w:rFonts w:hint="default" w:ascii="Times New Roman" w:hAnsi="Times New Roman" w:eastAsia="微软雅黑" w:cs="Times New Roman"/>
          <w:b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 Results of subgroup analyses.</w:t>
      </w:r>
    </w:p>
    <w:tbl>
      <w:tblPr>
        <w:tblStyle w:val="7"/>
        <w:tblW w:w="1409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4"/>
        <w:gridCol w:w="1994"/>
        <w:gridCol w:w="2146"/>
        <w:gridCol w:w="3528"/>
        <w:gridCol w:w="3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37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/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199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/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OS HR (95% CI) </w:t>
            </w:r>
          </w:p>
        </w:tc>
        <w:tc>
          <w:tcPr>
            <w:tcW w:w="214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/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PFS HR (95% CI)</w:t>
            </w:r>
          </w:p>
        </w:tc>
        <w:tc>
          <w:tcPr>
            <w:tcW w:w="352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/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ICER</w:t>
            </w:r>
            <w:r>
              <w:rPr>
                <w:rFonts w:ascii="Times New Roman" w:hAnsi="Times New Roman"/>
                <w:b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per QALY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(95% CI)</w:t>
            </w:r>
          </w:p>
        </w:tc>
        <w:tc>
          <w:tcPr>
            <w:tcW w:w="3051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WTP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374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$150 000/QALY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994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＜65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0.61-1.12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0.76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0.61- 0.91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1,084,639 (425,962 to -1,901,320)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≥65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0.59-1.05）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0.53-0.92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818,199 (405,999 to -2,158,192)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0.76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0.59 -0.98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0.53-0.87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744,207 (405,999 to 9,283,150)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0.61-1.26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0.56-1.10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1,544,668 (429,759 to -836,958)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ECOG performance status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0.44-1.05）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0.60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0.40-0.91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541,289 (274,615 to -4,266,732)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0.86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0.68-1.09）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0.79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0.63-0.99）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1,337,166 (540,351 to -2,144,887)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Region of enrollment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East Asia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0.44-1.19）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0.58(0.36-0.94)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627,172 (280,223 to -1,213,925)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Not East Asia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0.67-1.06）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0.74(0.59-0.92)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1,143,074 (522,867 to -3,508,986)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0.86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0.66-1.11）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0.73(0.57-0.94)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1,293,212 (506,024 to -1,959,665)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0.49-1.02）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0.72(0.51-1.02)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604,386 (302,690 to -5,705,962)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LDH concentration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≤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ULN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0.72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0.52-1.01）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0.66(0.48-0.91)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628,498 (333,828 to -17,660,929)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＞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ULN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0.65-1.10）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0.66(0.48-0.91)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1,153,023 (488,617 to -1,997,010)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No. of metastatic sites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0.72-1.50）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0.70(0.50 -0.97)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-34,568,331 (625,735 to -533,370)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0.55-0.92)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0.76(0.59-0.97)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604,464 (353,700 to 2,871,003)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Baseline brain metastasis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1.32(0.72-2.42)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1.07(0.60-1.91)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-705,738 (627,512 to -189,227)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0.75(0.60-0.94)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0.69(0.55-0.85)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713,090 (417,130 to 3,221,423)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Baseline liver metastasis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0.55-1.02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0.90(0.67-1.21)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726,881 (346,890 to -3,418,128)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0.82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0.62-1.08)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0.49-0.83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982,126 (449,233 to -3,354,969)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PD-L1 CPS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＜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0.80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0.58-1.11)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0.54-1.01）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909,469 (392,758 to -1,766,446)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0.84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0.60-1.18）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0.68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0.49-0.94）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1,113,383 (422,343 to -1,272,239)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Platinum administered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Cisplatin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0.49-1.08）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0.60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0.41-0.88）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652,301 (314,494 to -2,954,091)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374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Carboplatin</w:t>
            </w:r>
          </w:p>
        </w:tc>
        <w:tc>
          <w:tcPr>
            <w:tcW w:w="1994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0.65-1.07）</w:t>
            </w:r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0.60-0.97）</w:t>
            </w:r>
          </w:p>
        </w:tc>
        <w:tc>
          <w:tcPr>
            <w:tcW w:w="352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1,088,752 (487,506 to -2,737,006)</w:t>
            </w:r>
          </w:p>
        </w:tc>
        <w:tc>
          <w:tcPr>
            <w:tcW w:w="3051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</w:tr>
    </w:tbl>
    <w:p>
      <w:pPr>
        <w:kinsoku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宋体" w:cs="Times New Roman"/>
          <w:iCs/>
          <w:kern w:val="0"/>
          <w:sz w:val="20"/>
          <w:szCs w:val="20"/>
        </w:rPr>
        <w:t xml:space="preserve">Abbreviation: CI, confidence interval; </w:t>
      </w:r>
      <w:r>
        <w:rPr>
          <w:rFonts w:ascii="Times New Roman" w:hAnsi="Times New Roman" w:cs="Times New Roman"/>
          <w:sz w:val="20"/>
          <w:szCs w:val="20"/>
        </w:rPr>
        <w:t xml:space="preserve">ICER, incremental cost-effectiveness ratio; LY, life-year; OS HR, overall survival hazard ratio; PFS HR, </w:t>
      </w:r>
      <w:r>
        <w:rPr>
          <w:rFonts w:ascii="Times New Roman" w:hAnsi="Times New Roman" w:eastAsia="宋体" w:cs="Times New Roman"/>
          <w:iCs/>
          <w:sz w:val="20"/>
          <w:szCs w:val="20"/>
        </w:rPr>
        <w:t xml:space="preserve">progression-free survival </w:t>
      </w:r>
      <w:r>
        <w:rPr>
          <w:rFonts w:ascii="Times New Roman" w:hAnsi="Times New Roman" w:cs="Times New Roman"/>
          <w:sz w:val="20"/>
          <w:szCs w:val="20"/>
        </w:rPr>
        <w:t>hazard ratio</w:t>
      </w:r>
      <w:r>
        <w:rPr>
          <w:rFonts w:ascii="Times New Roman" w:hAnsi="Times New Roman" w:eastAsia="宋体" w:cs="Times New Roman"/>
          <w:iCs/>
          <w:sz w:val="20"/>
          <w:szCs w:val="20"/>
        </w:rPr>
        <w:t>;</w:t>
      </w:r>
      <w:r>
        <w:rPr>
          <w:rFonts w:ascii="Times New Roman" w:hAnsi="Times New Roman"/>
          <w:color w:val="000000"/>
          <w:sz w:val="20"/>
          <w:szCs w:val="20"/>
        </w:rPr>
        <w:t xml:space="preserve"> LDH, lactate dehydrogenase; ULN, upper limit of normal</w:t>
      </w:r>
      <w:r>
        <w:rPr>
          <w:rFonts w:ascii="Times New Roman" w:hAnsi="Times New Roman" w:eastAsia="宋体" w:cs="Times New Roman"/>
          <w:iCs/>
          <w:sz w:val="20"/>
          <w:szCs w:val="20"/>
        </w:rPr>
        <w:t xml:space="preserve">; 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>PD-L1</w:t>
      </w:r>
      <w:r>
        <w:rPr>
          <w:rFonts w:ascii="Times New Roman" w:hAnsi="Times New Roman"/>
          <w:color w:val="000000"/>
          <w:sz w:val="20"/>
          <w:szCs w:val="20"/>
        </w:rPr>
        <w:t>,programmed cell death-Ligand 1;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CPS</w:t>
      </w:r>
      <w:r>
        <w:rPr>
          <w:rFonts w:ascii="Times New Roman" w:hAnsi="Times New Roman"/>
          <w:color w:val="000000"/>
          <w:sz w:val="20"/>
          <w:szCs w:val="20"/>
        </w:rPr>
        <w:t>, combined positive score;</w:t>
      </w:r>
      <w:r>
        <w:rPr>
          <w:rFonts w:ascii="Times New Roman" w:hAnsi="Times New Roman" w:cs="Times New Roman"/>
          <w:sz w:val="20"/>
          <w:szCs w:val="20"/>
        </w:rPr>
        <w:t xml:space="preserve"> QALY, quality-adjusted life-year; WTP, Willingness-to-pay.</w:t>
      </w:r>
    </w:p>
    <w:p>
      <w:pPr>
        <w:kinsoku w:val="0"/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</w:t>
      </w:r>
      <w:r>
        <w:rPr>
          <w:rFonts w:ascii="Times New Roman" w:hAnsi="Times New Roman" w:eastAsia="宋体" w:cs="Times New Roman"/>
          <w:iCs/>
          <w:kern w:val="0"/>
          <w:sz w:val="24"/>
          <w:szCs w:val="24"/>
        </w:rPr>
        <w:t>sults of subgroup analyses implied that the ICER remained greater than $150,000/QALY in all patient subgroups</w:t>
      </w:r>
      <w:r>
        <w:rPr>
          <w:rFonts w:hint="eastAsia" w:ascii="Times New Roman" w:hAnsi="Times New Roman" w:eastAsia="宋体" w:cs="Times New Roman"/>
          <w:iCs/>
          <w:kern w:val="0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eastAsia="宋体" w:cs="Times New Roman"/>
          <w:iCs/>
          <w:kern w:val="0"/>
          <w:sz w:val="24"/>
          <w:szCs w:val="24"/>
        </w:rPr>
        <w:t>The results of subgroup probabilistic sensitivity analyses suggested that all subgroups were not cost-effective</w:t>
      </w:r>
      <w:bookmarkStart w:id="0" w:name="_Hlk29837770"/>
      <w:bookmarkStart w:id="1" w:name="_Hlk29837808"/>
      <w:r>
        <w:rPr>
          <w:rFonts w:ascii="Times New Roman" w:hAnsi="Times New Roman" w:eastAsia="宋体" w:cs="Times New Roman"/>
          <w:iCs/>
          <w:kern w:val="0"/>
          <w:sz w:val="24"/>
          <w:szCs w:val="24"/>
        </w:rPr>
        <w:t>.</w:t>
      </w:r>
      <w:bookmarkEnd w:id="0"/>
      <w:bookmarkEnd w:id="1"/>
    </w:p>
    <w:p>
      <w:pPr>
        <w:kinsoku w:val="0"/>
        <w:jc w:val="left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eTable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Summary of statistical goodness-of-fit of K-M curve in 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Keynote-604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trial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.</w:t>
      </w:r>
    </w:p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</w:pPr>
    </w:p>
    <w:tbl>
      <w:tblPr>
        <w:tblStyle w:val="7"/>
        <w:tblpPr w:leftFromText="180" w:rightFromText="180" w:vertAnchor="text" w:horzAnchor="page" w:tblpX="1651" w:tblpY="171"/>
        <w:tblOverlap w:val="never"/>
        <w:tblW w:w="13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16"/>
        <w:gridCol w:w="1418"/>
        <w:gridCol w:w="1447"/>
        <w:gridCol w:w="1388"/>
        <w:gridCol w:w="1417"/>
        <w:gridCol w:w="1418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6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hint="default" w:ascii="Times New Roman" w:hAnsi="Times New Roman"/>
                <w:b/>
                <w:color w:val="000000"/>
                <w:sz w:val="20"/>
                <w:szCs w:val="20"/>
              </w:rPr>
              <w:t>istribution</w:t>
            </w:r>
          </w:p>
        </w:tc>
        <w:tc>
          <w:tcPr>
            <w:tcW w:w="2834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Pembrolizumab plus EP OS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EP OS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Pembrolizumab plus EP PFS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EP PFS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100" w:after="10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20"/>
                <w:szCs w:val="20"/>
              </w:rPr>
              <w:t>Exponential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D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0"/>
                <w:szCs w:val="20"/>
              </w:rPr>
              <w:t>istribution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30.41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31.30</w:t>
            </w:r>
          </w:p>
        </w:tc>
        <w:tc>
          <w:tcPr>
            <w:tcW w:w="1447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32.31</w:t>
            </w:r>
          </w:p>
        </w:tc>
        <w:tc>
          <w:tcPr>
            <w:tcW w:w="1388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widowControl w:val="0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33.14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34.30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34.70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100" w:after="10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Weibull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istribution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.87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 w:val="0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  <w:lang w:val="en-US" w:eastAsia="zh-CN"/>
              </w:rPr>
              <w:t>31.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  <w:t>Gompertz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>
              <w:rPr>
                <w:rFonts w:hint="default" w:ascii="Times New Roman" w:hAnsi="Times New Roman"/>
                <w:color w:val="000000"/>
                <w:sz w:val="20"/>
                <w:szCs w:val="20"/>
              </w:rPr>
              <w:t>istribution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35.02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38.26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 w:val="0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tabs>
                <w:tab w:val="left" w:pos="812"/>
                <w:tab w:val="center" w:pos="1579"/>
              </w:tabs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Log-logistic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>
              <w:rPr>
                <w:rFonts w:hint="default" w:ascii="Times New Roman" w:hAnsi="Times New Roman"/>
                <w:color w:val="000000"/>
                <w:sz w:val="20"/>
                <w:szCs w:val="20"/>
              </w:rPr>
              <w:t>istribution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34.61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widowControl w:val="0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Log-normal D</w:t>
            </w:r>
            <w:r>
              <w:rPr>
                <w:rFonts w:hint="default" w:ascii="Times New Roman" w:hAnsi="Times New Roman"/>
                <w:color w:val="000000"/>
                <w:sz w:val="20"/>
                <w:szCs w:val="20"/>
              </w:rPr>
              <w:t>istribution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34.55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36.67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38.33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53.88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54.67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37.12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>
            <w:pPr>
              <w:pStyle w:val="5"/>
              <w:widowControl/>
              <w:spacing w:before="100" w:after="100" w:line="48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38.10</w:t>
            </w:r>
          </w:p>
        </w:tc>
      </w:tr>
    </w:tbl>
    <w:p>
      <w:pPr>
        <w:kinsoku w:val="0"/>
        <w:jc w:val="left"/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iCs/>
          <w:kern w:val="0"/>
          <w:sz w:val="20"/>
          <w:szCs w:val="20"/>
        </w:rPr>
        <w:t>Abbreviation: EP,</w:t>
      </w:r>
      <w:r>
        <w:rPr>
          <w:rFonts w:ascii="Times New Roman" w:hAnsi="Times New Roman" w:cs="Times New Roman"/>
          <w:sz w:val="20"/>
          <w:szCs w:val="20"/>
        </w:rPr>
        <w:t xml:space="preserve"> etoposide and platinum</w:t>
      </w:r>
      <w:r>
        <w:rPr>
          <w:rFonts w:ascii="Times New Roman" w:hAnsi="Times New Roman" w:eastAsia="宋体" w:cs="Times New Roman"/>
          <w:iCs/>
          <w:kern w:val="0"/>
          <w:sz w:val="20"/>
          <w:szCs w:val="20"/>
        </w:rPr>
        <w:t>;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OS,</w:t>
      </w:r>
      <w:r>
        <w:rPr>
          <w:rFonts w:ascii="Times New Roman" w:hAnsi="Times New Roman" w:cs="Times New Roman"/>
          <w:sz w:val="20"/>
          <w:szCs w:val="20"/>
        </w:rPr>
        <w:t xml:space="preserve"> overall survival; PFS, Progression-free survival; AIC,</w:t>
      </w:r>
      <w:r>
        <w:rPr>
          <w:rFonts w:ascii="Times New Roman" w:hAnsi="Times New Roman" w:eastAsia="AdvOT596495f2" w:cs="Times New Roman"/>
          <w:color w:val="000000"/>
          <w:kern w:val="0"/>
          <w:sz w:val="20"/>
          <w:szCs w:val="20"/>
          <w:lang w:bidi="ar"/>
        </w:rPr>
        <w:t xml:space="preserve"> Akaike</w:t>
      </w:r>
      <w:r>
        <w:rPr>
          <w:rFonts w:ascii="Times New Roman" w:hAnsi="Times New Roman" w:eastAsia="AdvOT596495f2 + 20" w:cs="Times New Roman"/>
          <w:color w:val="000000"/>
          <w:kern w:val="0"/>
          <w:sz w:val="20"/>
          <w:szCs w:val="20"/>
          <w:lang w:bidi="ar"/>
        </w:rPr>
        <w:t>’</w:t>
      </w:r>
      <w:r>
        <w:rPr>
          <w:rFonts w:ascii="Times New Roman" w:hAnsi="Times New Roman" w:eastAsia="AdvOT596495f2" w:cs="Times New Roman"/>
          <w:color w:val="000000"/>
          <w:kern w:val="0"/>
          <w:sz w:val="20"/>
          <w:szCs w:val="20"/>
          <w:lang w:bidi="ar"/>
        </w:rPr>
        <w:t>s information criterion</w:t>
      </w:r>
      <w:r>
        <w:rPr>
          <w:rFonts w:ascii="Times New Roman" w:hAnsi="Times New Roman" w:eastAsia="宋体" w:cs="Times New Roman"/>
          <w:iCs/>
          <w:kern w:val="0"/>
          <w:sz w:val="20"/>
          <w:szCs w:val="20"/>
        </w:rPr>
        <w:t>; BIC,</w:t>
      </w:r>
      <w:r>
        <w:rPr>
          <w:rFonts w:ascii="Times New Roman" w:hAnsi="Times New Roman" w:eastAsia="AdvOT596495f2" w:cs="Times New Roman"/>
          <w:color w:val="000000"/>
          <w:kern w:val="0"/>
          <w:sz w:val="20"/>
          <w:szCs w:val="20"/>
          <w:lang w:bidi="ar"/>
        </w:rPr>
        <w:t xml:space="preserve"> Bayesian information criterion</w:t>
      </w:r>
      <w:r>
        <w:rPr>
          <w:rFonts w:ascii="Times New Roman" w:hAnsi="Times New Roman" w:eastAsia="宋体" w:cs="Times New Roman"/>
          <w:iCs/>
          <w:kern w:val="0"/>
          <w:sz w:val="20"/>
          <w:szCs w:val="20"/>
        </w:rPr>
        <w:t>.</w:t>
      </w:r>
    </w:p>
    <w:p>
      <w:pPr>
        <w:tabs>
          <w:tab w:val="left" w:pos="7473"/>
        </w:tabs>
        <w:spacing w:line="360" w:lineRule="auto"/>
        <w:ind w:firstLine="480"/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7473"/>
        </w:tabs>
        <w:spacing w:line="360" w:lineRule="auto"/>
        <w:ind w:firstLine="48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As for 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ten </w:t>
      </w:r>
      <w:r>
        <w:rPr>
          <w:rFonts w:hint="default" w:ascii="Times New Roman" w:hAnsi="Times New Roman" w:cs="Times New Roman"/>
          <w:sz w:val="24"/>
          <w:szCs w:val="24"/>
        </w:rPr>
        <w:t xml:space="preserve">curves listed in the table, 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Weibull</w:t>
      </w:r>
      <w:r>
        <w:rPr>
          <w:rFonts w:hint="default" w:ascii="Times New Roman" w:hAnsi="Times New Roman" w:cs="Times New Roman"/>
          <w:sz w:val="24"/>
          <w:szCs w:val="24"/>
        </w:rPr>
        <w:t xml:space="preserve"> distribution had the lowest AIC and BIC.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Weibull distributions are flexible and wildly used in cancer survival analyses. Therefore, the Weibull distributions was likely to be the most reasonable parametric survival model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rPr>
          <w:rFonts w:hint="default"/>
          <w:lang w:eastAsia="zh-CN"/>
        </w:rPr>
      </w:pPr>
    </w:p>
    <w:sectPr>
      <w:footerReference r:id="rId3" w:type="default"/>
      <w:pgSz w:w="16838" w:h="11906" w:orient="landscape"/>
      <w:pgMar w:top="1080" w:right="1440" w:bottom="108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vOT596495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OT596495f2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B492C"/>
    <w:rsid w:val="08BD5510"/>
    <w:rsid w:val="09725F0C"/>
    <w:rsid w:val="114A637D"/>
    <w:rsid w:val="18E34650"/>
    <w:rsid w:val="1E200060"/>
    <w:rsid w:val="27572026"/>
    <w:rsid w:val="335F4DD7"/>
    <w:rsid w:val="35DC2E10"/>
    <w:rsid w:val="3A7C5592"/>
    <w:rsid w:val="4DE82E26"/>
    <w:rsid w:val="567634AC"/>
    <w:rsid w:val="57DD3768"/>
    <w:rsid w:val="5A18491E"/>
    <w:rsid w:val="60DD204C"/>
    <w:rsid w:val="67C45B68"/>
    <w:rsid w:val="68132D10"/>
    <w:rsid w:val="6D8B102E"/>
    <w:rsid w:val="7608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89368</dc:creator>
  <cp:lastModifiedBy>璺Abner</cp:lastModifiedBy>
  <dcterms:modified xsi:type="dcterms:W3CDTF">2021-05-18T03:55:08Z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BF76BD9255EB4EA2B4E98E60B4933E61</vt:lpwstr>
  </property>
</Properties>
</file>