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0F304" w14:textId="61578A7A" w:rsidR="004B7D5B" w:rsidRPr="0018720A" w:rsidRDefault="00104F46" w:rsidP="004B7D5B">
      <w:pPr>
        <w:spacing w:after="0" w:line="360" w:lineRule="auto"/>
        <w:rPr>
          <w:rFonts w:ascii="Times New Roman" w:hAnsi="Times New Roman" w:cs="Times New Roman" w:hint="eastAsia"/>
          <w:i/>
          <w:iCs/>
        </w:rPr>
      </w:pPr>
      <w:r>
        <w:rPr>
          <w:rFonts w:ascii="Times New Roman" w:hAnsi="Times New Roman" w:cs="Times New Roman" w:hint="eastAsia"/>
          <w:i/>
          <w:iCs/>
        </w:rPr>
        <w:t>Scientific Reports</w:t>
      </w:r>
    </w:p>
    <w:p w14:paraId="0F55DD02" w14:textId="77777777" w:rsidR="004B7D5B" w:rsidRDefault="004B7D5B" w:rsidP="004B7D5B">
      <w:pPr>
        <w:spacing w:after="0" w:line="360" w:lineRule="auto"/>
        <w:rPr>
          <w:rFonts w:ascii="Times New Roman" w:hAnsi="Times New Roman" w:cs="Times New Roman"/>
        </w:rPr>
      </w:pPr>
    </w:p>
    <w:p w14:paraId="74A626D9" w14:textId="7A950EAD" w:rsidR="004B7D5B" w:rsidRPr="00681910" w:rsidRDefault="004B7D5B" w:rsidP="004B7D5B">
      <w:pPr>
        <w:spacing w:after="0" w:line="360" w:lineRule="auto"/>
        <w:rPr>
          <w:rFonts w:ascii="Times New Roman" w:eastAsia="HY신명조" w:hAnsi="Times New Roman" w:cs="Times New Roman"/>
          <w:b/>
          <w:szCs w:val="20"/>
        </w:rPr>
      </w:pPr>
      <w:r w:rsidRPr="00681910">
        <w:rPr>
          <w:rFonts w:ascii="Times New Roman" w:eastAsia="HY신명조" w:hAnsi="Times New Roman" w:cs="Times New Roman"/>
          <w:b/>
          <w:szCs w:val="20"/>
        </w:rPr>
        <w:t xml:space="preserve">Predicting Potential Habitats of the Endangered </w:t>
      </w:r>
      <w:proofErr w:type="spellStart"/>
      <w:r w:rsidRPr="00681910">
        <w:rPr>
          <w:rFonts w:ascii="Times New Roman" w:eastAsia="HY신명조" w:hAnsi="Times New Roman" w:cs="Times New Roman"/>
          <w:b/>
          <w:szCs w:val="20"/>
        </w:rPr>
        <w:t>Suweon</w:t>
      </w:r>
      <w:proofErr w:type="spellEnd"/>
      <w:r w:rsidRPr="00681910">
        <w:rPr>
          <w:rFonts w:ascii="Times New Roman" w:eastAsia="HY신명조" w:hAnsi="Times New Roman" w:cs="Times New Roman"/>
          <w:b/>
          <w:szCs w:val="20"/>
        </w:rPr>
        <w:t xml:space="preserve"> Treefrog (</w:t>
      </w:r>
      <w:proofErr w:type="spellStart"/>
      <w:r w:rsidRPr="00681910">
        <w:rPr>
          <w:rFonts w:ascii="Times New Roman" w:eastAsia="HY신명조" w:hAnsi="Times New Roman" w:cs="Times New Roman"/>
          <w:b/>
          <w:i/>
          <w:szCs w:val="20"/>
        </w:rPr>
        <w:t>Dryophytes</w:t>
      </w:r>
      <w:proofErr w:type="spellEnd"/>
      <w:r w:rsidRPr="00681910">
        <w:rPr>
          <w:rFonts w:ascii="Times New Roman" w:eastAsia="HY신명조" w:hAnsi="Times New Roman" w:cs="Times New Roman"/>
          <w:b/>
          <w:i/>
          <w:szCs w:val="20"/>
        </w:rPr>
        <w:t xml:space="preserve"> </w:t>
      </w:r>
      <w:proofErr w:type="spellStart"/>
      <w:r w:rsidRPr="00681910">
        <w:rPr>
          <w:rFonts w:ascii="Times New Roman" w:eastAsia="HY신명조" w:hAnsi="Times New Roman" w:cs="Times New Roman"/>
          <w:b/>
          <w:i/>
          <w:szCs w:val="20"/>
        </w:rPr>
        <w:t>suweonensis</w:t>
      </w:r>
      <w:proofErr w:type="spellEnd"/>
      <w:r w:rsidRPr="00681910">
        <w:rPr>
          <w:rFonts w:ascii="Times New Roman" w:eastAsia="HY신명조" w:hAnsi="Times New Roman" w:cs="Times New Roman"/>
          <w:b/>
          <w:szCs w:val="20"/>
        </w:rPr>
        <w:t>) under Climate Change Scenarios Using an Ensemble Ecological Niche Model</w:t>
      </w:r>
    </w:p>
    <w:p w14:paraId="252D49AC" w14:textId="77777777" w:rsidR="004B7D5B" w:rsidRPr="00681910" w:rsidRDefault="004B7D5B" w:rsidP="004B7D5B">
      <w:pPr>
        <w:spacing w:after="0" w:line="360" w:lineRule="auto"/>
        <w:rPr>
          <w:rFonts w:ascii="Times New Roman" w:eastAsia="HY신명조" w:hAnsi="Times New Roman" w:cs="Times New Roman"/>
          <w:szCs w:val="20"/>
        </w:rPr>
      </w:pPr>
    </w:p>
    <w:p w14:paraId="55700242" w14:textId="77777777" w:rsidR="004B7D5B" w:rsidRPr="00681910" w:rsidRDefault="004B7D5B" w:rsidP="004B7D5B">
      <w:pPr>
        <w:spacing w:after="0" w:line="360" w:lineRule="auto"/>
        <w:rPr>
          <w:rFonts w:ascii="Times New Roman" w:eastAsia="HY신명조" w:hAnsi="Times New Roman" w:cs="Times New Roman"/>
          <w:szCs w:val="20"/>
        </w:rPr>
      </w:pPr>
      <w:proofErr w:type="spellStart"/>
      <w:r w:rsidRPr="00681910">
        <w:rPr>
          <w:rFonts w:ascii="Times New Roman" w:eastAsia="HY신명조" w:hAnsi="Times New Roman" w:cs="Times New Roman"/>
          <w:szCs w:val="20"/>
        </w:rPr>
        <w:t>Nakyung</w:t>
      </w:r>
      <w:proofErr w:type="spellEnd"/>
      <w:r w:rsidRPr="00681910">
        <w:rPr>
          <w:rFonts w:ascii="Times New Roman" w:eastAsia="HY신명조" w:hAnsi="Times New Roman" w:cs="Times New Roman"/>
          <w:szCs w:val="20"/>
        </w:rPr>
        <w:t xml:space="preserve"> Yoo</w:t>
      </w:r>
      <w:r w:rsidRPr="00681910">
        <w:rPr>
          <w:rFonts w:ascii="Times New Roman" w:eastAsia="HY신명조" w:hAnsi="Times New Roman" w:cs="Times New Roman"/>
          <w:szCs w:val="20"/>
          <w:vertAlign w:val="superscript"/>
        </w:rPr>
        <w:t>1,</w:t>
      </w:r>
      <w:proofErr w:type="gramStart"/>
      <w:r w:rsidRPr="00681910">
        <w:rPr>
          <w:rFonts w:ascii="Times New Roman" w:eastAsia="HY신명조" w:hAnsi="Times New Roman" w:cs="Times New Roman"/>
          <w:szCs w:val="20"/>
          <w:vertAlign w:val="superscript"/>
        </w:rPr>
        <w:t>2,</w:t>
      </w:r>
      <w:r w:rsidRPr="00681910">
        <w:rPr>
          <w:rFonts w:ascii="Times New Roman" w:eastAsia="HY신명조" w:hAnsi="Times New Roman" w:cs="Times New Roman" w:hint="eastAsia"/>
          <w:szCs w:val="20"/>
          <w:vertAlign w:val="superscript"/>
        </w:rPr>
        <w:t>†</w:t>
      </w:r>
      <w:proofErr w:type="gramEnd"/>
      <w:r w:rsidRPr="00681910">
        <w:rPr>
          <w:rFonts w:ascii="Times New Roman" w:eastAsia="HY신명조" w:hAnsi="Times New Roman" w:cs="Times New Roman"/>
          <w:szCs w:val="20"/>
        </w:rPr>
        <w:t xml:space="preserve">, </w:t>
      </w:r>
      <w:r w:rsidRPr="00681910">
        <w:rPr>
          <w:rFonts w:ascii="Times New Roman" w:eastAsia="HY신명조" w:hAnsi="Times New Roman" w:cs="Times New Roman" w:hint="eastAsia"/>
          <w:szCs w:val="20"/>
        </w:rPr>
        <w:t>D</w:t>
      </w:r>
      <w:r w:rsidRPr="00681910">
        <w:rPr>
          <w:rFonts w:ascii="Times New Roman" w:eastAsia="HY신명조" w:hAnsi="Times New Roman" w:cs="Times New Roman"/>
          <w:szCs w:val="20"/>
        </w:rPr>
        <w:t>ae-Seong Lee</w:t>
      </w:r>
      <w:proofErr w:type="gramStart"/>
      <w:r w:rsidRPr="00681910">
        <w:rPr>
          <w:rFonts w:ascii="Times New Roman" w:eastAsia="HY신명조" w:hAnsi="Times New Roman" w:cs="Times New Roman" w:hint="eastAsia"/>
          <w:szCs w:val="20"/>
          <w:vertAlign w:val="superscript"/>
        </w:rPr>
        <w:t>2</w:t>
      </w:r>
      <w:r w:rsidRPr="00681910">
        <w:rPr>
          <w:rFonts w:ascii="Times New Roman" w:eastAsia="HY신명조" w:hAnsi="Times New Roman" w:cs="Times New Roman"/>
          <w:szCs w:val="20"/>
          <w:vertAlign w:val="superscript"/>
        </w:rPr>
        <w:t>,</w:t>
      </w:r>
      <w:r w:rsidRPr="00681910">
        <w:rPr>
          <w:rFonts w:ascii="Times New Roman" w:eastAsia="HY신명조" w:hAnsi="Times New Roman" w:cs="Times New Roman" w:hint="eastAsia"/>
          <w:szCs w:val="20"/>
          <w:vertAlign w:val="superscript"/>
        </w:rPr>
        <w:t>†</w:t>
      </w:r>
      <w:proofErr w:type="gramEnd"/>
      <w:r w:rsidRPr="00681910">
        <w:rPr>
          <w:rFonts w:ascii="Times New Roman" w:eastAsia="HY신명조" w:hAnsi="Times New Roman" w:cs="Times New Roman" w:hint="eastAsia"/>
          <w:szCs w:val="20"/>
        </w:rPr>
        <w:t>,</w:t>
      </w:r>
      <w:r w:rsidRPr="00681910">
        <w:rPr>
          <w:rFonts w:ascii="Times New Roman" w:eastAsia="HY신명조" w:hAnsi="Times New Roman" w:cs="Times New Roman"/>
          <w:szCs w:val="20"/>
        </w:rPr>
        <w:t xml:space="preserve"> </w:t>
      </w:r>
      <w:proofErr w:type="spellStart"/>
      <w:r w:rsidRPr="00681910">
        <w:rPr>
          <w:rFonts w:ascii="Times New Roman" w:eastAsia="HY신명조" w:hAnsi="Times New Roman" w:cs="Times New Roman" w:hint="eastAsia"/>
          <w:szCs w:val="20"/>
        </w:rPr>
        <w:t>J</w:t>
      </w:r>
      <w:r w:rsidRPr="00681910">
        <w:rPr>
          <w:rFonts w:ascii="Times New Roman" w:eastAsia="HY신명조" w:hAnsi="Times New Roman" w:cs="Times New Roman"/>
          <w:szCs w:val="20"/>
        </w:rPr>
        <w:t>eongwoo</w:t>
      </w:r>
      <w:proofErr w:type="spellEnd"/>
      <w:r w:rsidRPr="00681910">
        <w:rPr>
          <w:rFonts w:ascii="Times New Roman" w:eastAsia="HY신명조" w:hAnsi="Times New Roman" w:cs="Times New Roman"/>
          <w:szCs w:val="20"/>
        </w:rPr>
        <w:t xml:space="preserve"> Yoo</w:t>
      </w:r>
      <w:r w:rsidRPr="00681910">
        <w:rPr>
          <w:rFonts w:ascii="Times New Roman" w:eastAsia="HY신명조" w:hAnsi="Times New Roman" w:cs="Times New Roman"/>
          <w:szCs w:val="20"/>
          <w:vertAlign w:val="superscript"/>
        </w:rPr>
        <w:t>1</w:t>
      </w:r>
      <w:r w:rsidRPr="00681910">
        <w:rPr>
          <w:rFonts w:ascii="Times New Roman" w:eastAsia="HY신명조" w:hAnsi="Times New Roman" w:cs="Times New Roman" w:hint="eastAsia"/>
          <w:szCs w:val="20"/>
        </w:rPr>
        <w:t>,</w:t>
      </w:r>
      <w:r w:rsidRPr="00681910">
        <w:rPr>
          <w:rFonts w:ascii="Times New Roman" w:eastAsia="HY신명조" w:hAnsi="Times New Roman" w:cs="Times New Roman"/>
          <w:szCs w:val="20"/>
        </w:rPr>
        <w:t xml:space="preserve"> Kwan-Ik Kwon</w:t>
      </w:r>
      <w:r w:rsidRPr="00681910">
        <w:rPr>
          <w:rFonts w:ascii="Times New Roman" w:eastAsia="HY신명조" w:hAnsi="Times New Roman" w:cs="Times New Roman"/>
          <w:szCs w:val="20"/>
          <w:vertAlign w:val="superscript"/>
        </w:rPr>
        <w:t>1</w:t>
      </w:r>
      <w:r w:rsidRPr="00681910">
        <w:rPr>
          <w:rFonts w:ascii="Times New Roman" w:eastAsia="HY신명조" w:hAnsi="Times New Roman" w:cs="Times New Roman"/>
          <w:szCs w:val="20"/>
        </w:rPr>
        <w:t>, Chang-</w:t>
      </w:r>
      <w:proofErr w:type="spellStart"/>
      <w:r w:rsidRPr="00681910">
        <w:rPr>
          <w:rFonts w:ascii="Times New Roman" w:eastAsia="HY신명조" w:hAnsi="Times New Roman" w:cs="Times New Roman"/>
          <w:szCs w:val="20"/>
        </w:rPr>
        <w:t>Deuk</w:t>
      </w:r>
      <w:proofErr w:type="spellEnd"/>
      <w:r w:rsidRPr="00681910">
        <w:rPr>
          <w:rFonts w:ascii="Times New Roman" w:eastAsia="HY신명조" w:hAnsi="Times New Roman" w:cs="Times New Roman"/>
          <w:szCs w:val="20"/>
        </w:rPr>
        <w:t xml:space="preserve"> Park</w:t>
      </w:r>
      <w:r w:rsidRPr="00681910">
        <w:rPr>
          <w:rFonts w:ascii="Times New Roman" w:eastAsia="HY신명조" w:hAnsi="Times New Roman" w:cs="Times New Roman"/>
          <w:szCs w:val="20"/>
          <w:vertAlign w:val="superscript"/>
        </w:rPr>
        <w:t>1</w:t>
      </w:r>
      <w:r w:rsidRPr="00681910">
        <w:rPr>
          <w:rFonts w:ascii="Times New Roman" w:eastAsia="HY신명조" w:hAnsi="Times New Roman" w:cs="Times New Roman"/>
          <w:szCs w:val="20"/>
        </w:rPr>
        <w:t>, Ju-Duk Yoon</w:t>
      </w:r>
      <w:proofErr w:type="gramStart"/>
      <w:r w:rsidRPr="00681910">
        <w:rPr>
          <w:rFonts w:ascii="Times New Roman" w:eastAsia="HY신명조" w:hAnsi="Times New Roman" w:cs="Times New Roman"/>
          <w:szCs w:val="20"/>
          <w:vertAlign w:val="superscript"/>
        </w:rPr>
        <w:t>1,*</w:t>
      </w:r>
      <w:proofErr w:type="gramEnd"/>
      <w:r w:rsidRPr="00681910">
        <w:rPr>
          <w:rFonts w:ascii="Times New Roman" w:eastAsia="HY신명조" w:hAnsi="Times New Roman" w:cs="Times New Roman"/>
          <w:szCs w:val="20"/>
        </w:rPr>
        <w:t xml:space="preserve">, </w:t>
      </w:r>
      <w:r w:rsidRPr="00681910">
        <w:rPr>
          <w:rFonts w:ascii="Times New Roman" w:eastAsia="HY신명조" w:hAnsi="Times New Roman" w:cs="Times New Roman" w:hint="eastAsia"/>
          <w:szCs w:val="20"/>
        </w:rPr>
        <w:t>Young-Seuk Park</w:t>
      </w:r>
      <w:proofErr w:type="gramStart"/>
      <w:r w:rsidRPr="00681910">
        <w:rPr>
          <w:rFonts w:ascii="Times New Roman" w:eastAsia="HY신명조" w:hAnsi="Times New Roman" w:cs="Times New Roman" w:hint="eastAsia"/>
          <w:szCs w:val="20"/>
          <w:vertAlign w:val="superscript"/>
        </w:rPr>
        <w:t>2</w:t>
      </w:r>
      <w:r w:rsidRPr="00681910">
        <w:rPr>
          <w:rFonts w:ascii="Times New Roman" w:eastAsia="HY신명조" w:hAnsi="Times New Roman" w:cs="Times New Roman"/>
          <w:szCs w:val="20"/>
          <w:vertAlign w:val="superscript"/>
        </w:rPr>
        <w:t>,</w:t>
      </w:r>
      <w:r w:rsidRPr="00681910">
        <w:rPr>
          <w:rFonts w:ascii="Times New Roman" w:eastAsia="HY신명조" w:hAnsi="Times New Roman" w:cs="Times New Roman"/>
          <w:szCs w:val="20"/>
        </w:rPr>
        <w:t>*</w:t>
      </w:r>
      <w:proofErr w:type="gramEnd"/>
    </w:p>
    <w:p w14:paraId="45136F59"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szCs w:val="20"/>
          <w:vertAlign w:val="superscript"/>
        </w:rPr>
        <w:t>1</w:t>
      </w:r>
      <w:r w:rsidRPr="00681910">
        <w:rPr>
          <w:rFonts w:ascii="Times New Roman" w:eastAsia="HY신명조" w:hAnsi="Times New Roman" w:cs="Times New Roman"/>
          <w:szCs w:val="20"/>
        </w:rPr>
        <w:t>Restoration Research Team (Fishes/Amphibians &amp; Reptile), Research Center for Endangered Species, National Institute of Ecology, Yeongyang 36531, Republic of Korea</w:t>
      </w:r>
    </w:p>
    <w:p w14:paraId="15A38D37"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hint="eastAsia"/>
          <w:szCs w:val="20"/>
          <w:vertAlign w:val="superscript"/>
        </w:rPr>
        <w:t>2</w:t>
      </w:r>
      <w:r w:rsidRPr="00681910">
        <w:rPr>
          <w:rFonts w:ascii="Times New Roman" w:eastAsia="HY신명조" w:hAnsi="Times New Roman" w:cs="Times New Roman"/>
          <w:szCs w:val="20"/>
        </w:rPr>
        <w:t>Department of Biology, Kyung Hee University, Seoul 02447, Republic of Korea</w:t>
      </w:r>
    </w:p>
    <w:p w14:paraId="3E6D2F54" w14:textId="77777777" w:rsidR="004B7D5B" w:rsidRPr="00681910" w:rsidRDefault="004B7D5B" w:rsidP="004B7D5B">
      <w:pPr>
        <w:spacing w:after="0" w:line="360" w:lineRule="auto"/>
        <w:rPr>
          <w:rFonts w:ascii="Times New Roman" w:eastAsia="HY신명조" w:hAnsi="Times New Roman" w:cs="Times New Roman"/>
          <w:szCs w:val="20"/>
        </w:rPr>
      </w:pPr>
    </w:p>
    <w:p w14:paraId="7DBD73C4"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hint="eastAsia"/>
          <w:szCs w:val="20"/>
          <w:vertAlign w:val="superscript"/>
        </w:rPr>
        <w:t>†</w:t>
      </w:r>
      <w:r w:rsidRPr="00681910">
        <w:rPr>
          <w:rFonts w:ascii="Times New Roman" w:eastAsia="HY신명조" w:hAnsi="Times New Roman" w:cs="Times New Roman"/>
          <w:szCs w:val="20"/>
        </w:rPr>
        <w:t xml:space="preserve"> </w:t>
      </w:r>
      <w:r w:rsidRPr="00681910">
        <w:rPr>
          <w:rFonts w:ascii="Times New Roman" w:eastAsia="HY신명조" w:hAnsi="Times New Roman" w:cs="Times New Roman" w:hint="eastAsia"/>
          <w:szCs w:val="20"/>
        </w:rPr>
        <w:t>These authors contributed equally to this work</w:t>
      </w:r>
      <w:r w:rsidRPr="00681910">
        <w:rPr>
          <w:rFonts w:ascii="Times New Roman" w:eastAsia="HY신명조" w:hAnsi="Times New Roman" w:cs="Times New Roman"/>
          <w:szCs w:val="20"/>
        </w:rPr>
        <w:t>.</w:t>
      </w:r>
    </w:p>
    <w:p w14:paraId="680F26A1" w14:textId="77777777" w:rsidR="004B7D5B" w:rsidRPr="00681910" w:rsidRDefault="004B7D5B" w:rsidP="004B7D5B">
      <w:pPr>
        <w:spacing w:after="0" w:line="360" w:lineRule="auto"/>
        <w:rPr>
          <w:rFonts w:ascii="Times New Roman" w:eastAsia="HY신명조" w:hAnsi="Times New Roman" w:cs="Times New Roman"/>
          <w:szCs w:val="20"/>
        </w:rPr>
      </w:pPr>
    </w:p>
    <w:p w14:paraId="2849D537" w14:textId="77777777" w:rsidR="004B7D5B" w:rsidRPr="00681910" w:rsidRDefault="004B7D5B" w:rsidP="004B7D5B">
      <w:pPr>
        <w:spacing w:after="0" w:line="360" w:lineRule="auto"/>
        <w:rPr>
          <w:rFonts w:ascii="Times New Roman" w:eastAsia="HY신명조" w:hAnsi="Times New Roman" w:cs="Times New Roman"/>
          <w:bCs/>
          <w:szCs w:val="20"/>
        </w:rPr>
      </w:pPr>
      <w:r w:rsidRPr="00681910">
        <w:rPr>
          <w:rFonts w:ascii="Times New Roman" w:eastAsia="HY신명조" w:hAnsi="Times New Roman" w:cs="Times New Roman"/>
          <w:b/>
          <w:bCs/>
          <w:szCs w:val="20"/>
        </w:rPr>
        <w:t xml:space="preserve">* </w:t>
      </w:r>
      <w:r w:rsidRPr="00681910">
        <w:rPr>
          <w:rFonts w:ascii="Times New Roman" w:eastAsia="HY신명조" w:hAnsi="Times New Roman" w:cs="Times New Roman"/>
          <w:bCs/>
          <w:szCs w:val="20"/>
        </w:rPr>
        <w:t>Correspondence:</w:t>
      </w:r>
    </w:p>
    <w:p w14:paraId="338579F2"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szCs w:val="20"/>
        </w:rPr>
        <w:t>E-mail:</w:t>
      </w:r>
      <w:hyperlink r:id="rId6" w:history="1">
        <w:r w:rsidRPr="00681910">
          <w:rPr>
            <w:rStyle w:val="a7"/>
            <w:rFonts w:ascii="Times New Roman" w:eastAsia="HY신명조" w:hAnsi="Times New Roman" w:cs="Times New Roman"/>
            <w:szCs w:val="20"/>
          </w:rPr>
          <w:t>grandblue@nie.re.kr</w:t>
        </w:r>
      </w:hyperlink>
      <w:r w:rsidRPr="00681910">
        <w:rPr>
          <w:rFonts w:ascii="Times New Roman" w:eastAsia="HY신명조" w:hAnsi="Times New Roman" w:cs="Times New Roman"/>
          <w:szCs w:val="20"/>
        </w:rPr>
        <w:t xml:space="preserve"> (J.-D.Y.), </w:t>
      </w:r>
      <w:hyperlink r:id="rId7" w:history="1">
        <w:r w:rsidRPr="00681910">
          <w:rPr>
            <w:rStyle w:val="a7"/>
            <w:rFonts w:ascii="Times New Roman" w:eastAsia="HY신명조" w:hAnsi="Times New Roman" w:cs="Times New Roman"/>
            <w:szCs w:val="20"/>
          </w:rPr>
          <w:t>parkys@khu.ac.kr</w:t>
        </w:r>
      </w:hyperlink>
      <w:r w:rsidRPr="00681910">
        <w:rPr>
          <w:rFonts w:ascii="Times New Roman" w:eastAsia="HY신명조" w:hAnsi="Times New Roman" w:cs="Times New Roman"/>
          <w:szCs w:val="20"/>
        </w:rPr>
        <w:t xml:space="preserve"> (Y.-S.P.)</w:t>
      </w:r>
    </w:p>
    <w:p w14:paraId="22A40006"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szCs w:val="20"/>
        </w:rPr>
        <w:t>Tel.: +82-54-680-736</w:t>
      </w:r>
    </w:p>
    <w:p w14:paraId="08A1A81F" w14:textId="77777777" w:rsidR="004B7D5B" w:rsidRPr="00681910" w:rsidRDefault="004B7D5B" w:rsidP="004B7D5B">
      <w:pPr>
        <w:spacing w:after="0" w:line="360" w:lineRule="auto"/>
        <w:rPr>
          <w:rFonts w:ascii="Times New Roman" w:eastAsia="HY신명조" w:hAnsi="Times New Roman" w:cs="Times New Roman"/>
          <w:szCs w:val="20"/>
        </w:rPr>
      </w:pPr>
      <w:r w:rsidRPr="00681910">
        <w:rPr>
          <w:rFonts w:ascii="Times New Roman" w:eastAsia="HY신명조" w:hAnsi="Times New Roman" w:cs="Times New Roman"/>
          <w:szCs w:val="20"/>
        </w:rPr>
        <w:t>Fax: +82-54-680-7329</w:t>
      </w:r>
    </w:p>
    <w:p w14:paraId="7B508C6E" w14:textId="77777777" w:rsidR="004B7D5B" w:rsidRPr="00681910" w:rsidRDefault="004B7D5B" w:rsidP="004B7D5B">
      <w:pPr>
        <w:spacing w:after="0" w:line="360" w:lineRule="auto"/>
        <w:rPr>
          <w:rFonts w:ascii="Times New Roman" w:eastAsia="HY신명조" w:hAnsi="Times New Roman" w:cs="Times New Roman"/>
          <w:bCs/>
          <w:szCs w:val="20"/>
        </w:rPr>
      </w:pPr>
    </w:p>
    <w:p w14:paraId="56BCD585" w14:textId="77777777" w:rsidR="00D32C8C" w:rsidRDefault="00D32C8C" w:rsidP="00D32C8C">
      <w:pPr>
        <w:pStyle w:val="a4"/>
      </w:pPr>
      <w:r>
        <w:rPr>
          <w:noProof/>
        </w:rPr>
        <w:lastRenderedPageBreak/>
        <w:drawing>
          <wp:inline distT="0" distB="0" distL="0" distR="0" wp14:anchorId="40FF02E9" wp14:editId="121F8CDF">
            <wp:extent cx="5437333" cy="5106010"/>
            <wp:effectExtent l="0" t="0" r="0" b="0"/>
            <wp:docPr id="8" name="그림 8" descr="C:\Users\멸종위기종복원센터\Desktop\1-1. 수원청개구리\3. 서식지 적합성\초안\(이대성 박사님) 수원청개구리 SDM 연구 수정\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멸종위기종복원센터\Desktop\1-1. 수원청개구리\3. 서식지 적합성\초안\(이대성 박사님) 수원청개구리 SDM 연구 수정\Fig.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999" cy="5129173"/>
                    </a:xfrm>
                    <a:prstGeom prst="rect">
                      <a:avLst/>
                    </a:prstGeom>
                    <a:noFill/>
                    <a:ln>
                      <a:noFill/>
                    </a:ln>
                  </pic:spPr>
                </pic:pic>
              </a:graphicData>
            </a:graphic>
          </wp:inline>
        </w:drawing>
      </w:r>
    </w:p>
    <w:p w14:paraId="25582137" w14:textId="19FAD996" w:rsidR="00D32C8C" w:rsidRDefault="00D32C8C" w:rsidP="00D32C8C">
      <w:pPr>
        <w:rPr>
          <w:rFonts w:ascii="Times New Roman" w:hAnsi="Times New Roman" w:cs="Times New Roman"/>
        </w:rPr>
      </w:pPr>
      <w:r w:rsidRPr="004B7D5B">
        <w:rPr>
          <w:rFonts w:ascii="Times New Roman" w:hAnsi="Times New Roman" w:cs="Times New Roman" w:hint="eastAsia"/>
          <w:b/>
          <w:bCs/>
        </w:rPr>
        <w:t xml:space="preserve">Supplementary </w:t>
      </w:r>
      <w:r w:rsidRPr="004B7D5B">
        <w:rPr>
          <w:rFonts w:ascii="Times New Roman" w:hAnsi="Times New Roman" w:cs="Times New Roman"/>
          <w:b/>
          <w:bCs/>
        </w:rPr>
        <w:t>Fig</w:t>
      </w:r>
      <w:r w:rsidR="00DF4BE6">
        <w:rPr>
          <w:rFonts w:ascii="Times New Roman" w:hAnsi="Times New Roman" w:cs="Times New Roman" w:hint="eastAsia"/>
          <w:b/>
          <w:bCs/>
        </w:rPr>
        <w:t>ure</w:t>
      </w:r>
      <w:r w:rsidRPr="004B7D5B">
        <w:rPr>
          <w:rFonts w:ascii="Times New Roman" w:hAnsi="Times New Roman" w:cs="Times New Roman"/>
          <w:b/>
          <w:bCs/>
        </w:rPr>
        <w:t xml:space="preserve"> 1</w:t>
      </w:r>
      <w:r>
        <w:rPr>
          <w:rFonts w:ascii="Times New Roman" w:hAnsi="Times New Roman" w:cs="Times New Roman"/>
        </w:rPr>
        <w:t xml:space="preserve"> </w:t>
      </w:r>
      <w:r>
        <w:rPr>
          <w:rFonts w:ascii="Times New Roman" w:hAnsi="Times New Roman" w:cs="Times New Roman" w:hint="eastAsia"/>
        </w:rPr>
        <w:t>The map of South Korea</w:t>
      </w:r>
      <w:r>
        <w:rPr>
          <w:rFonts w:ascii="Times New Roman" w:hAnsi="Times New Roman" w:cs="Times New Roman"/>
        </w:rPr>
        <w:t xml:space="preserve">, showing the administrative districts at the </w:t>
      </w:r>
      <w:proofErr w:type="spellStart"/>
      <w:r>
        <w:rPr>
          <w:rFonts w:ascii="Times New Roman" w:hAnsi="Times New Roman" w:cs="Times New Roman"/>
        </w:rPr>
        <w:t>si</w:t>
      </w:r>
      <w:proofErr w:type="spellEnd"/>
      <w:r>
        <w:rPr>
          <w:rFonts w:ascii="Times New Roman" w:hAnsi="Times New Roman" w:cs="Times New Roman"/>
        </w:rPr>
        <w:t xml:space="preserve">, gun, and </w:t>
      </w:r>
      <w:proofErr w:type="spellStart"/>
      <w:r>
        <w:rPr>
          <w:rFonts w:ascii="Times New Roman" w:hAnsi="Times New Roman" w:cs="Times New Roman"/>
        </w:rPr>
        <w:t>gu</w:t>
      </w:r>
      <w:proofErr w:type="spellEnd"/>
      <w:r>
        <w:rPr>
          <w:rFonts w:ascii="Times New Roman" w:hAnsi="Times New Roman" w:cs="Times New Roman"/>
        </w:rPr>
        <w:t xml:space="preserve"> levels, which correspond to cities, counties, and districts</w:t>
      </w:r>
    </w:p>
    <w:p w14:paraId="60A83D6D" w14:textId="5C286367" w:rsidR="004B7D5B" w:rsidRPr="00D32C8C" w:rsidRDefault="004B7D5B">
      <w:pPr>
        <w:widowControl/>
        <w:wordWrap/>
        <w:autoSpaceDE/>
        <w:autoSpaceDN/>
        <w:rPr>
          <w:rFonts w:ascii="Times New Roman" w:hAnsi="Times New Roman" w:cs="Times New Roman"/>
        </w:rPr>
      </w:pPr>
    </w:p>
    <w:p w14:paraId="71EDBFDD" w14:textId="77777777" w:rsidR="004B7D5B" w:rsidRDefault="004B7D5B" w:rsidP="005D215F">
      <w:pPr>
        <w:rPr>
          <w:rFonts w:ascii="Times New Roman" w:hAnsi="Times New Roman" w:cs="Times New Roman"/>
        </w:rPr>
        <w:sectPr w:rsidR="004B7D5B" w:rsidSect="004B7D5B">
          <w:pgSz w:w="11906" w:h="16838"/>
          <w:pgMar w:top="1440" w:right="1440" w:bottom="1701" w:left="1440" w:header="851" w:footer="992" w:gutter="0"/>
          <w:cols w:space="425"/>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tblGrid>
      <w:tr w:rsidR="001C303D" w14:paraId="6B3283B5" w14:textId="77777777" w:rsidTr="005539D4">
        <w:trPr>
          <w:trHeight w:val="3773"/>
        </w:trPr>
        <w:tc>
          <w:tcPr>
            <w:tcW w:w="4968" w:type="dxa"/>
          </w:tcPr>
          <w:p w14:paraId="6E13084E" w14:textId="77777777" w:rsidR="001C303D" w:rsidRPr="001D5BEC" w:rsidRDefault="001C303D" w:rsidP="005539D4">
            <w:pPr>
              <w:jc w:val="center"/>
              <w:rPr>
                <w:rFonts w:ascii="Times New Roman" w:hAnsi="Times New Roman" w:cs="Times New Roman"/>
                <w:b/>
              </w:rPr>
            </w:pPr>
            <w:r w:rsidRPr="00DF7817">
              <w:rPr>
                <w:rFonts w:ascii="Times New Roman" w:hAnsi="Times New Roman" w:cs="Times New Roman"/>
                <w:b/>
                <w:noProof/>
              </w:rPr>
              <w:lastRenderedPageBreak/>
              <w:drawing>
                <wp:inline distT="0" distB="0" distL="0" distR="0" wp14:anchorId="1DE4888F" wp14:editId="63578F58">
                  <wp:extent cx="3427803" cy="2399386"/>
                  <wp:effectExtent l="0" t="0" r="1270" b="1270"/>
                  <wp:docPr id="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9"/>
                          <a:stretch>
                            <a:fillRect/>
                          </a:stretch>
                        </pic:blipFill>
                        <pic:spPr>
                          <a:xfrm>
                            <a:off x="0" y="0"/>
                            <a:ext cx="3438391" cy="2406797"/>
                          </a:xfrm>
                          <a:prstGeom prst="rect">
                            <a:avLst/>
                          </a:prstGeom>
                        </pic:spPr>
                      </pic:pic>
                    </a:graphicData>
                  </a:graphic>
                </wp:inline>
              </w:drawing>
            </w:r>
          </w:p>
        </w:tc>
      </w:tr>
      <w:tr w:rsidR="001C303D" w14:paraId="1BAE1592" w14:textId="77777777" w:rsidTr="005539D4">
        <w:trPr>
          <w:trHeight w:val="3773"/>
        </w:trPr>
        <w:tc>
          <w:tcPr>
            <w:tcW w:w="4968" w:type="dxa"/>
          </w:tcPr>
          <w:p w14:paraId="0BF39BD6" w14:textId="77777777" w:rsidR="001C303D" w:rsidRDefault="001C303D" w:rsidP="005539D4">
            <w:pPr>
              <w:jc w:val="center"/>
              <w:rPr>
                <w:rFonts w:ascii="Times New Roman" w:hAnsi="Times New Roman" w:cs="Times New Roman"/>
              </w:rPr>
            </w:pPr>
            <w:r w:rsidRPr="00DF7817">
              <w:rPr>
                <w:rFonts w:ascii="Times New Roman" w:hAnsi="Times New Roman" w:cs="Times New Roman"/>
                <w:noProof/>
              </w:rPr>
              <w:drawing>
                <wp:inline distT="0" distB="0" distL="0" distR="0" wp14:anchorId="3123020E" wp14:editId="271299D2">
                  <wp:extent cx="3636813" cy="2545689"/>
                  <wp:effectExtent l="0" t="0" r="1905" b="762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a:stretch>
                            <a:fillRect/>
                          </a:stretch>
                        </pic:blipFill>
                        <pic:spPr>
                          <a:xfrm>
                            <a:off x="0" y="0"/>
                            <a:ext cx="3649748" cy="2554743"/>
                          </a:xfrm>
                          <a:prstGeom prst="rect">
                            <a:avLst/>
                          </a:prstGeom>
                        </pic:spPr>
                      </pic:pic>
                    </a:graphicData>
                  </a:graphic>
                </wp:inline>
              </w:drawing>
            </w:r>
          </w:p>
        </w:tc>
      </w:tr>
      <w:tr w:rsidR="001C303D" w14:paraId="052B36E1" w14:textId="77777777" w:rsidTr="005539D4">
        <w:trPr>
          <w:trHeight w:val="3780"/>
        </w:trPr>
        <w:tc>
          <w:tcPr>
            <w:tcW w:w="4968" w:type="dxa"/>
          </w:tcPr>
          <w:p w14:paraId="007E37B1" w14:textId="77777777" w:rsidR="001C303D" w:rsidRDefault="001C303D" w:rsidP="005539D4">
            <w:pPr>
              <w:jc w:val="center"/>
              <w:rPr>
                <w:rFonts w:ascii="Times New Roman" w:hAnsi="Times New Roman" w:cs="Times New Roman"/>
              </w:rPr>
            </w:pPr>
            <w:r w:rsidRPr="00DF7817">
              <w:rPr>
                <w:rFonts w:ascii="Times New Roman" w:hAnsi="Times New Roman" w:cs="Times New Roman"/>
                <w:noProof/>
              </w:rPr>
              <w:drawing>
                <wp:inline distT="0" distB="0" distL="0" distR="0" wp14:anchorId="0FA3D2C0" wp14:editId="1AD8D1D7">
                  <wp:extent cx="3814475" cy="2670048"/>
                  <wp:effectExtent l="0" t="0" r="0" b="0"/>
                  <wp:docPr id="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a:stretch>
                            <a:fillRect/>
                          </a:stretch>
                        </pic:blipFill>
                        <pic:spPr>
                          <a:xfrm>
                            <a:off x="0" y="0"/>
                            <a:ext cx="3823078" cy="2676070"/>
                          </a:xfrm>
                          <a:prstGeom prst="rect">
                            <a:avLst/>
                          </a:prstGeom>
                        </pic:spPr>
                      </pic:pic>
                    </a:graphicData>
                  </a:graphic>
                </wp:inline>
              </w:drawing>
            </w:r>
          </w:p>
        </w:tc>
      </w:tr>
    </w:tbl>
    <w:p w14:paraId="65E50458" w14:textId="5043D33D" w:rsidR="001C303D" w:rsidRDefault="001C303D" w:rsidP="001C303D">
      <w:pPr>
        <w:rPr>
          <w:rFonts w:ascii="Times New Roman" w:hAnsi="Times New Roman" w:cs="Times New Roman"/>
        </w:rPr>
      </w:pPr>
      <w:r w:rsidRPr="004B7D5B">
        <w:rPr>
          <w:rFonts w:ascii="Times New Roman" w:hAnsi="Times New Roman" w:cs="Times New Roman" w:hint="eastAsia"/>
          <w:b/>
          <w:bCs/>
        </w:rPr>
        <w:t xml:space="preserve">Supplementary </w:t>
      </w:r>
      <w:r w:rsidRPr="004B7D5B">
        <w:rPr>
          <w:rFonts w:ascii="Times New Roman" w:hAnsi="Times New Roman" w:cs="Times New Roman"/>
          <w:b/>
          <w:bCs/>
        </w:rPr>
        <w:t>Fig</w:t>
      </w:r>
      <w:r>
        <w:rPr>
          <w:rFonts w:ascii="Times New Roman" w:hAnsi="Times New Roman" w:cs="Times New Roman" w:hint="eastAsia"/>
          <w:b/>
          <w:bCs/>
        </w:rPr>
        <w:t>ure</w:t>
      </w:r>
      <w:r w:rsidRPr="004B7D5B">
        <w:rPr>
          <w:rFonts w:ascii="Times New Roman" w:hAnsi="Times New Roman" w:cs="Times New Roman"/>
          <w:b/>
          <w:bCs/>
        </w:rPr>
        <w:t xml:space="preserve"> </w:t>
      </w:r>
      <w:r w:rsidR="00D32C8C">
        <w:rPr>
          <w:rFonts w:ascii="Times New Roman" w:hAnsi="Times New Roman" w:cs="Times New Roman" w:hint="eastAsia"/>
          <w:b/>
          <w:bCs/>
        </w:rPr>
        <w:t>2</w:t>
      </w:r>
      <w:r>
        <w:rPr>
          <w:rFonts w:ascii="Times New Roman" w:hAnsi="Times New Roman" w:cs="Times New Roman" w:hint="eastAsia"/>
          <w:b/>
          <w:bCs/>
        </w:rPr>
        <w:t>.</w:t>
      </w:r>
      <w:r w:rsidRPr="00D410EE">
        <w:rPr>
          <w:rFonts w:ascii="Times New Roman" w:hAnsi="Times New Roman" w:cs="Times New Roman"/>
        </w:rPr>
        <w:t xml:space="preserve"> </w:t>
      </w:r>
      <w:r w:rsidRPr="00393384">
        <w:rPr>
          <w:rFonts w:ascii="Times New Roman" w:hAnsi="Times New Roman" w:cs="Times New Roman"/>
        </w:rPr>
        <w:t xml:space="preserve">Differences between the current and future potential habitats of the </w:t>
      </w:r>
      <w:proofErr w:type="spellStart"/>
      <w:r w:rsidRPr="00393384">
        <w:rPr>
          <w:rFonts w:ascii="Times New Roman" w:hAnsi="Times New Roman" w:cs="Times New Roman"/>
        </w:rPr>
        <w:t>Suweon</w:t>
      </w:r>
      <w:proofErr w:type="spellEnd"/>
      <w:r w:rsidRPr="00393384">
        <w:rPr>
          <w:rFonts w:ascii="Times New Roman" w:hAnsi="Times New Roman" w:cs="Times New Roman"/>
        </w:rPr>
        <w:t xml:space="preserve"> treefrog predicted under climate change scenarios</w:t>
      </w:r>
      <w:r>
        <w:rPr>
          <w:rFonts w:ascii="Times New Roman" w:hAnsi="Times New Roman" w:cs="Times New Roman" w:hint="eastAsia"/>
        </w:rPr>
        <w:t xml:space="preserve"> </w:t>
      </w:r>
      <w:r w:rsidRPr="00D410EE">
        <w:rPr>
          <w:rFonts w:ascii="Times New Roman" w:hAnsi="Times New Roman" w:cs="Times New Roman"/>
        </w:rPr>
        <w:t xml:space="preserve">with </w:t>
      </w:r>
      <w:r>
        <w:rPr>
          <w:rFonts w:ascii="Times New Roman" w:hAnsi="Times New Roman" w:cs="Times New Roman"/>
        </w:rPr>
        <w:t>(</w:t>
      </w:r>
      <w:r w:rsidRPr="00D410EE">
        <w:rPr>
          <w:rFonts w:ascii="Times New Roman" w:hAnsi="Times New Roman" w:cs="Times New Roman"/>
        </w:rPr>
        <w:t>a</w:t>
      </w:r>
      <w:r>
        <w:rPr>
          <w:rFonts w:ascii="Times New Roman" w:hAnsi="Times New Roman" w:cs="Times New Roman"/>
        </w:rPr>
        <w:t>-b</w:t>
      </w:r>
      <w:r w:rsidRPr="00D410EE">
        <w:rPr>
          <w:rFonts w:ascii="Times New Roman" w:hAnsi="Times New Roman" w:cs="Times New Roman"/>
        </w:rPr>
        <w:t xml:space="preserve">) </w:t>
      </w:r>
      <w:r>
        <w:rPr>
          <w:rFonts w:ascii="Times New Roman" w:hAnsi="Times New Roman" w:cs="Times New Roman"/>
        </w:rPr>
        <w:t>SSP</w:t>
      </w:r>
      <w:r w:rsidRPr="00D410EE">
        <w:rPr>
          <w:rFonts w:ascii="Times New Roman" w:hAnsi="Times New Roman" w:cs="Times New Roman"/>
        </w:rPr>
        <w:t xml:space="preserve"> </w:t>
      </w:r>
      <w:r>
        <w:rPr>
          <w:rFonts w:ascii="Times New Roman" w:hAnsi="Times New Roman" w:cs="Times New Roman"/>
        </w:rPr>
        <w:t>1-2.6</w:t>
      </w:r>
      <w:r w:rsidRPr="00D410EE">
        <w:rPr>
          <w:rFonts w:ascii="Times New Roman" w:hAnsi="Times New Roman" w:cs="Times New Roman"/>
        </w:rPr>
        <w:t xml:space="preserve">, </w:t>
      </w:r>
      <w:r>
        <w:rPr>
          <w:rFonts w:ascii="Times New Roman" w:hAnsi="Times New Roman" w:cs="Times New Roman"/>
        </w:rPr>
        <w:t>(c-d) SSP3-7.0, (d-e) SSP5-8.5, (</w:t>
      </w:r>
      <w:r>
        <w:rPr>
          <w:rFonts w:ascii="Times New Roman" w:hAnsi="Times New Roman" w:cs="Times New Roman" w:hint="eastAsia"/>
        </w:rPr>
        <w:t xml:space="preserve">a, </w:t>
      </w:r>
      <w:r>
        <w:rPr>
          <w:rFonts w:ascii="Times New Roman" w:hAnsi="Times New Roman" w:cs="Times New Roman"/>
        </w:rPr>
        <w:t xml:space="preserve">c, e) 2050s and (b, d, f) 2080s. The </w:t>
      </w:r>
      <w:r>
        <w:rPr>
          <w:rFonts w:ascii="Times New Roman" w:hAnsi="Times New Roman" w:cs="Times New Roman" w:hint="eastAsia"/>
        </w:rPr>
        <w:t>Redder</w:t>
      </w:r>
      <w:r>
        <w:rPr>
          <w:rFonts w:ascii="Times New Roman" w:hAnsi="Times New Roman" w:cs="Times New Roman"/>
        </w:rPr>
        <w:t xml:space="preserve"> the area, the higher the future habitat suitability; the bluer the area, the greater the current suitability</w:t>
      </w:r>
      <w:r w:rsidRPr="00D81F73">
        <w:rPr>
          <w:rFonts w:ascii="Times New Roman" w:hAnsi="Times New Roman" w:cs="Times New Roman"/>
        </w:rPr>
        <w:t>.</w:t>
      </w:r>
    </w:p>
    <w:p w14:paraId="00E75FAC" w14:textId="77777777" w:rsidR="00D32C8C" w:rsidRDefault="00D32C8C" w:rsidP="005D215F">
      <w:pPr>
        <w:sectPr w:rsidR="00D32C8C" w:rsidSect="00EF5470">
          <w:pgSz w:w="11906" w:h="16838"/>
          <w:pgMar w:top="1701" w:right="1440" w:bottom="1440" w:left="1440" w:header="851" w:footer="992" w:gutter="0"/>
          <w:cols w:space="425"/>
          <w:docGrid w:linePitch="360"/>
        </w:sectPr>
      </w:pPr>
    </w:p>
    <w:p w14:paraId="3B4A2912" w14:textId="2F0F817D" w:rsidR="00647015" w:rsidRDefault="00647015" w:rsidP="005D215F"/>
    <w:tbl>
      <w:tblPr>
        <w:tblpPr w:leftFromText="142" w:rightFromText="142" w:vertAnchor="text" w:horzAnchor="margin" w:tblpY="-17"/>
        <w:tblW w:w="5000" w:type="pct"/>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567"/>
        <w:gridCol w:w="2411"/>
        <w:gridCol w:w="992"/>
        <w:gridCol w:w="1419"/>
        <w:gridCol w:w="1416"/>
        <w:gridCol w:w="6892"/>
      </w:tblGrid>
      <w:tr w:rsidR="006B73DE" w:rsidRPr="00EF5470" w14:paraId="6CA41670" w14:textId="77777777" w:rsidTr="006B73DE">
        <w:trPr>
          <w:trHeight w:val="330"/>
        </w:trPr>
        <w:tc>
          <w:tcPr>
            <w:tcW w:w="207" w:type="pct"/>
            <w:noWrap/>
            <w:vAlign w:val="center"/>
            <w:hideMark/>
          </w:tcPr>
          <w:p w14:paraId="470A8156"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No.</w:t>
            </w:r>
          </w:p>
        </w:tc>
        <w:tc>
          <w:tcPr>
            <w:tcW w:w="880" w:type="pct"/>
            <w:noWrap/>
            <w:vAlign w:val="center"/>
            <w:hideMark/>
          </w:tcPr>
          <w:p w14:paraId="79108805" w14:textId="77777777" w:rsidR="006B73DE"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 xml:space="preserve">Authors, </w:t>
            </w:r>
          </w:p>
          <w:p w14:paraId="0A3F287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year of publ</w:t>
            </w:r>
            <w:r>
              <w:rPr>
                <w:rFonts w:ascii="Times New Roman" w:eastAsia="맑은 고딕" w:hAnsi="Times New Roman" w:cs="Times New Roman"/>
                <w:b/>
                <w:bCs/>
                <w:color w:val="000000"/>
                <w:kern w:val="0"/>
                <w:szCs w:val="20"/>
              </w:rPr>
              <w:t>ication</w:t>
            </w:r>
          </w:p>
        </w:tc>
        <w:tc>
          <w:tcPr>
            <w:tcW w:w="362" w:type="pct"/>
            <w:noWrap/>
            <w:vAlign w:val="center"/>
            <w:hideMark/>
          </w:tcPr>
          <w:p w14:paraId="340058C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No. of Study Location</w:t>
            </w:r>
          </w:p>
        </w:tc>
        <w:tc>
          <w:tcPr>
            <w:tcW w:w="518" w:type="pct"/>
            <w:noWrap/>
            <w:vAlign w:val="center"/>
            <w:hideMark/>
          </w:tcPr>
          <w:p w14:paraId="0C5B0505"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No. of presence sites</w:t>
            </w:r>
          </w:p>
        </w:tc>
        <w:tc>
          <w:tcPr>
            <w:tcW w:w="517" w:type="pct"/>
            <w:noWrap/>
            <w:vAlign w:val="center"/>
            <w:hideMark/>
          </w:tcPr>
          <w:p w14:paraId="1ADC36CF"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No. of absence sites</w:t>
            </w:r>
          </w:p>
        </w:tc>
        <w:tc>
          <w:tcPr>
            <w:tcW w:w="2516" w:type="pct"/>
            <w:noWrap/>
            <w:vAlign w:val="center"/>
            <w:hideMark/>
          </w:tcPr>
          <w:p w14:paraId="0D2F5A3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F5470">
              <w:rPr>
                <w:rFonts w:ascii="Times New Roman" w:eastAsia="맑은 고딕" w:hAnsi="Times New Roman" w:cs="Times New Roman"/>
                <w:b/>
                <w:bCs/>
                <w:color w:val="000000"/>
                <w:kern w:val="0"/>
                <w:szCs w:val="20"/>
              </w:rPr>
              <w:t>Title</w:t>
            </w:r>
          </w:p>
        </w:tc>
      </w:tr>
      <w:tr w:rsidR="006B73DE" w:rsidRPr="00EF5470" w14:paraId="3EC926F7" w14:textId="77777777" w:rsidTr="006B73DE">
        <w:trPr>
          <w:trHeight w:val="330"/>
        </w:trPr>
        <w:tc>
          <w:tcPr>
            <w:tcW w:w="207" w:type="pct"/>
            <w:noWrap/>
            <w:vAlign w:val="center"/>
            <w:hideMark/>
          </w:tcPr>
          <w:p w14:paraId="6DFDC49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880" w:type="pct"/>
            <w:noWrap/>
            <w:vAlign w:val="center"/>
            <w:hideMark/>
          </w:tcPr>
          <w:p w14:paraId="3B6ACE82"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{"citationID":"Z0G8WmpI","properties":{"formattedCitation":"(Borz\\uc0\\u233{}e et al., 2017)","plainCitation":"(Borzée et al., 2017)","noteIndex":0},"citationItems":[{"id":137,"uris":["http://zotero.org/users/15429250/items/QH2IHLWY"],"itemData":{"id":137,"type":"article-journal","container-title":"PeerJ","note":"publisher: PeerJ Inc.","page":"e3872","source":"Google Scholar","title":"Impact of land reclamation and agricultural water regime on the distribution and conservation status of the endangered Dryophytes suweonensis","volume":"5","author":[{"family":"Borzée","given":"Amaël"},{"family":"Kim","given":"Kyungmin"},{"family":"Heo","given":"Kyongman"},{"family":"Jablonski","given":"Piotr G."},{"family":"Jang","given":"Yikweon"}],"issued":{"date-parts":[["2017"]]}}}],"schema":"https://github.com/citation-style-language/schema/raw/master/csl-citation.json"}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kern w:val="0"/>
                <w:szCs w:val="24"/>
              </w:rPr>
              <w:t>Borzée et al., 2017</w:t>
            </w:r>
            <w:r>
              <w:rPr>
                <w:rFonts w:ascii="Times New Roman" w:eastAsia="맑은 고딕" w:hAnsi="Times New Roman" w:cs="Times New Roman"/>
                <w:color w:val="000000"/>
                <w:kern w:val="0"/>
                <w:szCs w:val="20"/>
              </w:rPr>
              <w:fldChar w:fldCharType="end"/>
            </w:r>
          </w:p>
        </w:tc>
        <w:tc>
          <w:tcPr>
            <w:tcW w:w="362" w:type="pct"/>
            <w:noWrap/>
            <w:vAlign w:val="center"/>
            <w:hideMark/>
          </w:tcPr>
          <w:p w14:paraId="0B81375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2</w:t>
            </w:r>
          </w:p>
        </w:tc>
        <w:tc>
          <w:tcPr>
            <w:tcW w:w="518" w:type="pct"/>
            <w:noWrap/>
            <w:vAlign w:val="center"/>
            <w:hideMark/>
          </w:tcPr>
          <w:p w14:paraId="773567A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517" w:type="pct"/>
            <w:noWrap/>
            <w:vAlign w:val="center"/>
            <w:hideMark/>
          </w:tcPr>
          <w:p w14:paraId="56D5C04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2</w:t>
            </w:r>
          </w:p>
        </w:tc>
        <w:tc>
          <w:tcPr>
            <w:tcW w:w="2516" w:type="pct"/>
            <w:noWrap/>
            <w:vAlign w:val="center"/>
            <w:hideMark/>
          </w:tcPr>
          <w:p w14:paraId="613EBC42"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Impact of land reclamation and agricultural water regime on the distribution and conservation status of the endangered </w:t>
            </w:r>
            <w:proofErr w:type="spellStart"/>
            <w:r w:rsidRPr="00382F03">
              <w:rPr>
                <w:rFonts w:ascii="Times New Roman" w:eastAsia="맑은 고딕" w:hAnsi="Times New Roman" w:cs="Times New Roman"/>
                <w:i/>
                <w:color w:val="000000"/>
                <w:kern w:val="0"/>
                <w:szCs w:val="20"/>
              </w:rPr>
              <w:t>Dryophytes</w:t>
            </w:r>
            <w:proofErr w:type="spellEnd"/>
            <w:r w:rsidRPr="00382F03">
              <w:rPr>
                <w:rFonts w:ascii="Times New Roman" w:eastAsia="맑은 고딕" w:hAnsi="Times New Roman" w:cs="Times New Roman"/>
                <w:i/>
                <w:color w:val="000000"/>
                <w:kern w:val="0"/>
                <w:szCs w:val="20"/>
              </w:rPr>
              <w:t xml:space="preserve"> </w:t>
            </w:r>
            <w:proofErr w:type="spellStart"/>
            <w:r w:rsidRPr="00382F03">
              <w:rPr>
                <w:rFonts w:ascii="Times New Roman" w:eastAsia="맑은 고딕" w:hAnsi="Times New Roman" w:cs="Times New Roman"/>
                <w:i/>
                <w:color w:val="000000"/>
                <w:kern w:val="0"/>
                <w:szCs w:val="20"/>
              </w:rPr>
              <w:t>suweonensis</w:t>
            </w:r>
            <w:proofErr w:type="spellEnd"/>
          </w:p>
        </w:tc>
      </w:tr>
      <w:tr w:rsidR="006B73DE" w:rsidRPr="00EF5470" w14:paraId="7AC73DA2" w14:textId="77777777" w:rsidTr="006B73DE">
        <w:trPr>
          <w:trHeight w:val="330"/>
        </w:trPr>
        <w:tc>
          <w:tcPr>
            <w:tcW w:w="207" w:type="pct"/>
            <w:noWrap/>
            <w:vAlign w:val="center"/>
            <w:hideMark/>
          </w:tcPr>
          <w:p w14:paraId="45E8964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2</w:t>
            </w:r>
          </w:p>
        </w:tc>
        <w:tc>
          <w:tcPr>
            <w:tcW w:w="880" w:type="pct"/>
            <w:noWrap/>
            <w:vAlign w:val="center"/>
            <w:hideMark/>
          </w:tcPr>
          <w:p w14:paraId="06DA767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{"citationID":"U379ZRa7","properties":{"formattedCitation":"(Borz\\uc0\\u233{}e et al., 2013)","plainCitation":"(Borzée et al., 2013)","noteIndex":0},"citationItems":[{"id":599,"uris":["http://zotero.org/users/15429250/items/FSNXTZP7"],"itemData":{"id":599,"type":"article-journal","container-title":"Animal Cells and Systems","DOI":"10.1080/19768354.2013.842931","ISSN":"1976-8354, 2151-2485","issue":"5","journalAbbreviation":"Animal Cells and Systems","language":"en","page":"348-356","source":"DOI.org (Crossref)","title":"Morphometrics of two sympatric species of tree frogs in Korea: a morphological key for the critically endangered &lt;i&gt;Hyla suweonensis&lt;/i&gt; in relation to &lt;i&gt;H. japonica&lt;/i&gt;","title-short":"Morphometrics of two sympatric species of tree frogs in Korea","volume":"17","author":[{"family":"Borzée","given":"Amaёl"},{"family":"Park","given":"Soyeon"},{"family":"Kim","given":"Ahbin"},{"family":"Kim","given":"Hyun-Tae"},{"family":"Jang","given":"Yikweon"}],"issued":{"date-parts":[["2013",10]]}}}],"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22295C">
              <w:rPr>
                <w:rFonts w:ascii="Times New Roman" w:hAnsi="Times New Roman" w:cs="Times New Roman"/>
                <w:kern w:val="0"/>
                <w:szCs w:val="24"/>
              </w:rPr>
              <w:t>Borzée et al., 2013</w:t>
            </w:r>
            <w:r>
              <w:rPr>
                <w:rFonts w:ascii="Times New Roman" w:eastAsia="맑은 고딕" w:hAnsi="Times New Roman" w:cs="Times New Roman"/>
                <w:color w:val="000000"/>
                <w:kern w:val="0"/>
                <w:szCs w:val="20"/>
              </w:rPr>
              <w:fldChar w:fldCharType="end"/>
            </w:r>
          </w:p>
        </w:tc>
        <w:tc>
          <w:tcPr>
            <w:tcW w:w="362" w:type="pct"/>
            <w:vMerge w:val="restart"/>
            <w:noWrap/>
            <w:vAlign w:val="center"/>
            <w:hideMark/>
          </w:tcPr>
          <w:p w14:paraId="05FE939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7</w:t>
            </w:r>
          </w:p>
        </w:tc>
        <w:tc>
          <w:tcPr>
            <w:tcW w:w="518" w:type="pct"/>
            <w:vMerge w:val="restart"/>
            <w:noWrap/>
            <w:vAlign w:val="center"/>
            <w:hideMark/>
          </w:tcPr>
          <w:p w14:paraId="126FABDF"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5</w:t>
            </w:r>
          </w:p>
        </w:tc>
        <w:tc>
          <w:tcPr>
            <w:tcW w:w="517" w:type="pct"/>
            <w:vMerge w:val="restart"/>
            <w:noWrap/>
            <w:vAlign w:val="center"/>
            <w:hideMark/>
          </w:tcPr>
          <w:p w14:paraId="6121321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2</w:t>
            </w:r>
          </w:p>
        </w:tc>
        <w:tc>
          <w:tcPr>
            <w:tcW w:w="2516" w:type="pct"/>
            <w:noWrap/>
            <w:vAlign w:val="center"/>
            <w:hideMark/>
          </w:tcPr>
          <w:p w14:paraId="518BC9BD"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Morphometrics of two sympatric species of tree frogs in Korea: a morphological key for the critically endangered </w:t>
            </w:r>
            <w:r w:rsidRPr="00EF5470">
              <w:rPr>
                <w:rFonts w:ascii="Times New Roman" w:eastAsia="맑은 고딕" w:hAnsi="Times New Roman" w:cs="Times New Roman"/>
                <w:i/>
                <w:color w:val="000000"/>
                <w:kern w:val="0"/>
                <w:szCs w:val="20"/>
              </w:rPr>
              <w:t xml:space="preserve">Hyla </w:t>
            </w:r>
            <w:proofErr w:type="spellStart"/>
            <w:r w:rsidRPr="00EF5470">
              <w:rPr>
                <w:rFonts w:ascii="Times New Roman" w:eastAsia="맑은 고딕" w:hAnsi="Times New Roman" w:cs="Times New Roman"/>
                <w:i/>
                <w:color w:val="000000"/>
                <w:kern w:val="0"/>
                <w:szCs w:val="20"/>
              </w:rPr>
              <w:t>suweonensis</w:t>
            </w:r>
            <w:proofErr w:type="spellEnd"/>
            <w:r w:rsidRPr="00EF5470">
              <w:rPr>
                <w:rFonts w:ascii="Times New Roman" w:eastAsia="맑은 고딕" w:hAnsi="Times New Roman" w:cs="Times New Roman"/>
                <w:color w:val="000000"/>
                <w:kern w:val="0"/>
                <w:szCs w:val="20"/>
              </w:rPr>
              <w:t xml:space="preserve"> in relation to </w:t>
            </w:r>
            <w:r w:rsidRPr="00EF5470">
              <w:rPr>
                <w:rFonts w:ascii="Times New Roman" w:eastAsia="맑은 고딕" w:hAnsi="Times New Roman" w:cs="Times New Roman"/>
                <w:i/>
                <w:color w:val="000000"/>
                <w:kern w:val="0"/>
                <w:szCs w:val="20"/>
              </w:rPr>
              <w:t>H. japonica</w:t>
            </w:r>
          </w:p>
        </w:tc>
      </w:tr>
      <w:tr w:rsidR="006B73DE" w:rsidRPr="00EF5470" w14:paraId="62EA26E1" w14:textId="77777777" w:rsidTr="006B73DE">
        <w:trPr>
          <w:trHeight w:val="330"/>
        </w:trPr>
        <w:tc>
          <w:tcPr>
            <w:tcW w:w="207" w:type="pct"/>
            <w:noWrap/>
            <w:vAlign w:val="center"/>
            <w:hideMark/>
          </w:tcPr>
          <w:p w14:paraId="4894783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3</w:t>
            </w:r>
          </w:p>
        </w:tc>
        <w:tc>
          <w:tcPr>
            <w:tcW w:w="880" w:type="pct"/>
            <w:noWrap/>
            <w:vAlign w:val="center"/>
          </w:tcPr>
          <w:p w14:paraId="02D4ECA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{"citationID":"vpCWWz0E","properties":{"formattedCitation":"(Jang et al., 2011)","plainCitation":"(Jang et al., 2011)","noteIndex":0},"citationItems":[{"id":586,"uris":["http://zotero.org/users/15429250/items/2R5RDXM5"],"itemData":{"id":586,"type":"article-journal","container-title":"PloS one","issue":"8","note":"publisher: Public Library of Science San Francisco, USA","page":"e23297","source":"Google Scholar","title":"Geographic variation in advertisement calls in a tree frog species: gene flow and selection hypotheses","title-short":"Geographic variation in advertisement calls in a tree frog species","volume":"6","author":[{"family":"Jang","given":"Yikweon"},{"family":"Hahm","given":"Eun Hye"},{"family":"Lee","given":"Hyun-Jung"},{"family":"Park","given":"Soyeon"},{"family":"Won","given":"Yong-Jin"},{"family":"Choe","given":"Jae C."}],"issued":{"date-parts":[["2011"]]}}}],"schema":"https://github.com/citation-style-language/schema/raw/master/csl-citation.json"}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rPr>
              <w:t>Jang et al., 2011</w:t>
            </w:r>
            <w:r>
              <w:rPr>
                <w:rFonts w:ascii="Times New Roman" w:eastAsia="맑은 고딕" w:hAnsi="Times New Roman" w:cs="Times New Roman"/>
                <w:color w:val="000000"/>
                <w:kern w:val="0"/>
                <w:szCs w:val="20"/>
              </w:rPr>
              <w:fldChar w:fldCharType="end"/>
            </w:r>
          </w:p>
        </w:tc>
        <w:tc>
          <w:tcPr>
            <w:tcW w:w="362" w:type="pct"/>
            <w:vMerge/>
            <w:vAlign w:val="center"/>
            <w:hideMark/>
          </w:tcPr>
          <w:p w14:paraId="3D87F3F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8" w:type="pct"/>
            <w:vMerge/>
            <w:vAlign w:val="center"/>
            <w:hideMark/>
          </w:tcPr>
          <w:p w14:paraId="23A681F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7" w:type="pct"/>
            <w:vMerge/>
            <w:vAlign w:val="center"/>
            <w:hideMark/>
          </w:tcPr>
          <w:p w14:paraId="45D5365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2516" w:type="pct"/>
            <w:noWrap/>
            <w:vAlign w:val="center"/>
            <w:hideMark/>
          </w:tcPr>
          <w:p w14:paraId="1F92EF11"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202020"/>
                <w:kern w:val="0"/>
                <w:szCs w:val="20"/>
              </w:rPr>
            </w:pPr>
            <w:r w:rsidRPr="00EF5470">
              <w:rPr>
                <w:rFonts w:ascii="Times New Roman" w:eastAsia="맑은 고딕" w:hAnsi="Times New Roman" w:cs="Times New Roman"/>
                <w:color w:val="202020"/>
                <w:kern w:val="0"/>
                <w:szCs w:val="20"/>
              </w:rPr>
              <w:t>Geographic Variation in Advertisement Calls in a Tree Frog Species: Gene Flow and Selection Hypotheses</w:t>
            </w:r>
          </w:p>
        </w:tc>
      </w:tr>
      <w:tr w:rsidR="006B73DE" w:rsidRPr="00EF5470" w14:paraId="6FED9F57" w14:textId="77777777" w:rsidTr="006B73DE">
        <w:trPr>
          <w:trHeight w:val="330"/>
        </w:trPr>
        <w:tc>
          <w:tcPr>
            <w:tcW w:w="207" w:type="pct"/>
            <w:noWrap/>
            <w:vAlign w:val="center"/>
            <w:hideMark/>
          </w:tcPr>
          <w:p w14:paraId="4BE27F6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4</w:t>
            </w:r>
          </w:p>
        </w:tc>
        <w:tc>
          <w:tcPr>
            <w:tcW w:w="880" w:type="pct"/>
            <w:noWrap/>
            <w:vAlign w:val="center"/>
          </w:tcPr>
          <w:p w14:paraId="4B3F2B7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{"citationID":"lAlEZAGb","properties":{"formattedCitation":"(Park et al., 2013)","plainCitation":"(Park et al., 2013)","noteIndex":0},"citationItems":[{"id":584,"uris":["http://zotero.org/users/15429250/items/GNGEN9V2"],"itemData":{"id":584,"type":"article-journal","container-title":"Behavioral Ecology and Sociobiology","DOI":"10.1007/s00265-013-1563-0","ISSN":"0340-5443, 1432-0762","issue":"8","journalAbbreviation":"Behav Ecol Sociobiol","language":"en","license":"http://www.springer.com/tdm","page":"1345-1355","source":"DOI.org (Crossref)","title":"No reproductive character displacement in male advertisement signals of Hyla japonica in relation to the sympatric H. suweonensis","volume":"67","author":[{"family":"Park","given":"Soyeon"},{"family":"Jeong","given":"Gilsang"},{"family":"Jang","given":"Yikweon"}],"issued":{"date-parts":[["2013",8]]}}}],"schema":"https://github.com/citation-style-language/schema/raw/master/csl-citation.json"}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rPr>
              <w:t>Park et al., 2013</w:t>
            </w:r>
            <w:r>
              <w:rPr>
                <w:rFonts w:ascii="Times New Roman" w:eastAsia="맑은 고딕" w:hAnsi="Times New Roman" w:cs="Times New Roman"/>
                <w:color w:val="000000"/>
                <w:kern w:val="0"/>
                <w:szCs w:val="20"/>
              </w:rPr>
              <w:fldChar w:fldCharType="end"/>
            </w:r>
          </w:p>
        </w:tc>
        <w:tc>
          <w:tcPr>
            <w:tcW w:w="362" w:type="pct"/>
            <w:vMerge/>
            <w:vAlign w:val="center"/>
            <w:hideMark/>
          </w:tcPr>
          <w:p w14:paraId="5173A79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8" w:type="pct"/>
            <w:vMerge/>
            <w:vAlign w:val="center"/>
            <w:hideMark/>
          </w:tcPr>
          <w:p w14:paraId="5CF1DFA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517" w:type="pct"/>
            <w:vMerge/>
            <w:vAlign w:val="center"/>
            <w:hideMark/>
          </w:tcPr>
          <w:p w14:paraId="461E6E5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p>
        </w:tc>
        <w:tc>
          <w:tcPr>
            <w:tcW w:w="2516" w:type="pct"/>
            <w:noWrap/>
            <w:vAlign w:val="center"/>
            <w:hideMark/>
          </w:tcPr>
          <w:p w14:paraId="187C3443"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No reproductive character displacement in male advertisement signals of </w:t>
            </w:r>
            <w:r w:rsidRPr="00382F03">
              <w:rPr>
                <w:rFonts w:ascii="Times New Roman" w:eastAsia="맑은 고딕" w:hAnsi="Times New Roman" w:cs="Times New Roman"/>
                <w:i/>
                <w:color w:val="000000"/>
                <w:kern w:val="0"/>
                <w:szCs w:val="20"/>
              </w:rPr>
              <w:t>Hyla japonica</w:t>
            </w:r>
            <w:r w:rsidRPr="00EF5470">
              <w:rPr>
                <w:rFonts w:ascii="Times New Roman" w:eastAsia="맑은 고딕" w:hAnsi="Times New Roman" w:cs="Times New Roman"/>
                <w:color w:val="000000"/>
                <w:kern w:val="0"/>
                <w:szCs w:val="20"/>
              </w:rPr>
              <w:t xml:space="preserve"> in relation to the sympatric </w:t>
            </w:r>
            <w:r w:rsidRPr="00382F03">
              <w:rPr>
                <w:rFonts w:ascii="Times New Roman" w:eastAsia="맑은 고딕" w:hAnsi="Times New Roman" w:cs="Times New Roman"/>
                <w:i/>
                <w:color w:val="000000"/>
                <w:kern w:val="0"/>
                <w:szCs w:val="20"/>
              </w:rPr>
              <w:t xml:space="preserve">H. </w:t>
            </w:r>
            <w:proofErr w:type="spellStart"/>
            <w:r w:rsidRPr="00382F03">
              <w:rPr>
                <w:rFonts w:ascii="Times New Roman" w:eastAsia="맑은 고딕" w:hAnsi="Times New Roman" w:cs="Times New Roman"/>
                <w:i/>
                <w:color w:val="000000"/>
                <w:kern w:val="0"/>
                <w:szCs w:val="20"/>
              </w:rPr>
              <w:t>suweonensis</w:t>
            </w:r>
            <w:proofErr w:type="spellEnd"/>
          </w:p>
        </w:tc>
      </w:tr>
      <w:tr w:rsidR="006B73DE" w:rsidRPr="00EF5470" w14:paraId="5A44AABC" w14:textId="77777777" w:rsidTr="006B73DE">
        <w:trPr>
          <w:trHeight w:val="330"/>
        </w:trPr>
        <w:tc>
          <w:tcPr>
            <w:tcW w:w="207" w:type="pct"/>
            <w:noWrap/>
            <w:vAlign w:val="center"/>
            <w:hideMark/>
          </w:tcPr>
          <w:p w14:paraId="0A06C4DE"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5</w:t>
            </w:r>
          </w:p>
        </w:tc>
        <w:tc>
          <w:tcPr>
            <w:tcW w:w="880" w:type="pct"/>
            <w:noWrap/>
            <w:vAlign w:val="center"/>
          </w:tcPr>
          <w:p w14:paraId="40BB40A8"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{"citationID":"ZpAtMeZE","properties":{"formattedCitation":"(Koo et al., 2022)","plainCitation":"(Koo et al., 2022)","noteIndex":0},"citationItems":[{"id":588,"uris":["http://zotero.org/users/15429250/items/AURUGVXA"],"itemData":{"id":588,"type":"article-journal","container-title":"Russian Journal of Herpetology","issue":"3","page":"187–190","source":"Google Scholar","title":"A Report on the Largest Population of a Critically Endangered Treefrog, Dryophytes suweonensis, in Republic of Korea","volume":"29","author":[{"family":"Koo","given":"Kyo Soung"},{"family":"Do","given":"Min Seock"},{"family":"Yoo","given":"Nakyung"},{"family":"Sung","given":"Ha-Cheol"}],"issued":{"date-parts":[["2022"]]}}}],"schema":"https://github.com/citation-style-language/schema/raw/master/csl-citation.json"}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rPr>
              <w:t>Koo et al., 2022</w:t>
            </w:r>
            <w:r>
              <w:rPr>
                <w:rFonts w:ascii="Times New Roman" w:eastAsia="맑은 고딕" w:hAnsi="Times New Roman" w:cs="Times New Roman"/>
                <w:color w:val="000000"/>
                <w:kern w:val="0"/>
                <w:szCs w:val="20"/>
              </w:rPr>
              <w:fldChar w:fldCharType="end"/>
            </w:r>
          </w:p>
        </w:tc>
        <w:tc>
          <w:tcPr>
            <w:tcW w:w="362" w:type="pct"/>
            <w:noWrap/>
            <w:vAlign w:val="center"/>
            <w:hideMark/>
          </w:tcPr>
          <w:p w14:paraId="6AAC35D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8" w:type="pct"/>
            <w:noWrap/>
            <w:vAlign w:val="center"/>
            <w:hideMark/>
          </w:tcPr>
          <w:p w14:paraId="6B9B280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7" w:type="pct"/>
            <w:noWrap/>
            <w:vAlign w:val="center"/>
            <w:hideMark/>
          </w:tcPr>
          <w:p w14:paraId="3A5BEFC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740AB813"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A REPORT ON THE LARGEST POPULATION OF A CRITICALLY ENDANGERED</w:t>
            </w:r>
            <w:r>
              <w:rPr>
                <w:rFonts w:ascii="Times New Roman" w:eastAsia="맑은 고딕" w:hAnsi="Times New Roman" w:cs="Times New Roman"/>
                <w:color w:val="000000"/>
                <w:kern w:val="0"/>
                <w:szCs w:val="20"/>
              </w:rPr>
              <w:t xml:space="preserve"> </w:t>
            </w:r>
            <w:r w:rsidRPr="00EF5470">
              <w:rPr>
                <w:rFonts w:ascii="Times New Roman" w:eastAsia="맑은 고딕" w:hAnsi="Times New Roman" w:cs="Times New Roman"/>
                <w:color w:val="000000"/>
                <w:kern w:val="0"/>
                <w:szCs w:val="20"/>
              </w:rPr>
              <w:t xml:space="preserve">TREEFROG, </w:t>
            </w:r>
            <w:proofErr w:type="spellStart"/>
            <w:r w:rsidRPr="00EF5470">
              <w:rPr>
                <w:rFonts w:ascii="Times New Roman" w:eastAsia="맑은 고딕" w:hAnsi="Times New Roman" w:cs="Times New Roman"/>
                <w:color w:val="000000"/>
                <w:kern w:val="0"/>
                <w:szCs w:val="20"/>
              </w:rPr>
              <w:t>Dryophytes</w:t>
            </w:r>
            <w:proofErr w:type="spellEnd"/>
            <w:r w:rsidRPr="00EF5470">
              <w:rPr>
                <w:rFonts w:ascii="Times New Roman" w:eastAsia="맑은 고딕" w:hAnsi="Times New Roman" w:cs="Times New Roman"/>
                <w:color w:val="000000"/>
                <w:kern w:val="0"/>
                <w:szCs w:val="20"/>
              </w:rPr>
              <w:t xml:space="preserve"> </w:t>
            </w:r>
            <w:proofErr w:type="spellStart"/>
            <w:r w:rsidRPr="00EF5470">
              <w:rPr>
                <w:rFonts w:ascii="Times New Roman" w:eastAsia="맑은 고딕" w:hAnsi="Times New Roman" w:cs="Times New Roman"/>
                <w:color w:val="000000"/>
                <w:kern w:val="0"/>
                <w:szCs w:val="20"/>
              </w:rPr>
              <w:t>suweonensis</w:t>
            </w:r>
            <w:proofErr w:type="spellEnd"/>
            <w:r w:rsidRPr="00EF5470">
              <w:rPr>
                <w:rFonts w:ascii="Times New Roman" w:eastAsia="맑은 고딕" w:hAnsi="Times New Roman" w:cs="Times New Roman"/>
                <w:color w:val="000000"/>
                <w:kern w:val="0"/>
                <w:szCs w:val="20"/>
              </w:rPr>
              <w:t>, IN REPUBLIC OF KOREA</w:t>
            </w:r>
          </w:p>
        </w:tc>
      </w:tr>
      <w:tr w:rsidR="006B73DE" w:rsidRPr="00EF5470" w14:paraId="61FB86AB" w14:textId="77777777" w:rsidTr="006B73DE">
        <w:trPr>
          <w:trHeight w:val="330"/>
        </w:trPr>
        <w:tc>
          <w:tcPr>
            <w:tcW w:w="207" w:type="pct"/>
            <w:noWrap/>
            <w:vAlign w:val="center"/>
            <w:hideMark/>
          </w:tcPr>
          <w:p w14:paraId="1756D5A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6</w:t>
            </w:r>
          </w:p>
        </w:tc>
        <w:tc>
          <w:tcPr>
            <w:tcW w:w="880" w:type="pct"/>
            <w:noWrap/>
            <w:vAlign w:val="center"/>
            <w:hideMark/>
          </w:tcPr>
          <w:p w14:paraId="794E211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National</w:t>
            </w:r>
            <w:r>
              <w:rPr>
                <w:rFonts w:ascii="Times New Roman" w:eastAsia="맑은 고딕" w:hAnsi="Times New Roman" w:cs="Times New Roman"/>
                <w:color w:val="000000"/>
                <w:kern w:val="0"/>
                <w:szCs w:val="20"/>
              </w:rPr>
              <w:t xml:space="preserve"> </w:t>
            </w:r>
            <w:proofErr w:type="spellStart"/>
            <w:r>
              <w:rPr>
                <w:rFonts w:ascii="Times New Roman" w:eastAsia="맑은 고딕" w:hAnsi="Times New Roman" w:cs="Times New Roman" w:hint="eastAsia"/>
                <w:color w:val="000000"/>
                <w:kern w:val="0"/>
                <w:szCs w:val="20"/>
              </w:rPr>
              <w:t>Institue</w:t>
            </w:r>
            <w:proofErr w:type="spellEnd"/>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of</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Biological</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Resources,</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2013</w:t>
            </w:r>
            <w:r>
              <w:rPr>
                <w:rFonts w:ascii="Times New Roman" w:eastAsia="맑은 고딕" w:hAnsi="Times New Roman" w:cs="Times New Roman"/>
                <w:color w:val="000000"/>
                <w:kern w:val="0"/>
                <w:szCs w:val="20"/>
              </w:rPr>
              <w:t xml:space="preserve"> </w:t>
            </w:r>
          </w:p>
        </w:tc>
        <w:tc>
          <w:tcPr>
            <w:tcW w:w="362" w:type="pct"/>
            <w:noWrap/>
            <w:vAlign w:val="center"/>
            <w:hideMark/>
          </w:tcPr>
          <w:p w14:paraId="4558FBA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42</w:t>
            </w:r>
          </w:p>
        </w:tc>
        <w:tc>
          <w:tcPr>
            <w:tcW w:w="518" w:type="pct"/>
            <w:noWrap/>
            <w:vAlign w:val="center"/>
            <w:hideMark/>
          </w:tcPr>
          <w:p w14:paraId="01BBE0D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42</w:t>
            </w:r>
          </w:p>
        </w:tc>
        <w:tc>
          <w:tcPr>
            <w:tcW w:w="517" w:type="pct"/>
            <w:noWrap/>
            <w:vAlign w:val="center"/>
            <w:hideMark/>
          </w:tcPr>
          <w:p w14:paraId="1FAE169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74A46675"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Final</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Research</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Report</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the</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Conservation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Breeding</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and</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Restoration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of</w:t>
            </w:r>
            <w:r>
              <w:rPr>
                <w:rFonts w:ascii="Times New Roman" w:eastAsia="맑은 고딕" w:hAnsi="Times New Roman" w:cs="Times New Roman"/>
                <w:color w:val="000000"/>
                <w:kern w:val="0"/>
                <w:szCs w:val="20"/>
              </w:rPr>
              <w:t xml:space="preserve"> </w:t>
            </w:r>
            <w:proofErr w:type="spellStart"/>
            <w:r>
              <w:rPr>
                <w:rFonts w:ascii="Times New Roman" w:eastAsia="맑은 고딕" w:hAnsi="Times New Roman" w:cs="Times New Roman" w:hint="eastAsia"/>
                <w:i/>
                <w:color w:val="000000"/>
                <w:kern w:val="0"/>
                <w:szCs w:val="20"/>
              </w:rPr>
              <w:t>Dryop</w:t>
            </w:r>
            <w:r>
              <w:rPr>
                <w:rFonts w:ascii="Times New Roman" w:eastAsia="맑은 고딕" w:hAnsi="Times New Roman" w:cs="Times New Roman"/>
                <w:i/>
                <w:color w:val="000000"/>
                <w:kern w:val="0"/>
                <w:szCs w:val="20"/>
              </w:rPr>
              <w:t>hytes</w:t>
            </w:r>
            <w:proofErr w:type="spellEnd"/>
            <w:r>
              <w:rPr>
                <w:rFonts w:ascii="Times New Roman" w:eastAsia="맑은 고딕" w:hAnsi="Times New Roman" w:cs="Times New Roman"/>
                <w:i/>
                <w:color w:val="000000"/>
                <w:kern w:val="0"/>
                <w:szCs w:val="20"/>
              </w:rPr>
              <w:t xml:space="preserve"> </w:t>
            </w:r>
            <w:proofErr w:type="spellStart"/>
            <w:r>
              <w:rPr>
                <w:rFonts w:ascii="Times New Roman" w:eastAsia="맑은 고딕" w:hAnsi="Times New Roman" w:cs="Times New Roman"/>
                <w:i/>
                <w:color w:val="000000"/>
                <w:kern w:val="0"/>
                <w:szCs w:val="20"/>
              </w:rPr>
              <w:t>suweonensis</w:t>
            </w:r>
            <w:proofErr w:type="spellEnd"/>
            <w:r>
              <w:rPr>
                <w:rFonts w:ascii="Times New Roman" w:eastAsia="맑은 고딕" w:hAnsi="Times New Roman" w:cs="Times New Roman"/>
                <w:i/>
                <w:color w:val="000000"/>
                <w:kern w:val="0"/>
                <w:szCs w:val="20"/>
              </w:rPr>
              <w:t xml:space="preserve">, </w:t>
            </w:r>
            <w:r>
              <w:rPr>
                <w:rFonts w:ascii="Times New Roman" w:eastAsia="맑은 고딕" w:hAnsi="Times New Roman" w:cs="Times New Roman"/>
                <w:color w:val="000000"/>
                <w:kern w:val="0"/>
                <w:szCs w:val="20"/>
              </w:rPr>
              <w:t>an Endangered Species (</w:t>
            </w:r>
            <w:proofErr w:type="spellStart"/>
            <w:r>
              <w:rPr>
                <w:rFonts w:ascii="맑은 고딕" w:eastAsia="맑은 고딕" w:hAnsi="맑은 고딕" w:cs="Times New Roman" w:hint="eastAsia"/>
                <w:color w:val="000000"/>
                <w:kern w:val="0"/>
                <w:szCs w:val="20"/>
              </w:rPr>
              <w:t>Ⅰ</w:t>
            </w:r>
            <w:proofErr w:type="spellEnd"/>
            <w:r>
              <w:rPr>
                <w:rFonts w:ascii="Times New Roman" w:eastAsia="맑은 고딕" w:hAnsi="Times New Roman" w:cs="Times New Roman"/>
                <w:color w:val="000000"/>
                <w:kern w:val="0"/>
                <w:szCs w:val="20"/>
              </w:rPr>
              <w:t>)</w:t>
            </w:r>
          </w:p>
        </w:tc>
      </w:tr>
      <w:tr w:rsidR="006B73DE" w:rsidRPr="00EF5470" w14:paraId="1A9277BD" w14:textId="77777777" w:rsidTr="006B73DE">
        <w:trPr>
          <w:trHeight w:val="330"/>
        </w:trPr>
        <w:tc>
          <w:tcPr>
            <w:tcW w:w="207" w:type="pct"/>
            <w:noWrap/>
            <w:vAlign w:val="center"/>
            <w:hideMark/>
          </w:tcPr>
          <w:p w14:paraId="096A4B2E"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7</w:t>
            </w:r>
          </w:p>
        </w:tc>
        <w:tc>
          <w:tcPr>
            <w:tcW w:w="880" w:type="pct"/>
            <w:noWrap/>
            <w:vAlign w:val="center"/>
            <w:hideMark/>
          </w:tcPr>
          <w:p w14:paraId="4DD2DD4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National</w:t>
            </w:r>
            <w:r>
              <w:rPr>
                <w:rFonts w:ascii="Times New Roman" w:eastAsia="맑은 고딕" w:hAnsi="Times New Roman" w:cs="Times New Roman"/>
                <w:color w:val="000000"/>
                <w:kern w:val="0"/>
                <w:szCs w:val="20"/>
              </w:rPr>
              <w:t xml:space="preserve"> </w:t>
            </w:r>
            <w:proofErr w:type="spellStart"/>
            <w:r>
              <w:rPr>
                <w:rFonts w:ascii="Times New Roman" w:eastAsia="맑은 고딕" w:hAnsi="Times New Roman" w:cs="Times New Roman" w:hint="eastAsia"/>
                <w:color w:val="000000"/>
                <w:kern w:val="0"/>
                <w:szCs w:val="20"/>
              </w:rPr>
              <w:t>Institue</w:t>
            </w:r>
            <w:proofErr w:type="spellEnd"/>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of</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Biological</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Resources,</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2013</w:t>
            </w:r>
          </w:p>
        </w:tc>
        <w:tc>
          <w:tcPr>
            <w:tcW w:w="362" w:type="pct"/>
            <w:noWrap/>
            <w:vAlign w:val="center"/>
            <w:hideMark/>
          </w:tcPr>
          <w:p w14:paraId="2D7EF3A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102</w:t>
            </w:r>
          </w:p>
        </w:tc>
        <w:tc>
          <w:tcPr>
            <w:tcW w:w="518" w:type="pct"/>
            <w:noWrap/>
            <w:vAlign w:val="center"/>
            <w:hideMark/>
          </w:tcPr>
          <w:p w14:paraId="7A5572B4"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24</w:t>
            </w:r>
          </w:p>
        </w:tc>
        <w:tc>
          <w:tcPr>
            <w:tcW w:w="517" w:type="pct"/>
            <w:noWrap/>
            <w:vAlign w:val="center"/>
            <w:hideMark/>
          </w:tcPr>
          <w:p w14:paraId="3B1E4FF6"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78</w:t>
            </w:r>
          </w:p>
        </w:tc>
        <w:tc>
          <w:tcPr>
            <w:tcW w:w="2516" w:type="pct"/>
            <w:noWrap/>
            <w:vAlign w:val="center"/>
            <w:hideMark/>
          </w:tcPr>
          <w:p w14:paraId="14EE71DA"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Final</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Research</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Report</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the</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Conservation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Breeding</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and</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Restoration</w:t>
            </w:r>
            <w:r>
              <w:rPr>
                <w:rFonts w:ascii="Times New Roman" w:eastAsia="맑은 고딕" w:hAnsi="Times New Roman" w:cs="Times New Roman"/>
                <w:color w:val="000000"/>
                <w:kern w:val="0"/>
                <w:szCs w:val="20"/>
              </w:rPr>
              <w:t xml:space="preserve"> </w:t>
            </w:r>
            <w:r>
              <w:rPr>
                <w:rFonts w:ascii="Times New Roman" w:eastAsia="맑은 고딕" w:hAnsi="Times New Roman" w:cs="Times New Roman" w:hint="eastAsia"/>
                <w:color w:val="000000"/>
                <w:kern w:val="0"/>
                <w:szCs w:val="20"/>
              </w:rPr>
              <w:t>of</w:t>
            </w:r>
            <w:r>
              <w:rPr>
                <w:rFonts w:ascii="Times New Roman" w:eastAsia="맑은 고딕" w:hAnsi="Times New Roman" w:cs="Times New Roman"/>
                <w:color w:val="000000"/>
                <w:kern w:val="0"/>
                <w:szCs w:val="20"/>
              </w:rPr>
              <w:t xml:space="preserve"> </w:t>
            </w:r>
            <w:proofErr w:type="spellStart"/>
            <w:r>
              <w:rPr>
                <w:rFonts w:ascii="Times New Roman" w:eastAsia="맑은 고딕" w:hAnsi="Times New Roman" w:cs="Times New Roman" w:hint="eastAsia"/>
                <w:i/>
                <w:color w:val="000000"/>
                <w:kern w:val="0"/>
                <w:szCs w:val="20"/>
              </w:rPr>
              <w:t>Dryop</w:t>
            </w:r>
            <w:r>
              <w:rPr>
                <w:rFonts w:ascii="Times New Roman" w:eastAsia="맑은 고딕" w:hAnsi="Times New Roman" w:cs="Times New Roman"/>
                <w:i/>
                <w:color w:val="000000"/>
                <w:kern w:val="0"/>
                <w:szCs w:val="20"/>
              </w:rPr>
              <w:t>hytes</w:t>
            </w:r>
            <w:proofErr w:type="spellEnd"/>
            <w:r>
              <w:rPr>
                <w:rFonts w:ascii="Times New Roman" w:eastAsia="맑은 고딕" w:hAnsi="Times New Roman" w:cs="Times New Roman"/>
                <w:i/>
                <w:color w:val="000000"/>
                <w:kern w:val="0"/>
                <w:szCs w:val="20"/>
              </w:rPr>
              <w:t xml:space="preserve"> </w:t>
            </w:r>
            <w:proofErr w:type="spellStart"/>
            <w:r>
              <w:rPr>
                <w:rFonts w:ascii="Times New Roman" w:eastAsia="맑은 고딕" w:hAnsi="Times New Roman" w:cs="Times New Roman"/>
                <w:i/>
                <w:color w:val="000000"/>
                <w:kern w:val="0"/>
                <w:szCs w:val="20"/>
              </w:rPr>
              <w:t>suweonensis</w:t>
            </w:r>
            <w:proofErr w:type="spellEnd"/>
            <w:r>
              <w:rPr>
                <w:rFonts w:ascii="Times New Roman" w:eastAsia="맑은 고딕" w:hAnsi="Times New Roman" w:cs="Times New Roman"/>
                <w:i/>
                <w:color w:val="000000"/>
                <w:kern w:val="0"/>
                <w:szCs w:val="20"/>
              </w:rPr>
              <w:t xml:space="preserve">, </w:t>
            </w:r>
            <w:r>
              <w:rPr>
                <w:rFonts w:ascii="Times New Roman" w:eastAsia="맑은 고딕" w:hAnsi="Times New Roman" w:cs="Times New Roman"/>
                <w:color w:val="000000"/>
                <w:kern w:val="0"/>
                <w:szCs w:val="20"/>
              </w:rPr>
              <w:t>an Endangered Species (</w:t>
            </w:r>
            <w:proofErr w:type="spellStart"/>
            <w:r>
              <w:rPr>
                <w:rFonts w:ascii="맑은 고딕" w:eastAsia="맑은 고딕" w:hAnsi="맑은 고딕" w:cs="Times New Roman" w:hint="eastAsia"/>
                <w:color w:val="000000"/>
                <w:kern w:val="0"/>
                <w:szCs w:val="20"/>
              </w:rPr>
              <w:t>Ⅱ</w:t>
            </w:r>
            <w:proofErr w:type="spellEnd"/>
            <w:r>
              <w:rPr>
                <w:rFonts w:ascii="Times New Roman" w:eastAsia="맑은 고딕" w:hAnsi="Times New Roman" w:cs="Times New Roman"/>
                <w:color w:val="000000"/>
                <w:kern w:val="0"/>
                <w:szCs w:val="20"/>
              </w:rPr>
              <w:t>)</w:t>
            </w:r>
          </w:p>
        </w:tc>
      </w:tr>
      <w:tr w:rsidR="006B73DE" w:rsidRPr="00EF5470" w14:paraId="2649DC0A" w14:textId="77777777" w:rsidTr="006B73DE">
        <w:trPr>
          <w:trHeight w:val="330"/>
        </w:trPr>
        <w:tc>
          <w:tcPr>
            <w:tcW w:w="207" w:type="pct"/>
            <w:noWrap/>
            <w:vAlign w:val="center"/>
            <w:hideMark/>
          </w:tcPr>
          <w:p w14:paraId="00084257"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8</w:t>
            </w:r>
          </w:p>
        </w:tc>
        <w:tc>
          <w:tcPr>
            <w:tcW w:w="880" w:type="pct"/>
            <w:noWrap/>
            <w:vAlign w:val="center"/>
          </w:tcPr>
          <w:p w14:paraId="57E5AB5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222222"/>
                <w:kern w:val="0"/>
                <w:szCs w:val="20"/>
              </w:rPr>
            </w:pPr>
            <w:r>
              <w:rPr>
                <w:rFonts w:ascii="Times New Roman" w:eastAsia="맑은 고딕" w:hAnsi="Times New Roman" w:cs="Times New Roman"/>
                <w:color w:val="222222"/>
                <w:kern w:val="0"/>
                <w:szCs w:val="20"/>
              </w:rPr>
              <w:fldChar w:fldCharType="begin"/>
            </w:r>
            <w:r>
              <w:rPr>
                <w:rFonts w:ascii="Times New Roman" w:eastAsia="맑은 고딕" w:hAnsi="Times New Roman" w:cs="Times New Roman"/>
                <w:color w:val="222222"/>
                <w:kern w:val="0"/>
                <w:szCs w:val="20"/>
              </w:rPr>
              <w:instrText xml:space="preserve"> ADDIN ZOTERO_ITEM CSL_CITATION {"citationID":"HpeWJA73","properties":{"formattedCitation":"(Park et al., 2021)","plainCitation":"(Park et al., 2021)","noteIndex":0},"citationItems":[{"id":589,"uris":["http://zotero.org/users/15429250/items/BD3NQGI6"],"itemData":{"id":589,"type":"document","publisher":"s Note: MDPI stays neutral with regard to jurisdictional claims in published …","source":"Google Scholar","title":"Defining Conservation Requirements for the Suweon Treefrog (Dryophytes suweonensis) Using Species Distribution Models. Diversity 2021, 13, 69","URL":"https://www.researchgate.net/profile/Amael-Borzee-2/publication/349143231_Defining_Conservation_Requirements_for_the_Suweon_Treefrog_Dryophytes_suweonensis_Using_Species_Distribution_Models/links/6022aec992851c4ed55e8599/Defining-Conservation-Requirements-for-the-Suweon-Treefrog-Dryophytes-suweonensis-Using-Species-Distribution-Models.pdf","author":[{"family":"Park","given":"I. K."},{"family":"Park","given":"D."},{"family":"Borzée","given":"A."}],"accessed":{"date-parts":[["2025",5,26]]},"issued":{"date-parts":[["2021"]]}}}],"schema":"https://github.com/citation-style-language/schema/raw/master/csl-citation.json"} </w:instrText>
            </w:r>
            <w:r>
              <w:rPr>
                <w:rFonts w:ascii="Times New Roman" w:eastAsia="맑은 고딕" w:hAnsi="Times New Roman" w:cs="Times New Roman"/>
                <w:color w:val="222222"/>
                <w:kern w:val="0"/>
                <w:szCs w:val="20"/>
              </w:rPr>
              <w:fldChar w:fldCharType="separate"/>
            </w:r>
            <w:r w:rsidRPr="00EF5470">
              <w:rPr>
                <w:rFonts w:ascii="Times New Roman" w:hAnsi="Times New Roman" w:cs="Times New Roman"/>
              </w:rPr>
              <w:t>Park et al., 2021</w:t>
            </w:r>
            <w:r>
              <w:rPr>
                <w:rFonts w:ascii="Times New Roman" w:eastAsia="맑은 고딕" w:hAnsi="Times New Roman" w:cs="Times New Roman"/>
                <w:color w:val="222222"/>
                <w:kern w:val="0"/>
                <w:szCs w:val="20"/>
              </w:rPr>
              <w:fldChar w:fldCharType="end"/>
            </w:r>
          </w:p>
        </w:tc>
        <w:tc>
          <w:tcPr>
            <w:tcW w:w="362" w:type="pct"/>
            <w:noWrap/>
            <w:vAlign w:val="center"/>
            <w:hideMark/>
          </w:tcPr>
          <w:p w14:paraId="20EA269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8" w:type="pct"/>
            <w:noWrap/>
            <w:vAlign w:val="center"/>
            <w:hideMark/>
          </w:tcPr>
          <w:p w14:paraId="51D7EA2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7" w:type="pct"/>
            <w:noWrap/>
            <w:vAlign w:val="center"/>
            <w:hideMark/>
          </w:tcPr>
          <w:p w14:paraId="633F2FA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0A136D04"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Defining Conservation Requi</w:t>
            </w:r>
            <w:r>
              <w:rPr>
                <w:rFonts w:ascii="Times New Roman" w:eastAsia="맑은 고딕" w:hAnsi="Times New Roman" w:cs="Times New Roman"/>
                <w:color w:val="000000"/>
                <w:kern w:val="0"/>
                <w:szCs w:val="20"/>
              </w:rPr>
              <w:t xml:space="preserve">rements for the </w:t>
            </w:r>
            <w:proofErr w:type="spellStart"/>
            <w:r>
              <w:rPr>
                <w:rFonts w:ascii="Times New Roman" w:eastAsia="맑은 고딕" w:hAnsi="Times New Roman" w:cs="Times New Roman"/>
                <w:color w:val="000000"/>
                <w:kern w:val="0"/>
                <w:szCs w:val="20"/>
              </w:rPr>
              <w:t>Suweon</w:t>
            </w:r>
            <w:proofErr w:type="spellEnd"/>
            <w:r>
              <w:rPr>
                <w:rFonts w:ascii="Times New Roman" w:eastAsia="맑은 고딕" w:hAnsi="Times New Roman" w:cs="Times New Roman"/>
                <w:color w:val="000000"/>
                <w:kern w:val="0"/>
                <w:szCs w:val="20"/>
              </w:rPr>
              <w:t xml:space="preserve"> Treefrog </w:t>
            </w:r>
            <w:r w:rsidRPr="00EF5470">
              <w:rPr>
                <w:rFonts w:ascii="Times New Roman" w:eastAsia="맑은 고딕" w:hAnsi="Times New Roman" w:cs="Times New Roman"/>
                <w:color w:val="000000"/>
                <w:kern w:val="0"/>
                <w:szCs w:val="20"/>
              </w:rPr>
              <w:t>(</w:t>
            </w:r>
            <w:proofErr w:type="spellStart"/>
            <w:r w:rsidRPr="00382F03">
              <w:rPr>
                <w:rFonts w:ascii="Times New Roman" w:eastAsia="맑은 고딕" w:hAnsi="Times New Roman" w:cs="Times New Roman"/>
                <w:i/>
                <w:color w:val="000000"/>
                <w:kern w:val="0"/>
                <w:szCs w:val="20"/>
              </w:rPr>
              <w:t>Dryophytes</w:t>
            </w:r>
            <w:proofErr w:type="spellEnd"/>
            <w:r w:rsidRPr="00382F03">
              <w:rPr>
                <w:rFonts w:ascii="Times New Roman" w:eastAsia="맑은 고딕" w:hAnsi="Times New Roman" w:cs="Times New Roman"/>
                <w:i/>
                <w:color w:val="000000"/>
                <w:kern w:val="0"/>
                <w:szCs w:val="20"/>
              </w:rPr>
              <w:t xml:space="preserve"> </w:t>
            </w:r>
            <w:proofErr w:type="spellStart"/>
            <w:r w:rsidRPr="00382F03">
              <w:rPr>
                <w:rFonts w:ascii="Times New Roman" w:eastAsia="맑은 고딕" w:hAnsi="Times New Roman" w:cs="Times New Roman"/>
                <w:i/>
                <w:color w:val="000000"/>
                <w:kern w:val="0"/>
                <w:szCs w:val="20"/>
              </w:rPr>
              <w:t>suweonensis</w:t>
            </w:r>
            <w:proofErr w:type="spellEnd"/>
            <w:r w:rsidRPr="00EF5470">
              <w:rPr>
                <w:rFonts w:ascii="Times New Roman" w:eastAsia="맑은 고딕" w:hAnsi="Times New Roman" w:cs="Times New Roman"/>
                <w:color w:val="000000"/>
                <w:kern w:val="0"/>
                <w:szCs w:val="20"/>
              </w:rPr>
              <w:t>) Using Species Distribution Models</w:t>
            </w:r>
          </w:p>
        </w:tc>
      </w:tr>
      <w:tr w:rsidR="006B73DE" w:rsidRPr="00EF5470" w14:paraId="33802973" w14:textId="77777777" w:rsidTr="006B73DE">
        <w:trPr>
          <w:trHeight w:val="330"/>
        </w:trPr>
        <w:tc>
          <w:tcPr>
            <w:tcW w:w="207" w:type="pct"/>
            <w:noWrap/>
            <w:vAlign w:val="center"/>
            <w:hideMark/>
          </w:tcPr>
          <w:p w14:paraId="7A8B3E3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9</w:t>
            </w:r>
          </w:p>
        </w:tc>
        <w:tc>
          <w:tcPr>
            <w:tcW w:w="880" w:type="pct"/>
            <w:noWrap/>
            <w:vAlign w:val="center"/>
          </w:tcPr>
          <w:p w14:paraId="4ADE312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{"citationID":"IY4gtU0p","properties":{"formattedCitation":"(Rahman et al., 2023)","plainCitation":"(Rahman et al., 2023)","noteIndex":0},"citationItems":[{"id":420,"uris":["http://zotero.org/users/15429250/items/GEQK4547"],"itemData":{"id":420,"type":"article-journal","container-title":"PeerJ","note":"publisher: PeerJ Inc.","page":"e16492","source":"Google Scholar","title":"Population-level call properties of endangered Dryophytes suweonensissensu lato (Anura: Amphibia) in South Korea","title-short":"Population-level call properties of endangered Dryophytes suweonensissensu lato (Anura","volume":"11","author":[{"family":"Rahman","given":"Md Mizanur"},{"family":"Yun","given":"Jiyoung"},{"family":"Lee","given":"KaHyun"},{"family":"Lee","given":"Seung-Ha"},{"family":"Park","given":"Seung-Min"},{"family":"Ham","given":"Choong-Ho"},{"family":"Sung","given":"Ha-Cheol"}],"issued":{"date-parts":[["2023"]]}}}],"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rPr>
              <w:t>Rahman et al., 2023</w:t>
            </w:r>
            <w:r>
              <w:rPr>
                <w:rFonts w:ascii="Times New Roman" w:eastAsia="맑은 고딕" w:hAnsi="Times New Roman" w:cs="Times New Roman"/>
                <w:color w:val="000000"/>
                <w:kern w:val="0"/>
                <w:szCs w:val="20"/>
              </w:rPr>
              <w:fldChar w:fldCharType="end"/>
            </w:r>
          </w:p>
        </w:tc>
        <w:tc>
          <w:tcPr>
            <w:tcW w:w="362" w:type="pct"/>
            <w:noWrap/>
            <w:vAlign w:val="center"/>
            <w:hideMark/>
          </w:tcPr>
          <w:p w14:paraId="49114E8F"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5</w:t>
            </w:r>
          </w:p>
        </w:tc>
        <w:tc>
          <w:tcPr>
            <w:tcW w:w="518" w:type="pct"/>
            <w:noWrap/>
            <w:vAlign w:val="center"/>
            <w:hideMark/>
          </w:tcPr>
          <w:p w14:paraId="37FF9B2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5</w:t>
            </w:r>
          </w:p>
        </w:tc>
        <w:tc>
          <w:tcPr>
            <w:tcW w:w="517" w:type="pct"/>
            <w:noWrap/>
            <w:vAlign w:val="center"/>
            <w:hideMark/>
          </w:tcPr>
          <w:p w14:paraId="63F08494"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1D1B184E"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Population-level call properties of endangered </w:t>
            </w:r>
            <w:proofErr w:type="spellStart"/>
            <w:r w:rsidRPr="00382F03">
              <w:rPr>
                <w:rFonts w:ascii="Times New Roman" w:eastAsia="맑은 고딕" w:hAnsi="Times New Roman" w:cs="Times New Roman"/>
                <w:i/>
                <w:color w:val="000000"/>
                <w:kern w:val="0"/>
                <w:szCs w:val="20"/>
              </w:rPr>
              <w:t>Dryophytes</w:t>
            </w:r>
            <w:proofErr w:type="spellEnd"/>
            <w:r w:rsidRPr="00382F03">
              <w:rPr>
                <w:rFonts w:ascii="Times New Roman" w:eastAsia="맑은 고딕" w:hAnsi="Times New Roman" w:cs="Times New Roman"/>
                <w:i/>
                <w:color w:val="000000"/>
                <w:kern w:val="0"/>
                <w:szCs w:val="20"/>
              </w:rPr>
              <w:t xml:space="preserve"> </w:t>
            </w:r>
            <w:proofErr w:type="spellStart"/>
            <w:r w:rsidRPr="00382F03">
              <w:rPr>
                <w:rFonts w:ascii="Times New Roman" w:eastAsia="맑은 고딕" w:hAnsi="Times New Roman" w:cs="Times New Roman"/>
                <w:i/>
                <w:color w:val="000000"/>
                <w:kern w:val="0"/>
                <w:szCs w:val="20"/>
              </w:rPr>
              <w:t>suweonensissensu</w:t>
            </w:r>
            <w:proofErr w:type="spellEnd"/>
            <w:r w:rsidRPr="00EF5470">
              <w:rPr>
                <w:rFonts w:ascii="Times New Roman" w:eastAsia="맑은 고딕" w:hAnsi="Times New Roman" w:cs="Times New Roman"/>
                <w:color w:val="000000"/>
                <w:kern w:val="0"/>
                <w:szCs w:val="20"/>
              </w:rPr>
              <w:t xml:space="preserve"> lato (Anura: Amphibia) in South Korea</w:t>
            </w:r>
          </w:p>
        </w:tc>
      </w:tr>
      <w:tr w:rsidR="006B73DE" w:rsidRPr="00EF5470" w14:paraId="1F72FF5E" w14:textId="77777777" w:rsidTr="006B73DE">
        <w:trPr>
          <w:trHeight w:val="330"/>
        </w:trPr>
        <w:tc>
          <w:tcPr>
            <w:tcW w:w="207" w:type="pct"/>
            <w:noWrap/>
            <w:vAlign w:val="center"/>
            <w:hideMark/>
          </w:tcPr>
          <w:p w14:paraId="56C2F4B2"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10</w:t>
            </w:r>
          </w:p>
        </w:tc>
        <w:tc>
          <w:tcPr>
            <w:tcW w:w="880" w:type="pct"/>
            <w:noWrap/>
            <w:vAlign w:val="center"/>
          </w:tcPr>
          <w:p w14:paraId="10323B4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222222"/>
                <w:kern w:val="0"/>
                <w:szCs w:val="20"/>
              </w:rPr>
            </w:pPr>
            <w:r>
              <w:rPr>
                <w:rFonts w:ascii="Times New Roman" w:eastAsia="맑은 고딕" w:hAnsi="Times New Roman" w:cs="Times New Roman"/>
                <w:color w:val="222222"/>
                <w:kern w:val="0"/>
                <w:szCs w:val="20"/>
              </w:rPr>
              <w:fldChar w:fldCharType="begin"/>
            </w:r>
            <w:r>
              <w:rPr>
                <w:rFonts w:ascii="Times New Roman" w:eastAsia="맑은 고딕" w:hAnsi="Times New Roman" w:cs="Times New Roman"/>
                <w:color w:val="222222"/>
                <w:kern w:val="0"/>
                <w:szCs w:val="20"/>
              </w:rPr>
              <w:instrText xml:space="preserve"> ADDIN ZOTERO_ITEM CSL_CITATION {"citationID":"ob5dJru8","properties":{"formattedCitation":"(Borz\\uc0\\u233{}e et al., 2016)","plainCitation":"(Borzée et al., 2016)","noteIndex":0},"citationItems":[{"id":590,"uris":["http://zotero.org/users/15429250/items/PBM2LZUD"],"itemData":{"id":590,"type":"article-journal","container-title":"Scientific Reports","issue":"1","note":"publisher: Nature Publishing Group UK London","page":"32569","source":"Google Scholar","title":"Asymmetric competition over calling sites in two closely related treefrog species","volume":"6","author":[{"family":"Borzée","given":"Amaël"},{"family":"Kim","given":"Jun Young"},{"family":"Jang","given":"Yikweon"}],"issued":{"date-parts":[["2016"]]}}}],"schema":"https://github.com/citation-style-language/schema/raw/master/csl-citation.json"} </w:instrText>
            </w:r>
            <w:r>
              <w:rPr>
                <w:rFonts w:ascii="Times New Roman" w:eastAsia="맑은 고딕" w:hAnsi="Times New Roman" w:cs="Times New Roman"/>
                <w:color w:val="222222"/>
                <w:kern w:val="0"/>
                <w:szCs w:val="20"/>
              </w:rPr>
              <w:fldChar w:fldCharType="separate"/>
            </w:r>
            <w:r w:rsidRPr="00EF5470">
              <w:rPr>
                <w:rFonts w:ascii="Times New Roman" w:hAnsi="Times New Roman" w:cs="Times New Roman"/>
                <w:kern w:val="0"/>
                <w:szCs w:val="24"/>
              </w:rPr>
              <w:t>Borzée et al., 2016</w:t>
            </w:r>
            <w:r>
              <w:rPr>
                <w:rFonts w:ascii="Times New Roman" w:eastAsia="맑은 고딕" w:hAnsi="Times New Roman" w:cs="Times New Roman"/>
                <w:color w:val="222222"/>
                <w:kern w:val="0"/>
                <w:szCs w:val="20"/>
              </w:rPr>
              <w:fldChar w:fldCharType="end"/>
            </w:r>
          </w:p>
        </w:tc>
        <w:tc>
          <w:tcPr>
            <w:tcW w:w="362" w:type="pct"/>
            <w:noWrap/>
            <w:vAlign w:val="center"/>
            <w:hideMark/>
          </w:tcPr>
          <w:p w14:paraId="72194B9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6</w:t>
            </w:r>
          </w:p>
        </w:tc>
        <w:tc>
          <w:tcPr>
            <w:tcW w:w="518" w:type="pct"/>
            <w:noWrap/>
            <w:vAlign w:val="center"/>
            <w:hideMark/>
          </w:tcPr>
          <w:p w14:paraId="4F74D0A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6</w:t>
            </w:r>
          </w:p>
        </w:tc>
        <w:tc>
          <w:tcPr>
            <w:tcW w:w="517" w:type="pct"/>
            <w:noWrap/>
            <w:vAlign w:val="center"/>
            <w:hideMark/>
          </w:tcPr>
          <w:p w14:paraId="4F76059D"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7DC23B89"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Asymmetric competition over calling sites in two closely related treefrog species</w:t>
            </w:r>
          </w:p>
        </w:tc>
      </w:tr>
      <w:tr w:rsidR="006B73DE" w:rsidRPr="00EF5470" w14:paraId="1805AE60" w14:textId="77777777" w:rsidTr="006B73DE">
        <w:trPr>
          <w:trHeight w:val="330"/>
        </w:trPr>
        <w:tc>
          <w:tcPr>
            <w:tcW w:w="207" w:type="pct"/>
            <w:noWrap/>
            <w:vAlign w:val="center"/>
            <w:hideMark/>
          </w:tcPr>
          <w:p w14:paraId="19BB71B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11</w:t>
            </w:r>
          </w:p>
        </w:tc>
        <w:tc>
          <w:tcPr>
            <w:tcW w:w="880" w:type="pct"/>
            <w:noWrap/>
            <w:vAlign w:val="center"/>
          </w:tcPr>
          <w:p w14:paraId="47067F0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{"citationID":"TnXlzBkB","properties":{"formattedCitation":"(Borz\\uc0\\u233{}e et al., 2018)","plainCitation":"(Borzée et al., 2018)","noteIndex":0},"citationItems":[{"id":594,"uris":["http://zotero.org/users/15429250/items/XZSEYSQT"],"itemData":{"id":594,"type":"article-journal","container-title":"Ethology Ecology &amp; Evolution","DOI":"10.1080/03949370.2018.1441192","ISSN":"0394-9370, 1828-7131","issue":"6","journalAbbreviation":"Ethology Ecology &amp; Evolution","language":"en","page":"515-533","source":"DOI.org (Crossref)","title":"Variations in boldness, behavioural and physiological traits of an endangered and a common hylid species from Korea","volume":"30","author":[{"family":"Borzée","given":"Amaël"},{"family":"Yu","given":"Ai-Yun"},{"family":"Jang","given":"Yikweon"}],"issued":{"date-parts":[["2018",11,2]]}}}],"schema":"https://github.com/citation-style-language/schema/raw/master/csl-citation.json"}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kern w:val="0"/>
                <w:szCs w:val="24"/>
              </w:rPr>
              <w:t>Borzée et al., 2018</w:t>
            </w:r>
            <w:r>
              <w:rPr>
                <w:rFonts w:ascii="Times New Roman" w:eastAsia="맑은 고딕" w:hAnsi="Times New Roman" w:cs="Times New Roman"/>
                <w:color w:val="000000"/>
                <w:kern w:val="0"/>
                <w:szCs w:val="20"/>
              </w:rPr>
              <w:fldChar w:fldCharType="end"/>
            </w:r>
          </w:p>
        </w:tc>
        <w:tc>
          <w:tcPr>
            <w:tcW w:w="362" w:type="pct"/>
            <w:noWrap/>
            <w:vAlign w:val="center"/>
            <w:hideMark/>
          </w:tcPr>
          <w:p w14:paraId="5F43171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37</w:t>
            </w:r>
          </w:p>
        </w:tc>
        <w:tc>
          <w:tcPr>
            <w:tcW w:w="518" w:type="pct"/>
            <w:noWrap/>
            <w:vAlign w:val="center"/>
            <w:hideMark/>
          </w:tcPr>
          <w:p w14:paraId="2BD8A884"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37</w:t>
            </w:r>
          </w:p>
        </w:tc>
        <w:tc>
          <w:tcPr>
            <w:tcW w:w="517" w:type="pct"/>
            <w:noWrap/>
            <w:vAlign w:val="center"/>
            <w:hideMark/>
          </w:tcPr>
          <w:p w14:paraId="31C5926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038ECAC6"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Introduced bullfrogs are associated with increased </w:t>
            </w:r>
            <w:r w:rsidRPr="00382F03">
              <w:rPr>
                <w:rFonts w:ascii="Times New Roman" w:eastAsia="맑은 고딕" w:hAnsi="Times New Roman" w:cs="Times New Roman"/>
                <w:i/>
                <w:color w:val="000000"/>
                <w:kern w:val="0"/>
                <w:szCs w:val="20"/>
              </w:rPr>
              <w:t>Batrachochytrium dendrobatidis</w:t>
            </w:r>
            <w:r w:rsidRPr="00EF5470">
              <w:rPr>
                <w:rFonts w:ascii="Times New Roman" w:eastAsia="맑은 고딕" w:hAnsi="Times New Roman" w:cs="Times New Roman"/>
                <w:color w:val="000000"/>
                <w:kern w:val="0"/>
                <w:szCs w:val="20"/>
              </w:rPr>
              <w:t xml:space="preserve"> prevalence and reduced occurrence of Korean treefrogs</w:t>
            </w:r>
          </w:p>
        </w:tc>
      </w:tr>
      <w:tr w:rsidR="006B73DE" w:rsidRPr="00EF5470" w14:paraId="7B8A9077" w14:textId="77777777" w:rsidTr="006B73DE">
        <w:trPr>
          <w:trHeight w:val="330"/>
        </w:trPr>
        <w:tc>
          <w:tcPr>
            <w:tcW w:w="207" w:type="pct"/>
            <w:noWrap/>
            <w:vAlign w:val="center"/>
            <w:hideMark/>
          </w:tcPr>
          <w:p w14:paraId="2CFF654E"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12</w:t>
            </w:r>
          </w:p>
        </w:tc>
        <w:tc>
          <w:tcPr>
            <w:tcW w:w="880" w:type="pct"/>
            <w:noWrap/>
            <w:vAlign w:val="center"/>
          </w:tcPr>
          <w:p w14:paraId="5CDE1F4D"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{"citationID":"GOmYdjgH","properties":{"formattedCitation":"(Borz\\uc0\\u233{}e et al., 2018)","plainCitation":"(Borzée et al., 2018)","noteIndex":0},"citationItems":[{"id":594,"uris":["http://zotero.org/users/15429250/items/XZSEYSQT"],"itemData":{"id":594,"type":"article-journal","container-title":"Ethology Ecology &amp; Evolution","DOI":"10.1080/03949370.2018.1441192","ISSN":"0394-9370, 1828-7131","issue":"6","journalAbbreviation":"Ethology Ecology &amp; Evolution","language":"en","page":"515-533","source":"DOI.org (Crossref)","title":"Variations in boldness, behavioural and physiological traits of an endangered and a common hylid species from Korea","volume":"30","author":[{"family":"Borzée","given":"Amaël"},{"family":"Yu","given":"Ai-Yun"},{"family":"Jang","given":"Yikweon"}],"issued":{"date-parts":[["2018",11,2]]}}}],"schema":"https://github.com/citation-style-language/schema/raw/master/csl-citation.json"}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kern w:val="0"/>
                <w:szCs w:val="24"/>
              </w:rPr>
              <w:t>Borzée et al., 2018</w:t>
            </w:r>
            <w:r>
              <w:rPr>
                <w:rFonts w:ascii="Times New Roman" w:eastAsia="맑은 고딕" w:hAnsi="Times New Roman" w:cs="Times New Roman"/>
                <w:color w:val="000000"/>
                <w:kern w:val="0"/>
                <w:szCs w:val="20"/>
              </w:rPr>
              <w:fldChar w:fldCharType="end"/>
            </w:r>
          </w:p>
        </w:tc>
        <w:tc>
          <w:tcPr>
            <w:tcW w:w="362" w:type="pct"/>
            <w:noWrap/>
            <w:vAlign w:val="center"/>
            <w:hideMark/>
          </w:tcPr>
          <w:p w14:paraId="5063AF2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17</w:t>
            </w:r>
          </w:p>
        </w:tc>
        <w:tc>
          <w:tcPr>
            <w:tcW w:w="518" w:type="pct"/>
            <w:noWrap/>
            <w:vAlign w:val="center"/>
            <w:hideMark/>
          </w:tcPr>
          <w:p w14:paraId="1B425CE2"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14</w:t>
            </w:r>
          </w:p>
        </w:tc>
        <w:tc>
          <w:tcPr>
            <w:tcW w:w="517" w:type="pct"/>
            <w:noWrap/>
            <w:vAlign w:val="center"/>
            <w:hideMark/>
          </w:tcPr>
          <w:p w14:paraId="5BF2000C"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3</w:t>
            </w:r>
          </w:p>
        </w:tc>
        <w:tc>
          <w:tcPr>
            <w:tcW w:w="2516" w:type="pct"/>
            <w:noWrap/>
            <w:vAlign w:val="center"/>
            <w:hideMark/>
          </w:tcPr>
          <w:p w14:paraId="6DF8C42B"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 xml:space="preserve">Variations in boldness, </w:t>
            </w:r>
            <w:proofErr w:type="spellStart"/>
            <w:r w:rsidRPr="00EF5470">
              <w:rPr>
                <w:rFonts w:ascii="Times New Roman" w:eastAsia="맑은 고딕" w:hAnsi="Times New Roman" w:cs="Times New Roman"/>
                <w:color w:val="000000"/>
                <w:kern w:val="0"/>
                <w:szCs w:val="20"/>
              </w:rPr>
              <w:t>behavioural</w:t>
            </w:r>
            <w:proofErr w:type="spellEnd"/>
            <w:r w:rsidRPr="00EF5470">
              <w:rPr>
                <w:rFonts w:ascii="Times New Roman" w:eastAsia="맑은 고딕" w:hAnsi="Times New Roman" w:cs="Times New Roman"/>
                <w:color w:val="000000"/>
                <w:kern w:val="0"/>
                <w:szCs w:val="20"/>
              </w:rPr>
              <w:t xml:space="preserve"> and physiological traits of an endangered and a common </w:t>
            </w:r>
            <w:proofErr w:type="spellStart"/>
            <w:r w:rsidRPr="00EF5470">
              <w:rPr>
                <w:rFonts w:ascii="Times New Roman" w:eastAsia="맑은 고딕" w:hAnsi="Times New Roman" w:cs="Times New Roman"/>
                <w:color w:val="000000"/>
                <w:kern w:val="0"/>
                <w:szCs w:val="20"/>
              </w:rPr>
              <w:t>hylid</w:t>
            </w:r>
            <w:proofErr w:type="spellEnd"/>
            <w:r w:rsidRPr="00EF5470">
              <w:rPr>
                <w:rFonts w:ascii="Times New Roman" w:eastAsia="맑은 고딕" w:hAnsi="Times New Roman" w:cs="Times New Roman"/>
                <w:color w:val="000000"/>
                <w:kern w:val="0"/>
                <w:szCs w:val="20"/>
              </w:rPr>
              <w:t xml:space="preserve"> species from Korea</w:t>
            </w:r>
          </w:p>
        </w:tc>
      </w:tr>
      <w:tr w:rsidR="006B73DE" w:rsidRPr="00EF5470" w14:paraId="281824D9" w14:textId="77777777" w:rsidTr="006B73DE">
        <w:trPr>
          <w:trHeight w:val="330"/>
        </w:trPr>
        <w:tc>
          <w:tcPr>
            <w:tcW w:w="207" w:type="pct"/>
            <w:noWrap/>
            <w:vAlign w:val="center"/>
            <w:hideMark/>
          </w:tcPr>
          <w:p w14:paraId="0DD52656"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13</w:t>
            </w:r>
          </w:p>
        </w:tc>
        <w:tc>
          <w:tcPr>
            <w:tcW w:w="880" w:type="pct"/>
            <w:noWrap/>
            <w:vAlign w:val="center"/>
          </w:tcPr>
          <w:p w14:paraId="452C6385"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{"citationID":"KRNaMBwi","properties":{"formattedCitation":"(Ama\\uc0\\u235{}l and Yikweon, 2018)","plainCitation":"(Amaël and Yikweon, 2018)","noteIndex":0},"citationItems":[{"id":595,"uris":["http://zotero.org/users/15429250/items/78UAHT5I"],"itemData":{"id":595,"type":"article-journal","container-title":"Nature Conservation Research. Заповедная наука","issue":"Приложение 1","note":"publisher: Фонд поддержки и развития заповедных территорий «Медвежья земля»","page":"120–124","source":"Google Scholar","title":"Interference competition driven by hydric stress in Korean Hylids","volume":"3","author":[{"family":"Amaël","given":"Borzée"},{"family":"Yikweon","given":"Jang"}],"issued":{"date-parts":[["2018"]]}}}],"schema":"https://github.com/citation-style-language/schema/raw/master/csl-citation.json"}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kern w:val="0"/>
                <w:szCs w:val="24"/>
              </w:rPr>
              <w:t>Amaël and Yikweon, 2018</w:t>
            </w:r>
            <w:r>
              <w:rPr>
                <w:rFonts w:ascii="Times New Roman" w:eastAsia="맑은 고딕" w:hAnsi="Times New Roman" w:cs="Times New Roman"/>
                <w:color w:val="000000"/>
                <w:kern w:val="0"/>
                <w:szCs w:val="20"/>
              </w:rPr>
              <w:fldChar w:fldCharType="end"/>
            </w:r>
          </w:p>
        </w:tc>
        <w:tc>
          <w:tcPr>
            <w:tcW w:w="362" w:type="pct"/>
            <w:noWrap/>
            <w:vAlign w:val="center"/>
            <w:hideMark/>
          </w:tcPr>
          <w:p w14:paraId="52F2BA95"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8" w:type="pct"/>
            <w:noWrap/>
            <w:vAlign w:val="center"/>
            <w:hideMark/>
          </w:tcPr>
          <w:p w14:paraId="44ECDB18"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7" w:type="pct"/>
            <w:noWrap/>
            <w:vAlign w:val="center"/>
            <w:hideMark/>
          </w:tcPr>
          <w:p w14:paraId="4D9DEFF3"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3F0B1B03"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INTERFERENCE COMP</w:t>
            </w:r>
            <w:r>
              <w:rPr>
                <w:rFonts w:ascii="Times New Roman" w:eastAsia="맑은 고딕" w:hAnsi="Times New Roman" w:cs="Times New Roman"/>
                <w:color w:val="000000"/>
                <w:kern w:val="0"/>
                <w:szCs w:val="20"/>
              </w:rPr>
              <w:t xml:space="preserve">ETITION DRIVEN BY HYDRIC STRESS </w:t>
            </w:r>
            <w:r w:rsidRPr="00EF5470">
              <w:rPr>
                <w:rFonts w:ascii="Times New Roman" w:eastAsia="맑은 고딕" w:hAnsi="Times New Roman" w:cs="Times New Roman"/>
                <w:color w:val="000000"/>
                <w:kern w:val="0"/>
                <w:szCs w:val="20"/>
              </w:rPr>
              <w:t>IN KOREAN HYLIDS</w:t>
            </w:r>
          </w:p>
        </w:tc>
      </w:tr>
      <w:tr w:rsidR="006B73DE" w:rsidRPr="00EF5470" w14:paraId="0DD24BC8" w14:textId="77777777" w:rsidTr="006B73DE">
        <w:trPr>
          <w:trHeight w:val="330"/>
        </w:trPr>
        <w:tc>
          <w:tcPr>
            <w:tcW w:w="207" w:type="pct"/>
            <w:noWrap/>
            <w:vAlign w:val="center"/>
            <w:hideMark/>
          </w:tcPr>
          <w:p w14:paraId="414A5BBE"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14</w:t>
            </w:r>
          </w:p>
        </w:tc>
        <w:tc>
          <w:tcPr>
            <w:tcW w:w="880" w:type="pct"/>
            <w:noWrap/>
            <w:vAlign w:val="center"/>
          </w:tcPr>
          <w:p w14:paraId="5CAE69BA"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222222"/>
                <w:kern w:val="0"/>
                <w:szCs w:val="20"/>
              </w:rPr>
            </w:pPr>
            <w:r>
              <w:rPr>
                <w:rFonts w:ascii="Times New Roman" w:eastAsia="맑은 고딕" w:hAnsi="Times New Roman" w:cs="Times New Roman"/>
                <w:color w:val="222222"/>
                <w:kern w:val="0"/>
                <w:szCs w:val="20"/>
              </w:rPr>
              <w:fldChar w:fldCharType="begin"/>
            </w:r>
            <w:r>
              <w:rPr>
                <w:rFonts w:ascii="Times New Roman" w:eastAsia="맑은 고딕" w:hAnsi="Times New Roman" w:cs="Times New Roman"/>
                <w:color w:val="222222"/>
                <w:kern w:val="0"/>
                <w:szCs w:val="20"/>
              </w:rPr>
              <w:instrText xml:space="preserve"> ADDIN ZOTERO_ITEM CSL_CITATION {"citationID":"8RZBiQjK","properties":{"formattedCitation":"(Ham, 2014)","plainCitation":"(Ham, 2014)","noteIndex":0},"citationItems":[{"id":597,"uris":["http://zotero.org/users/15429250/items/APMS4SMU"],"itemData":{"id":597,"type":"article-journal","container-title":"Gwangju, South Korea: Chonnam National University","source":"Google Scholar","title":"Morphology, age structure and mating call characteristics of Japanese tree frog (Hyla Japonica) and Suweon tree frog (Hyla Suweonensis)","author":[{"family":"Ham","given":"C. H."}],"issued":{"date-parts":[["2014"]]}}}],"schema":"https://github.com/citation-style-language/schema/raw/master/csl-citation.json"} </w:instrText>
            </w:r>
            <w:r>
              <w:rPr>
                <w:rFonts w:ascii="Times New Roman" w:eastAsia="맑은 고딕" w:hAnsi="Times New Roman" w:cs="Times New Roman"/>
                <w:color w:val="222222"/>
                <w:kern w:val="0"/>
                <w:szCs w:val="20"/>
              </w:rPr>
              <w:fldChar w:fldCharType="separate"/>
            </w:r>
            <w:r w:rsidRPr="00EF5470">
              <w:rPr>
                <w:rFonts w:ascii="Times New Roman" w:hAnsi="Times New Roman" w:cs="Times New Roman"/>
              </w:rPr>
              <w:t>Ham, 2014</w:t>
            </w:r>
            <w:r>
              <w:rPr>
                <w:rFonts w:ascii="Times New Roman" w:eastAsia="맑은 고딕" w:hAnsi="Times New Roman" w:cs="Times New Roman"/>
                <w:color w:val="222222"/>
                <w:kern w:val="0"/>
                <w:szCs w:val="20"/>
              </w:rPr>
              <w:fldChar w:fldCharType="end"/>
            </w:r>
          </w:p>
        </w:tc>
        <w:tc>
          <w:tcPr>
            <w:tcW w:w="362" w:type="pct"/>
            <w:noWrap/>
            <w:vAlign w:val="center"/>
            <w:hideMark/>
          </w:tcPr>
          <w:p w14:paraId="2A1AFF6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8" w:type="pct"/>
            <w:noWrap/>
            <w:vAlign w:val="center"/>
            <w:hideMark/>
          </w:tcPr>
          <w:p w14:paraId="68C3FAE9"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w:t>
            </w:r>
          </w:p>
        </w:tc>
        <w:tc>
          <w:tcPr>
            <w:tcW w:w="517" w:type="pct"/>
            <w:noWrap/>
            <w:vAlign w:val="center"/>
            <w:hideMark/>
          </w:tcPr>
          <w:p w14:paraId="417DB235"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0</w:t>
            </w:r>
          </w:p>
        </w:tc>
        <w:tc>
          <w:tcPr>
            <w:tcW w:w="2516" w:type="pct"/>
            <w:noWrap/>
            <w:vAlign w:val="center"/>
            <w:hideMark/>
          </w:tcPr>
          <w:p w14:paraId="0E2A74DF"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Morphology, Age Structure and Mating Call Characteristics of Japanese tree frog (</w:t>
            </w:r>
            <w:r w:rsidRPr="00382F03">
              <w:rPr>
                <w:rFonts w:ascii="Times New Roman" w:eastAsia="맑은 고딕" w:hAnsi="Times New Roman" w:cs="Times New Roman"/>
                <w:i/>
                <w:color w:val="000000"/>
                <w:kern w:val="0"/>
                <w:szCs w:val="20"/>
              </w:rPr>
              <w:t>Hyla Japonica</w:t>
            </w:r>
            <w:r w:rsidRPr="00EF5470">
              <w:rPr>
                <w:rFonts w:ascii="Times New Roman" w:eastAsia="맑은 고딕" w:hAnsi="Times New Roman" w:cs="Times New Roman"/>
                <w:color w:val="000000"/>
                <w:kern w:val="0"/>
                <w:szCs w:val="20"/>
              </w:rPr>
              <w:t xml:space="preserve">) and </w:t>
            </w:r>
            <w:proofErr w:type="spellStart"/>
            <w:r w:rsidRPr="00EF5470">
              <w:rPr>
                <w:rFonts w:ascii="Times New Roman" w:eastAsia="맑은 고딕" w:hAnsi="Times New Roman" w:cs="Times New Roman"/>
                <w:color w:val="000000"/>
                <w:kern w:val="0"/>
                <w:szCs w:val="20"/>
              </w:rPr>
              <w:t>Suweon</w:t>
            </w:r>
            <w:proofErr w:type="spellEnd"/>
            <w:r w:rsidRPr="00EF5470">
              <w:rPr>
                <w:rFonts w:ascii="Times New Roman" w:eastAsia="맑은 고딕" w:hAnsi="Times New Roman" w:cs="Times New Roman"/>
                <w:color w:val="000000"/>
                <w:kern w:val="0"/>
                <w:szCs w:val="20"/>
              </w:rPr>
              <w:t xml:space="preserve"> tree frog (</w:t>
            </w:r>
            <w:r w:rsidRPr="00382F03">
              <w:rPr>
                <w:rFonts w:ascii="Times New Roman" w:eastAsia="맑은 고딕" w:hAnsi="Times New Roman" w:cs="Times New Roman"/>
                <w:i/>
                <w:color w:val="000000"/>
                <w:kern w:val="0"/>
                <w:szCs w:val="20"/>
              </w:rPr>
              <w:t>Hyla Suweonensis</w:t>
            </w:r>
            <w:r w:rsidRPr="00EF5470">
              <w:rPr>
                <w:rFonts w:ascii="Times New Roman" w:eastAsia="맑은 고딕" w:hAnsi="Times New Roman" w:cs="Times New Roman"/>
                <w:color w:val="000000"/>
                <w:kern w:val="0"/>
                <w:szCs w:val="20"/>
              </w:rPr>
              <w:t>)</w:t>
            </w:r>
          </w:p>
        </w:tc>
      </w:tr>
      <w:tr w:rsidR="006B73DE" w:rsidRPr="00EF5470" w14:paraId="7DD1B6DD" w14:textId="77777777" w:rsidTr="006B73DE">
        <w:trPr>
          <w:trHeight w:val="330"/>
        </w:trPr>
        <w:tc>
          <w:tcPr>
            <w:tcW w:w="207" w:type="pct"/>
            <w:noWrap/>
            <w:vAlign w:val="center"/>
            <w:hideMark/>
          </w:tcPr>
          <w:p w14:paraId="57B1F70B"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15</w:t>
            </w:r>
          </w:p>
        </w:tc>
        <w:tc>
          <w:tcPr>
            <w:tcW w:w="880" w:type="pct"/>
            <w:noWrap/>
            <w:vAlign w:val="center"/>
            <w:hideMark/>
          </w:tcPr>
          <w:p w14:paraId="615F5475"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color w:val="000000"/>
                <w:kern w:val="0"/>
                <w:szCs w:val="20"/>
              </w:rPr>
              <w:fldChar w:fldCharType="begin"/>
            </w:r>
            <w:r>
              <w:rPr>
                <w:rFonts w:ascii="Times New Roman" w:eastAsia="맑은 고딕" w:hAnsi="Times New Roman" w:cs="Times New Roman"/>
                <w:color w:val="000000"/>
                <w:kern w:val="0"/>
                <w:szCs w:val="20"/>
              </w:rPr>
              <w:instrText xml:space="preserve"> ADDIN ZOTERO_ITEM CSL_CITATION {"citationID":"pdebEttL","properties":{"formattedCitation":"(Andersen et al., 2023)","plainCitation":"(Andersen et al., 2023)","noteIndex":0},"citationItems":[{"id":598,"uris":["http://zotero.org/users/15429250/items/TZDJTPDP"],"itemData":{"id":598,"type":"article-journal","abstract":"Abstract\n            \n              Threatened species with restricted ranges are at risk from habitat fragmentation and loss, which amplifies genetic bottleneck and impacts of small changes to their environments. Ecological models including population viability analyses (PVAs) can predict the trajectory of populations in a way that is not invasive or detrimental to the study species. They can therefore be a vital tool in modeling populations for conservation purposes. Although habitat suitability models have been used in studies to suggest areas for protected area designation, PVAs are generally not used in this regard.\n              Dryophytes suweonensis\n              and\n              Dryophytes flaviventris\n              are two threatened treefrog species endemic to the Korean Peninsula. The two species face threats of habitat loss and degradation and predation by invasive species among others. We used an integrated modeling approach combining ecological niche, connectivity, and PVAs in Vortex to determine the likelihood of extinction of each species under baseline and protected area designation scenarios. Designation scenarios were simulated in Vortex through halting future reduction in carrying capacity (halting future degradation to sites through protected area status), reducing effects of catastrophes (mitigating the effects of drought), and reducing mortality rates (controlling invasive predator populations and ex situ raising of tadpoles to maturity). We classified the combination of these management efforts as “active management” as opposed to “no management,” which is currently being practiced. We additionally used a stepwise approach to determine designation priority of individual patches. Under current conditions (no management), the resulting effective metapopulations after 100 years were 167 ± 325 individuals with an 86.5% extinction probability for\n              D. suweonensis\n              and 165 ± 200 individuals with a 90.3% extinction probability for\n              D. flaviventris\n              . Under active management of all sites (93 sites covering 426.9 km\n              2\n              ), the extinction probability was 0% for both species with significantly increased metapopulation sizes, 15 910 ± 2855 for\n              D. suweonensis\n              , and 4400 ± 874 for\n              D. flaviventris\n              . Determining designation priority can inform the regulatory bodies on which habitat to designate and whether active or passive management should be applied. Without intervention, these species will be likely to face imminent extinction. In addition to being useful for government‐imposed conservation management, our study can be followed by future studies as a methodology for prioritizing sites for protected area designation.","container-title":"Animal Conservation","DOI":"10.1111/acv.12829","ISSN":"1367-9430, 1469-1795","issue":"3","journalAbbreviation":"Animal Conservation","language":"en","page":"381-397","source":"DOI.org (Crossref)","title":"Influence of landscape and connectivity on anuran conservation: population viability analyses to designate protected areas","title-short":"Influence of landscape and connectivity on anuran conservation","volume":"26","author":[{"family":"Andersen","given":"D."},{"family":"Jang","given":"Y."},{"family":"Borzée","given":"A."}],"issued":{"date-parts":[["2023",6]]}}}],"schema":"https://github.com/citation-style-language/schema/raw/master/csl-citation.json"} </w:instrText>
            </w:r>
            <w:r>
              <w:rPr>
                <w:rFonts w:ascii="Times New Roman" w:eastAsia="맑은 고딕" w:hAnsi="Times New Roman" w:cs="Times New Roman"/>
                <w:color w:val="000000"/>
                <w:kern w:val="0"/>
                <w:szCs w:val="20"/>
              </w:rPr>
              <w:fldChar w:fldCharType="separate"/>
            </w:r>
            <w:r w:rsidRPr="00EF5470">
              <w:rPr>
                <w:rFonts w:ascii="Times New Roman" w:hAnsi="Times New Roman" w:cs="Times New Roman"/>
              </w:rPr>
              <w:t>Andersen et al., 2023</w:t>
            </w:r>
            <w:r>
              <w:rPr>
                <w:rFonts w:ascii="Times New Roman" w:eastAsia="맑은 고딕" w:hAnsi="Times New Roman" w:cs="Times New Roman"/>
                <w:color w:val="000000"/>
                <w:kern w:val="0"/>
                <w:szCs w:val="20"/>
              </w:rPr>
              <w:fldChar w:fldCharType="end"/>
            </w:r>
          </w:p>
        </w:tc>
        <w:tc>
          <w:tcPr>
            <w:tcW w:w="362" w:type="pct"/>
            <w:noWrap/>
            <w:vAlign w:val="center"/>
            <w:hideMark/>
          </w:tcPr>
          <w:p w14:paraId="2138093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93</w:t>
            </w:r>
          </w:p>
        </w:tc>
        <w:tc>
          <w:tcPr>
            <w:tcW w:w="518" w:type="pct"/>
            <w:noWrap/>
            <w:vAlign w:val="center"/>
            <w:hideMark/>
          </w:tcPr>
          <w:p w14:paraId="7DC53380"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90</w:t>
            </w:r>
          </w:p>
        </w:tc>
        <w:tc>
          <w:tcPr>
            <w:tcW w:w="517" w:type="pct"/>
            <w:noWrap/>
            <w:vAlign w:val="center"/>
            <w:hideMark/>
          </w:tcPr>
          <w:p w14:paraId="1155B721" w14:textId="77777777" w:rsidR="006B73DE" w:rsidRPr="00EF5470" w:rsidRDefault="006B73DE" w:rsidP="006B73DE">
            <w:pPr>
              <w:widowControl/>
              <w:wordWrap/>
              <w:autoSpaceDE/>
              <w:autoSpaceDN/>
              <w:spacing w:after="0" w:line="240" w:lineRule="auto"/>
              <w:jc w:val="center"/>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3</w:t>
            </w:r>
          </w:p>
        </w:tc>
        <w:tc>
          <w:tcPr>
            <w:tcW w:w="2516" w:type="pct"/>
            <w:noWrap/>
            <w:vAlign w:val="center"/>
            <w:hideMark/>
          </w:tcPr>
          <w:p w14:paraId="205F29C2" w14:textId="77777777" w:rsidR="006B73DE" w:rsidRPr="00EF5470" w:rsidRDefault="006B73DE" w:rsidP="006B73DE">
            <w:pPr>
              <w:widowControl/>
              <w:wordWrap/>
              <w:autoSpaceDE/>
              <w:autoSpaceDN/>
              <w:spacing w:after="0" w:line="240" w:lineRule="auto"/>
              <w:jc w:val="left"/>
              <w:rPr>
                <w:rFonts w:ascii="Times New Roman" w:eastAsia="맑은 고딕" w:hAnsi="Times New Roman" w:cs="Times New Roman"/>
                <w:color w:val="000000"/>
                <w:kern w:val="0"/>
                <w:szCs w:val="20"/>
              </w:rPr>
            </w:pPr>
            <w:r w:rsidRPr="00EF5470">
              <w:rPr>
                <w:rFonts w:ascii="Times New Roman" w:eastAsia="맑은 고딕" w:hAnsi="Times New Roman" w:cs="Times New Roman"/>
                <w:color w:val="000000"/>
                <w:kern w:val="0"/>
                <w:szCs w:val="20"/>
              </w:rPr>
              <w:t>Influence of landscape and connectivity on anuran conservation: population viability analyses to designate protected areas</w:t>
            </w:r>
          </w:p>
        </w:tc>
      </w:tr>
    </w:tbl>
    <w:p w14:paraId="78F81954" w14:textId="5AD69760" w:rsidR="006B73DE" w:rsidRDefault="006B73DE" w:rsidP="005D215F">
      <w:pPr>
        <w:rPr>
          <w:rFonts w:ascii="Times New Roman" w:hAnsi="Times New Roman" w:cs="Times New Roman"/>
        </w:rPr>
      </w:pPr>
      <w:r>
        <w:rPr>
          <w:rFonts w:ascii="Times New Roman" w:hAnsi="Times New Roman" w:cs="Times New Roman" w:hint="eastAsia"/>
        </w:rPr>
        <w:t xml:space="preserve"> </w:t>
      </w:r>
      <w:r w:rsidR="001C303D" w:rsidRPr="001C303D">
        <w:rPr>
          <w:rFonts w:ascii="Times New Roman" w:hAnsi="Times New Roman" w:cs="Times New Roman" w:hint="eastAsia"/>
          <w:b/>
          <w:bCs/>
        </w:rPr>
        <w:t>Supplementary Table</w:t>
      </w:r>
      <w:r w:rsidR="001C303D" w:rsidRPr="001C303D">
        <w:rPr>
          <w:rFonts w:ascii="Times New Roman" w:hAnsi="Times New Roman" w:cs="Times New Roman"/>
          <w:b/>
          <w:bCs/>
        </w:rPr>
        <w:t xml:space="preserve"> 1.</w:t>
      </w:r>
      <w:r w:rsidR="001C303D">
        <w:rPr>
          <w:rFonts w:ascii="Times New Roman" w:hAnsi="Times New Roman" w:cs="Times New Roman"/>
        </w:rPr>
        <w:t xml:space="preserve"> </w:t>
      </w:r>
      <w:r w:rsidR="001C303D">
        <w:rPr>
          <w:rFonts w:ascii="Times New Roman" w:hAnsi="Times New Roman" w:cs="Times New Roman" w:hint="eastAsia"/>
        </w:rPr>
        <w:t>Sum</w:t>
      </w:r>
      <w:r w:rsidR="001C303D">
        <w:rPr>
          <w:rFonts w:ascii="Times New Roman" w:hAnsi="Times New Roman" w:cs="Times New Roman"/>
        </w:rPr>
        <w:t>mary of r</w:t>
      </w:r>
      <w:r w:rsidR="001C303D">
        <w:rPr>
          <w:rFonts w:ascii="Times New Roman" w:hAnsi="Times New Roman" w:cs="Times New Roman" w:hint="eastAsia"/>
        </w:rPr>
        <w:t>eference</w:t>
      </w:r>
      <w:r w:rsidR="001C303D">
        <w:rPr>
          <w:rFonts w:ascii="Times New Roman" w:hAnsi="Times New Roman" w:cs="Times New Roman"/>
        </w:rPr>
        <w:t xml:space="preserve">s on the </w:t>
      </w:r>
      <w:proofErr w:type="spellStart"/>
      <w:r w:rsidR="001C303D">
        <w:rPr>
          <w:rFonts w:ascii="Times New Roman" w:hAnsi="Times New Roman" w:cs="Times New Roman"/>
        </w:rPr>
        <w:t>Suweon</w:t>
      </w:r>
      <w:proofErr w:type="spellEnd"/>
      <w:r w:rsidR="001C303D">
        <w:rPr>
          <w:rFonts w:ascii="Times New Roman" w:hAnsi="Times New Roman" w:cs="Times New Roman"/>
        </w:rPr>
        <w:t xml:space="preserve"> Treefrog since 2000</w:t>
      </w:r>
    </w:p>
    <w:p w14:paraId="27166624" w14:textId="3183B7FE" w:rsidR="00647015" w:rsidRDefault="00647015" w:rsidP="005D215F"/>
    <w:tbl>
      <w:tblPr>
        <w:tblpPr w:leftFromText="142" w:rightFromText="142" w:vertAnchor="text" w:horzAnchor="margin" w:tblpY="-18"/>
        <w:tblW w:w="13665" w:type="dxa"/>
        <w:tblCellMar>
          <w:left w:w="99" w:type="dxa"/>
          <w:right w:w="99" w:type="dxa"/>
        </w:tblCellMar>
        <w:tblLook w:val="04A0" w:firstRow="1" w:lastRow="0" w:firstColumn="1" w:lastColumn="0" w:noHBand="0" w:noVBand="1"/>
      </w:tblPr>
      <w:tblGrid>
        <w:gridCol w:w="2154"/>
        <w:gridCol w:w="1079"/>
        <w:gridCol w:w="1079"/>
        <w:gridCol w:w="1210"/>
        <w:gridCol w:w="1126"/>
        <w:gridCol w:w="1079"/>
        <w:gridCol w:w="1015"/>
        <w:gridCol w:w="1016"/>
        <w:gridCol w:w="1015"/>
        <w:gridCol w:w="1015"/>
        <w:gridCol w:w="1015"/>
        <w:gridCol w:w="862"/>
      </w:tblGrid>
      <w:tr w:rsidR="00647015" w:rsidRPr="00E037B3" w14:paraId="326D3C15" w14:textId="77777777" w:rsidTr="005920C4">
        <w:trPr>
          <w:trHeight w:val="271"/>
        </w:trPr>
        <w:tc>
          <w:tcPr>
            <w:tcW w:w="2154" w:type="dxa"/>
            <w:vMerge w:val="restart"/>
            <w:tcBorders>
              <w:top w:val="single" w:sz="4" w:space="0" w:color="000000"/>
              <w:left w:val="single" w:sz="4" w:space="0" w:color="000000"/>
              <w:right w:val="single" w:sz="4" w:space="0" w:color="000000"/>
            </w:tcBorders>
            <w:vAlign w:val="center"/>
          </w:tcPr>
          <w:p w14:paraId="21593B5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Pr>
                <w:rFonts w:ascii="Times New Roman" w:eastAsia="맑은 고딕" w:hAnsi="Times New Roman" w:cs="Times New Roman" w:hint="eastAsia"/>
                <w:b/>
                <w:bCs/>
                <w:color w:val="000000"/>
                <w:kern w:val="0"/>
                <w:szCs w:val="20"/>
              </w:rPr>
              <w:t>A</w:t>
            </w:r>
            <w:r>
              <w:rPr>
                <w:rFonts w:ascii="Times New Roman" w:eastAsia="맑은 고딕" w:hAnsi="Times New Roman" w:cs="Times New Roman"/>
                <w:b/>
                <w:bCs/>
                <w:color w:val="000000"/>
                <w:kern w:val="0"/>
                <w:szCs w:val="20"/>
              </w:rPr>
              <w:t>dministrative regions</w:t>
            </w:r>
          </w:p>
        </w:tc>
        <w:tc>
          <w:tcPr>
            <w:tcW w:w="11511" w:type="dxa"/>
            <w:gridSpan w:val="11"/>
            <w:tcBorders>
              <w:top w:val="single" w:sz="4" w:space="0" w:color="000000"/>
              <w:left w:val="nil"/>
              <w:bottom w:val="single" w:sz="4" w:space="0" w:color="000000"/>
              <w:right w:val="single" w:sz="4" w:space="0" w:color="000000"/>
            </w:tcBorders>
            <w:vAlign w:val="center"/>
          </w:tcPr>
          <w:p w14:paraId="7745236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Pr>
                <w:rFonts w:ascii="Times New Roman" w:eastAsia="맑은 고딕" w:hAnsi="Times New Roman" w:cs="Times New Roman" w:hint="eastAsia"/>
                <w:b/>
                <w:bCs/>
                <w:color w:val="000000"/>
                <w:kern w:val="0"/>
                <w:szCs w:val="20"/>
              </w:rPr>
              <w:t>Threshold values</w:t>
            </w:r>
          </w:p>
        </w:tc>
      </w:tr>
      <w:tr w:rsidR="00647015" w:rsidRPr="00E037B3" w14:paraId="635DF37D" w14:textId="77777777" w:rsidTr="005920C4">
        <w:trPr>
          <w:trHeight w:val="271"/>
        </w:trPr>
        <w:tc>
          <w:tcPr>
            <w:tcW w:w="2154" w:type="dxa"/>
            <w:vMerge/>
            <w:tcBorders>
              <w:left w:val="single" w:sz="4" w:space="0" w:color="000000"/>
              <w:right w:val="single" w:sz="4" w:space="0" w:color="000000"/>
            </w:tcBorders>
            <w:vAlign w:val="center"/>
          </w:tcPr>
          <w:p w14:paraId="23A6B4B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p>
        </w:tc>
        <w:tc>
          <w:tcPr>
            <w:tcW w:w="3368" w:type="dxa"/>
            <w:gridSpan w:val="3"/>
            <w:tcBorders>
              <w:top w:val="single" w:sz="4" w:space="0" w:color="000000"/>
              <w:left w:val="nil"/>
              <w:bottom w:val="single" w:sz="4" w:space="0" w:color="000000"/>
              <w:right w:val="single" w:sz="4" w:space="0" w:color="000000"/>
            </w:tcBorders>
            <w:vAlign w:val="center"/>
          </w:tcPr>
          <w:p w14:paraId="4D6EB39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Pr>
                <w:rFonts w:ascii="Times New Roman" w:eastAsia="맑은 고딕" w:hAnsi="Times New Roman" w:cs="Times New Roman" w:hint="eastAsia"/>
                <w:b/>
                <w:bCs/>
                <w:color w:val="000000"/>
                <w:kern w:val="0"/>
                <w:szCs w:val="20"/>
              </w:rPr>
              <w:t>U</w:t>
            </w:r>
            <w:r>
              <w:rPr>
                <w:rFonts w:ascii="Times New Roman" w:eastAsia="맑은 고딕" w:hAnsi="Times New Roman" w:cs="Times New Roman"/>
                <w:b/>
                <w:bCs/>
                <w:color w:val="000000"/>
                <w:kern w:val="0"/>
                <w:szCs w:val="20"/>
              </w:rPr>
              <w:t>nsuitable</w:t>
            </w:r>
          </w:p>
        </w:tc>
        <w:tc>
          <w:tcPr>
            <w:tcW w:w="4236" w:type="dxa"/>
            <w:gridSpan w:val="4"/>
            <w:tcBorders>
              <w:top w:val="single" w:sz="4" w:space="0" w:color="000000"/>
              <w:left w:val="nil"/>
              <w:bottom w:val="single" w:sz="4" w:space="0" w:color="000000"/>
              <w:right w:val="single" w:sz="4" w:space="0" w:color="000000"/>
            </w:tcBorders>
            <w:vAlign w:val="center"/>
          </w:tcPr>
          <w:p w14:paraId="2AEC275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Pr>
                <w:rFonts w:ascii="Times New Roman" w:eastAsia="맑은 고딕" w:hAnsi="Times New Roman" w:cs="Times New Roman" w:hint="eastAsia"/>
                <w:b/>
                <w:bCs/>
                <w:color w:val="000000"/>
                <w:kern w:val="0"/>
                <w:szCs w:val="20"/>
              </w:rPr>
              <w:t>S</w:t>
            </w:r>
            <w:r>
              <w:rPr>
                <w:rFonts w:ascii="Times New Roman" w:eastAsia="맑은 고딕" w:hAnsi="Times New Roman" w:cs="Times New Roman"/>
                <w:b/>
                <w:bCs/>
                <w:color w:val="000000"/>
                <w:kern w:val="0"/>
                <w:szCs w:val="20"/>
              </w:rPr>
              <w:t>uitable</w:t>
            </w:r>
          </w:p>
        </w:tc>
        <w:tc>
          <w:tcPr>
            <w:tcW w:w="3906" w:type="dxa"/>
            <w:gridSpan w:val="4"/>
            <w:tcBorders>
              <w:top w:val="single" w:sz="4" w:space="0" w:color="000000"/>
              <w:left w:val="nil"/>
              <w:bottom w:val="single" w:sz="4" w:space="0" w:color="000000"/>
              <w:right w:val="single" w:sz="4" w:space="0" w:color="000000"/>
            </w:tcBorders>
            <w:vAlign w:val="center"/>
          </w:tcPr>
          <w:p w14:paraId="40ADB74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Pr>
                <w:rFonts w:ascii="Times New Roman" w:eastAsia="맑은 고딕" w:hAnsi="Times New Roman" w:cs="Times New Roman" w:hint="eastAsia"/>
                <w:b/>
                <w:bCs/>
                <w:color w:val="000000"/>
                <w:kern w:val="0"/>
                <w:szCs w:val="20"/>
              </w:rPr>
              <w:t>H</w:t>
            </w:r>
            <w:r>
              <w:rPr>
                <w:rFonts w:ascii="Times New Roman" w:eastAsia="맑은 고딕" w:hAnsi="Times New Roman" w:cs="Times New Roman"/>
                <w:b/>
                <w:bCs/>
                <w:color w:val="000000"/>
                <w:kern w:val="0"/>
                <w:szCs w:val="20"/>
              </w:rPr>
              <w:t>ighly suitable</w:t>
            </w:r>
          </w:p>
        </w:tc>
      </w:tr>
      <w:tr w:rsidR="00647015" w:rsidRPr="00E037B3" w14:paraId="13C61378" w14:textId="77777777" w:rsidTr="005920C4">
        <w:trPr>
          <w:trHeight w:val="271"/>
        </w:trPr>
        <w:tc>
          <w:tcPr>
            <w:tcW w:w="2154" w:type="dxa"/>
            <w:vMerge/>
            <w:tcBorders>
              <w:left w:val="single" w:sz="4" w:space="0" w:color="000000"/>
              <w:bottom w:val="single" w:sz="4" w:space="0" w:color="000000"/>
              <w:right w:val="single" w:sz="4" w:space="0" w:color="000000"/>
            </w:tcBorders>
            <w:vAlign w:val="center"/>
            <w:hideMark/>
          </w:tcPr>
          <w:p w14:paraId="2652FF8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p>
        </w:tc>
        <w:tc>
          <w:tcPr>
            <w:tcW w:w="1079" w:type="dxa"/>
            <w:tcBorders>
              <w:top w:val="single" w:sz="4" w:space="0" w:color="000000"/>
              <w:left w:val="nil"/>
              <w:bottom w:val="single" w:sz="4" w:space="0" w:color="000000"/>
              <w:right w:val="single" w:sz="4" w:space="0" w:color="000000"/>
            </w:tcBorders>
            <w:vAlign w:val="center"/>
            <w:hideMark/>
          </w:tcPr>
          <w:p w14:paraId="5922380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[0-0.1)</w:t>
            </w:r>
          </w:p>
        </w:tc>
        <w:tc>
          <w:tcPr>
            <w:tcW w:w="1079" w:type="dxa"/>
            <w:tcBorders>
              <w:top w:val="single" w:sz="4" w:space="0" w:color="000000"/>
              <w:left w:val="nil"/>
              <w:bottom w:val="single" w:sz="4" w:space="0" w:color="000000"/>
              <w:right w:val="single" w:sz="4" w:space="0" w:color="000000"/>
            </w:tcBorders>
            <w:vAlign w:val="center"/>
            <w:hideMark/>
          </w:tcPr>
          <w:p w14:paraId="10CB8DA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[0.1-0.2)</w:t>
            </w:r>
          </w:p>
        </w:tc>
        <w:tc>
          <w:tcPr>
            <w:tcW w:w="1209" w:type="dxa"/>
            <w:tcBorders>
              <w:top w:val="single" w:sz="4" w:space="0" w:color="000000"/>
              <w:left w:val="nil"/>
              <w:bottom w:val="single" w:sz="4" w:space="0" w:color="000000"/>
              <w:right w:val="single" w:sz="4" w:space="0" w:color="000000"/>
            </w:tcBorders>
            <w:vAlign w:val="center"/>
            <w:hideMark/>
          </w:tcPr>
          <w:p w14:paraId="6C05185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[0.2-0.296)</w:t>
            </w:r>
          </w:p>
        </w:tc>
        <w:tc>
          <w:tcPr>
            <w:tcW w:w="1126" w:type="dxa"/>
            <w:tcBorders>
              <w:top w:val="single" w:sz="4" w:space="0" w:color="000000"/>
              <w:left w:val="nil"/>
              <w:bottom w:val="single" w:sz="4" w:space="0" w:color="000000"/>
              <w:right w:val="single" w:sz="4" w:space="0" w:color="000000"/>
            </w:tcBorders>
            <w:vAlign w:val="center"/>
            <w:hideMark/>
          </w:tcPr>
          <w:p w14:paraId="1A841DB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[0.296-0.3)</w:t>
            </w:r>
          </w:p>
        </w:tc>
        <w:tc>
          <w:tcPr>
            <w:tcW w:w="1079" w:type="dxa"/>
            <w:tcBorders>
              <w:top w:val="single" w:sz="4" w:space="0" w:color="000000"/>
              <w:left w:val="nil"/>
              <w:bottom w:val="single" w:sz="4" w:space="0" w:color="000000"/>
              <w:right w:val="single" w:sz="4" w:space="0" w:color="000000"/>
            </w:tcBorders>
            <w:vAlign w:val="center"/>
            <w:hideMark/>
          </w:tcPr>
          <w:p w14:paraId="5975F55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[0.3-0.4)</w:t>
            </w:r>
          </w:p>
        </w:tc>
        <w:tc>
          <w:tcPr>
            <w:tcW w:w="1015" w:type="dxa"/>
            <w:tcBorders>
              <w:top w:val="single" w:sz="4" w:space="0" w:color="000000"/>
              <w:left w:val="nil"/>
              <w:bottom w:val="single" w:sz="4" w:space="0" w:color="000000"/>
              <w:right w:val="single" w:sz="4" w:space="0" w:color="000000"/>
            </w:tcBorders>
            <w:vAlign w:val="center"/>
            <w:hideMark/>
          </w:tcPr>
          <w:p w14:paraId="1D51D2F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[0.4-0.5)</w:t>
            </w:r>
          </w:p>
        </w:tc>
        <w:tc>
          <w:tcPr>
            <w:tcW w:w="1015" w:type="dxa"/>
            <w:tcBorders>
              <w:top w:val="single" w:sz="4" w:space="0" w:color="000000"/>
              <w:left w:val="nil"/>
              <w:bottom w:val="single" w:sz="4" w:space="0" w:color="000000"/>
              <w:right w:val="single" w:sz="4" w:space="0" w:color="000000"/>
            </w:tcBorders>
            <w:vAlign w:val="center"/>
            <w:hideMark/>
          </w:tcPr>
          <w:p w14:paraId="6717F93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[0.5-0.6)</w:t>
            </w:r>
          </w:p>
        </w:tc>
        <w:tc>
          <w:tcPr>
            <w:tcW w:w="1015" w:type="dxa"/>
            <w:tcBorders>
              <w:top w:val="single" w:sz="4" w:space="0" w:color="000000"/>
              <w:left w:val="nil"/>
              <w:bottom w:val="single" w:sz="4" w:space="0" w:color="000000"/>
              <w:right w:val="single" w:sz="4" w:space="0" w:color="000000"/>
            </w:tcBorders>
            <w:vAlign w:val="center"/>
            <w:hideMark/>
          </w:tcPr>
          <w:p w14:paraId="1DC0B3D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[0.6-0.7)</w:t>
            </w:r>
          </w:p>
        </w:tc>
        <w:tc>
          <w:tcPr>
            <w:tcW w:w="1015" w:type="dxa"/>
            <w:tcBorders>
              <w:top w:val="single" w:sz="4" w:space="0" w:color="000000"/>
              <w:left w:val="nil"/>
              <w:bottom w:val="single" w:sz="4" w:space="0" w:color="000000"/>
              <w:right w:val="single" w:sz="4" w:space="0" w:color="000000"/>
            </w:tcBorders>
            <w:vAlign w:val="center"/>
            <w:hideMark/>
          </w:tcPr>
          <w:p w14:paraId="04C0C29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[0.7-0.8)</w:t>
            </w:r>
          </w:p>
        </w:tc>
        <w:tc>
          <w:tcPr>
            <w:tcW w:w="1015" w:type="dxa"/>
            <w:tcBorders>
              <w:top w:val="single" w:sz="4" w:space="0" w:color="000000"/>
              <w:left w:val="nil"/>
              <w:bottom w:val="single" w:sz="4" w:space="0" w:color="000000"/>
              <w:right w:val="single" w:sz="4" w:space="0" w:color="000000"/>
            </w:tcBorders>
            <w:vAlign w:val="center"/>
            <w:hideMark/>
          </w:tcPr>
          <w:p w14:paraId="71F5A8C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[0.8-0.9)</w:t>
            </w:r>
          </w:p>
        </w:tc>
        <w:tc>
          <w:tcPr>
            <w:tcW w:w="859" w:type="dxa"/>
            <w:tcBorders>
              <w:top w:val="single" w:sz="4" w:space="0" w:color="000000"/>
              <w:left w:val="nil"/>
              <w:bottom w:val="single" w:sz="4" w:space="0" w:color="000000"/>
              <w:right w:val="single" w:sz="4" w:space="0" w:color="000000"/>
            </w:tcBorders>
            <w:vAlign w:val="center"/>
            <w:hideMark/>
          </w:tcPr>
          <w:p w14:paraId="7859455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b/>
                <w:bCs/>
                <w:color w:val="000000"/>
                <w:kern w:val="0"/>
                <w:szCs w:val="20"/>
              </w:rPr>
            </w:pPr>
            <w:r w:rsidRPr="00E037B3">
              <w:rPr>
                <w:rFonts w:ascii="Times New Roman" w:eastAsia="맑은 고딕" w:hAnsi="Times New Roman" w:cs="Times New Roman"/>
                <w:b/>
                <w:bCs/>
                <w:color w:val="000000"/>
                <w:kern w:val="0"/>
                <w:szCs w:val="20"/>
              </w:rPr>
              <w:t>[0.9-1]</w:t>
            </w:r>
          </w:p>
        </w:tc>
      </w:tr>
      <w:tr w:rsidR="00647015" w:rsidRPr="00E037B3" w14:paraId="7124077C"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30E5959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South Korea</w:t>
            </w:r>
          </w:p>
        </w:tc>
        <w:tc>
          <w:tcPr>
            <w:tcW w:w="1079" w:type="dxa"/>
            <w:tcBorders>
              <w:top w:val="nil"/>
              <w:left w:val="nil"/>
              <w:bottom w:val="single" w:sz="4" w:space="0" w:color="000000"/>
              <w:right w:val="single" w:sz="4" w:space="0" w:color="000000"/>
            </w:tcBorders>
            <w:vAlign w:val="center"/>
            <w:hideMark/>
          </w:tcPr>
          <w:p w14:paraId="72A9C2F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73989.83</w:t>
            </w:r>
          </w:p>
        </w:tc>
        <w:tc>
          <w:tcPr>
            <w:tcW w:w="1079" w:type="dxa"/>
            <w:tcBorders>
              <w:top w:val="nil"/>
              <w:left w:val="nil"/>
              <w:bottom w:val="single" w:sz="4" w:space="0" w:color="000000"/>
              <w:right w:val="single" w:sz="4" w:space="0" w:color="000000"/>
            </w:tcBorders>
            <w:vAlign w:val="center"/>
            <w:hideMark/>
          </w:tcPr>
          <w:p w14:paraId="75AA2FA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5528.603</w:t>
            </w:r>
          </w:p>
        </w:tc>
        <w:tc>
          <w:tcPr>
            <w:tcW w:w="1209" w:type="dxa"/>
            <w:tcBorders>
              <w:top w:val="nil"/>
              <w:left w:val="nil"/>
              <w:bottom w:val="single" w:sz="4" w:space="0" w:color="000000"/>
              <w:right w:val="single" w:sz="4" w:space="0" w:color="000000"/>
            </w:tcBorders>
            <w:vAlign w:val="center"/>
            <w:hideMark/>
          </w:tcPr>
          <w:p w14:paraId="1CF358D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2741.085</w:t>
            </w:r>
          </w:p>
        </w:tc>
        <w:tc>
          <w:tcPr>
            <w:tcW w:w="1126" w:type="dxa"/>
            <w:tcBorders>
              <w:top w:val="nil"/>
              <w:left w:val="nil"/>
              <w:bottom w:val="single" w:sz="4" w:space="0" w:color="000000"/>
              <w:right w:val="single" w:sz="4" w:space="0" w:color="000000"/>
            </w:tcBorders>
            <w:vAlign w:val="center"/>
            <w:hideMark/>
          </w:tcPr>
          <w:p w14:paraId="3EA2E52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88.068</w:t>
            </w:r>
          </w:p>
        </w:tc>
        <w:tc>
          <w:tcPr>
            <w:tcW w:w="1079" w:type="dxa"/>
            <w:tcBorders>
              <w:top w:val="nil"/>
              <w:left w:val="nil"/>
              <w:bottom w:val="single" w:sz="4" w:space="0" w:color="000000"/>
              <w:right w:val="single" w:sz="4" w:space="0" w:color="000000"/>
            </w:tcBorders>
            <w:vAlign w:val="center"/>
            <w:hideMark/>
          </w:tcPr>
          <w:p w14:paraId="0A3CD3F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1766.635</w:t>
            </w:r>
          </w:p>
        </w:tc>
        <w:tc>
          <w:tcPr>
            <w:tcW w:w="1015" w:type="dxa"/>
            <w:tcBorders>
              <w:top w:val="nil"/>
              <w:left w:val="nil"/>
              <w:bottom w:val="single" w:sz="4" w:space="0" w:color="000000"/>
              <w:right w:val="single" w:sz="4" w:space="0" w:color="000000"/>
            </w:tcBorders>
            <w:vAlign w:val="center"/>
            <w:hideMark/>
          </w:tcPr>
          <w:p w14:paraId="5A9D892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1222.76</w:t>
            </w:r>
          </w:p>
        </w:tc>
        <w:tc>
          <w:tcPr>
            <w:tcW w:w="1015" w:type="dxa"/>
            <w:tcBorders>
              <w:top w:val="nil"/>
              <w:left w:val="nil"/>
              <w:bottom w:val="single" w:sz="4" w:space="0" w:color="000000"/>
              <w:right w:val="single" w:sz="4" w:space="0" w:color="000000"/>
            </w:tcBorders>
            <w:vAlign w:val="center"/>
            <w:hideMark/>
          </w:tcPr>
          <w:p w14:paraId="68A424E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895.349</w:t>
            </w:r>
          </w:p>
        </w:tc>
        <w:tc>
          <w:tcPr>
            <w:tcW w:w="1015" w:type="dxa"/>
            <w:tcBorders>
              <w:top w:val="nil"/>
              <w:left w:val="nil"/>
              <w:bottom w:val="single" w:sz="4" w:space="0" w:color="000000"/>
              <w:right w:val="single" w:sz="4" w:space="0" w:color="000000"/>
            </w:tcBorders>
            <w:vAlign w:val="center"/>
            <w:hideMark/>
          </w:tcPr>
          <w:p w14:paraId="7C290D3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704.645</w:t>
            </w:r>
          </w:p>
        </w:tc>
        <w:tc>
          <w:tcPr>
            <w:tcW w:w="1015" w:type="dxa"/>
            <w:tcBorders>
              <w:top w:val="nil"/>
              <w:left w:val="nil"/>
              <w:bottom w:val="single" w:sz="4" w:space="0" w:color="000000"/>
              <w:right w:val="single" w:sz="4" w:space="0" w:color="000000"/>
            </w:tcBorders>
            <w:vAlign w:val="center"/>
            <w:hideMark/>
          </w:tcPr>
          <w:p w14:paraId="4DED83A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546.399</w:t>
            </w:r>
          </w:p>
        </w:tc>
        <w:tc>
          <w:tcPr>
            <w:tcW w:w="1015" w:type="dxa"/>
            <w:tcBorders>
              <w:top w:val="nil"/>
              <w:left w:val="nil"/>
              <w:bottom w:val="single" w:sz="4" w:space="0" w:color="000000"/>
              <w:right w:val="single" w:sz="4" w:space="0" w:color="000000"/>
            </w:tcBorders>
            <w:vAlign w:val="center"/>
            <w:hideMark/>
          </w:tcPr>
          <w:p w14:paraId="2BE1456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328.324</w:t>
            </w:r>
          </w:p>
        </w:tc>
        <w:tc>
          <w:tcPr>
            <w:tcW w:w="859" w:type="dxa"/>
            <w:tcBorders>
              <w:top w:val="nil"/>
              <w:left w:val="nil"/>
              <w:bottom w:val="single" w:sz="4" w:space="0" w:color="000000"/>
              <w:right w:val="single" w:sz="4" w:space="0" w:color="000000"/>
            </w:tcBorders>
            <w:vAlign w:val="center"/>
            <w:hideMark/>
          </w:tcPr>
          <w:p w14:paraId="7C30A48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74.659</w:t>
            </w:r>
          </w:p>
        </w:tc>
      </w:tr>
      <w:tr w:rsidR="00647015" w:rsidRPr="00E037B3" w14:paraId="1B639DF5"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0E400E6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S</w:t>
            </w:r>
            <w:r>
              <w:rPr>
                <w:rFonts w:ascii="Times New Roman" w:eastAsia="맑은 고딕" w:hAnsi="Times New Roman" w:cs="Times New Roman"/>
                <w:color w:val="000000"/>
                <w:kern w:val="0"/>
                <w:szCs w:val="20"/>
              </w:rPr>
              <w:t>eoul</w:t>
            </w:r>
          </w:p>
        </w:tc>
        <w:tc>
          <w:tcPr>
            <w:tcW w:w="1079" w:type="dxa"/>
            <w:tcBorders>
              <w:top w:val="nil"/>
              <w:left w:val="nil"/>
              <w:bottom w:val="single" w:sz="4" w:space="0" w:color="000000"/>
              <w:right w:val="single" w:sz="4" w:space="0" w:color="000000"/>
            </w:tcBorders>
            <w:vAlign w:val="center"/>
            <w:hideMark/>
          </w:tcPr>
          <w:p w14:paraId="4A75E7C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589.978</w:t>
            </w:r>
          </w:p>
        </w:tc>
        <w:tc>
          <w:tcPr>
            <w:tcW w:w="1079" w:type="dxa"/>
            <w:tcBorders>
              <w:top w:val="nil"/>
              <w:left w:val="nil"/>
              <w:bottom w:val="single" w:sz="4" w:space="0" w:color="000000"/>
              <w:right w:val="single" w:sz="4" w:space="0" w:color="000000"/>
            </w:tcBorders>
            <w:vAlign w:val="center"/>
            <w:hideMark/>
          </w:tcPr>
          <w:p w14:paraId="28498D0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7.093</w:t>
            </w:r>
          </w:p>
        </w:tc>
        <w:tc>
          <w:tcPr>
            <w:tcW w:w="1209" w:type="dxa"/>
            <w:tcBorders>
              <w:top w:val="nil"/>
              <w:left w:val="nil"/>
              <w:bottom w:val="single" w:sz="4" w:space="0" w:color="000000"/>
              <w:right w:val="single" w:sz="4" w:space="0" w:color="000000"/>
            </w:tcBorders>
            <w:vAlign w:val="center"/>
            <w:hideMark/>
          </w:tcPr>
          <w:p w14:paraId="28B3B67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5.633</w:t>
            </w:r>
          </w:p>
        </w:tc>
        <w:tc>
          <w:tcPr>
            <w:tcW w:w="1126" w:type="dxa"/>
            <w:tcBorders>
              <w:top w:val="nil"/>
              <w:left w:val="nil"/>
              <w:bottom w:val="single" w:sz="4" w:space="0" w:color="000000"/>
              <w:right w:val="single" w:sz="4" w:space="0" w:color="000000"/>
            </w:tcBorders>
            <w:vAlign w:val="center"/>
            <w:hideMark/>
          </w:tcPr>
          <w:p w14:paraId="116C795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0.226</w:t>
            </w:r>
          </w:p>
        </w:tc>
        <w:tc>
          <w:tcPr>
            <w:tcW w:w="1079" w:type="dxa"/>
            <w:tcBorders>
              <w:top w:val="nil"/>
              <w:left w:val="nil"/>
              <w:bottom w:val="single" w:sz="4" w:space="0" w:color="000000"/>
              <w:right w:val="single" w:sz="4" w:space="0" w:color="000000"/>
            </w:tcBorders>
            <w:vAlign w:val="center"/>
            <w:hideMark/>
          </w:tcPr>
          <w:p w14:paraId="097773E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6.853</w:t>
            </w:r>
          </w:p>
        </w:tc>
        <w:tc>
          <w:tcPr>
            <w:tcW w:w="1015" w:type="dxa"/>
            <w:tcBorders>
              <w:top w:val="nil"/>
              <w:left w:val="nil"/>
              <w:bottom w:val="single" w:sz="4" w:space="0" w:color="000000"/>
              <w:right w:val="single" w:sz="4" w:space="0" w:color="000000"/>
            </w:tcBorders>
            <w:vAlign w:val="center"/>
            <w:hideMark/>
          </w:tcPr>
          <w:p w14:paraId="46A5CCA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4.526</w:t>
            </w:r>
          </w:p>
        </w:tc>
        <w:tc>
          <w:tcPr>
            <w:tcW w:w="1015" w:type="dxa"/>
            <w:tcBorders>
              <w:top w:val="nil"/>
              <w:left w:val="nil"/>
              <w:bottom w:val="single" w:sz="4" w:space="0" w:color="000000"/>
              <w:right w:val="single" w:sz="4" w:space="0" w:color="000000"/>
            </w:tcBorders>
            <w:vAlign w:val="center"/>
            <w:hideMark/>
          </w:tcPr>
          <w:p w14:paraId="61A88F1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2.13</w:t>
            </w:r>
          </w:p>
        </w:tc>
        <w:tc>
          <w:tcPr>
            <w:tcW w:w="1015" w:type="dxa"/>
            <w:tcBorders>
              <w:top w:val="nil"/>
              <w:left w:val="nil"/>
              <w:bottom w:val="single" w:sz="4" w:space="0" w:color="000000"/>
              <w:right w:val="single" w:sz="4" w:space="0" w:color="000000"/>
            </w:tcBorders>
            <w:vAlign w:val="center"/>
            <w:hideMark/>
          </w:tcPr>
          <w:p w14:paraId="1A8715B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1.505</w:t>
            </w:r>
          </w:p>
        </w:tc>
        <w:tc>
          <w:tcPr>
            <w:tcW w:w="1015" w:type="dxa"/>
            <w:tcBorders>
              <w:top w:val="nil"/>
              <w:left w:val="nil"/>
              <w:bottom w:val="single" w:sz="4" w:space="0" w:color="000000"/>
              <w:right w:val="single" w:sz="4" w:space="0" w:color="000000"/>
            </w:tcBorders>
            <w:vAlign w:val="center"/>
            <w:hideMark/>
          </w:tcPr>
          <w:p w14:paraId="4B58E09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0.385</w:t>
            </w:r>
          </w:p>
        </w:tc>
        <w:tc>
          <w:tcPr>
            <w:tcW w:w="1015" w:type="dxa"/>
            <w:tcBorders>
              <w:top w:val="nil"/>
              <w:left w:val="nil"/>
              <w:bottom w:val="single" w:sz="4" w:space="0" w:color="000000"/>
              <w:right w:val="single" w:sz="4" w:space="0" w:color="000000"/>
            </w:tcBorders>
            <w:vAlign w:val="center"/>
            <w:hideMark/>
          </w:tcPr>
          <w:p w14:paraId="2BAC521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0CD67C1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4E21A50D"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57AF6F6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B</w:t>
            </w:r>
            <w:r>
              <w:rPr>
                <w:rFonts w:ascii="Times New Roman" w:eastAsia="맑은 고딕" w:hAnsi="Times New Roman" w:cs="Times New Roman"/>
                <w:color w:val="000000"/>
                <w:kern w:val="0"/>
                <w:szCs w:val="20"/>
              </w:rPr>
              <w:t>usan</w:t>
            </w:r>
          </w:p>
        </w:tc>
        <w:tc>
          <w:tcPr>
            <w:tcW w:w="1079" w:type="dxa"/>
            <w:tcBorders>
              <w:top w:val="nil"/>
              <w:left w:val="nil"/>
              <w:bottom w:val="single" w:sz="4" w:space="0" w:color="000000"/>
              <w:right w:val="single" w:sz="4" w:space="0" w:color="000000"/>
            </w:tcBorders>
            <w:vAlign w:val="center"/>
            <w:hideMark/>
          </w:tcPr>
          <w:p w14:paraId="0052CE5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685.283</w:t>
            </w:r>
          </w:p>
        </w:tc>
        <w:tc>
          <w:tcPr>
            <w:tcW w:w="1079" w:type="dxa"/>
            <w:tcBorders>
              <w:top w:val="nil"/>
              <w:left w:val="nil"/>
              <w:bottom w:val="single" w:sz="4" w:space="0" w:color="000000"/>
              <w:right w:val="single" w:sz="4" w:space="0" w:color="000000"/>
            </w:tcBorders>
            <w:vAlign w:val="center"/>
            <w:hideMark/>
          </w:tcPr>
          <w:p w14:paraId="03C2B15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28.299</w:t>
            </w:r>
          </w:p>
        </w:tc>
        <w:tc>
          <w:tcPr>
            <w:tcW w:w="1209" w:type="dxa"/>
            <w:tcBorders>
              <w:top w:val="nil"/>
              <w:left w:val="nil"/>
              <w:bottom w:val="single" w:sz="4" w:space="0" w:color="000000"/>
              <w:right w:val="single" w:sz="4" w:space="0" w:color="000000"/>
            </w:tcBorders>
            <w:vAlign w:val="center"/>
            <w:hideMark/>
          </w:tcPr>
          <w:p w14:paraId="5F1AAA0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0.008</w:t>
            </w:r>
          </w:p>
        </w:tc>
        <w:tc>
          <w:tcPr>
            <w:tcW w:w="1126" w:type="dxa"/>
            <w:tcBorders>
              <w:top w:val="nil"/>
              <w:left w:val="nil"/>
              <w:bottom w:val="single" w:sz="4" w:space="0" w:color="000000"/>
              <w:right w:val="single" w:sz="4" w:space="0" w:color="000000"/>
            </w:tcBorders>
            <w:vAlign w:val="center"/>
            <w:hideMark/>
          </w:tcPr>
          <w:p w14:paraId="1CFAB39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79" w:type="dxa"/>
            <w:tcBorders>
              <w:top w:val="nil"/>
              <w:left w:val="nil"/>
              <w:bottom w:val="single" w:sz="4" w:space="0" w:color="000000"/>
              <w:right w:val="single" w:sz="4" w:space="0" w:color="000000"/>
            </w:tcBorders>
            <w:vAlign w:val="center"/>
            <w:hideMark/>
          </w:tcPr>
          <w:p w14:paraId="58C7722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7673300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C05C7D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44D1755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28EDDA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2DDA03B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1FCE731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791065D8"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7BC5B4F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D</w:t>
            </w:r>
            <w:r>
              <w:rPr>
                <w:rFonts w:ascii="Times New Roman" w:eastAsia="맑은 고딕" w:hAnsi="Times New Roman" w:cs="Times New Roman"/>
                <w:color w:val="000000"/>
                <w:kern w:val="0"/>
                <w:szCs w:val="20"/>
              </w:rPr>
              <w:t>aegu</w:t>
            </w:r>
          </w:p>
        </w:tc>
        <w:tc>
          <w:tcPr>
            <w:tcW w:w="1079" w:type="dxa"/>
            <w:tcBorders>
              <w:top w:val="nil"/>
              <w:left w:val="nil"/>
              <w:bottom w:val="single" w:sz="4" w:space="0" w:color="000000"/>
              <w:right w:val="single" w:sz="4" w:space="0" w:color="000000"/>
            </w:tcBorders>
            <w:vAlign w:val="center"/>
            <w:hideMark/>
          </w:tcPr>
          <w:p w14:paraId="6ABB7DD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842.385</w:t>
            </w:r>
          </w:p>
        </w:tc>
        <w:tc>
          <w:tcPr>
            <w:tcW w:w="1079" w:type="dxa"/>
            <w:tcBorders>
              <w:top w:val="nil"/>
              <w:left w:val="nil"/>
              <w:bottom w:val="single" w:sz="4" w:space="0" w:color="000000"/>
              <w:right w:val="single" w:sz="4" w:space="0" w:color="000000"/>
            </w:tcBorders>
            <w:vAlign w:val="center"/>
            <w:hideMark/>
          </w:tcPr>
          <w:p w14:paraId="35D8219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29.398</w:t>
            </w:r>
          </w:p>
        </w:tc>
        <w:tc>
          <w:tcPr>
            <w:tcW w:w="1209" w:type="dxa"/>
            <w:tcBorders>
              <w:top w:val="nil"/>
              <w:left w:val="nil"/>
              <w:bottom w:val="single" w:sz="4" w:space="0" w:color="000000"/>
              <w:right w:val="single" w:sz="4" w:space="0" w:color="000000"/>
            </w:tcBorders>
            <w:vAlign w:val="center"/>
            <w:hideMark/>
          </w:tcPr>
          <w:p w14:paraId="3F8D47F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12.819</w:t>
            </w:r>
          </w:p>
        </w:tc>
        <w:tc>
          <w:tcPr>
            <w:tcW w:w="1126" w:type="dxa"/>
            <w:tcBorders>
              <w:top w:val="nil"/>
              <w:left w:val="nil"/>
              <w:bottom w:val="single" w:sz="4" w:space="0" w:color="000000"/>
              <w:right w:val="single" w:sz="4" w:space="0" w:color="000000"/>
            </w:tcBorders>
            <w:vAlign w:val="center"/>
            <w:hideMark/>
          </w:tcPr>
          <w:p w14:paraId="2A0EABB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0.357</w:t>
            </w:r>
          </w:p>
        </w:tc>
        <w:tc>
          <w:tcPr>
            <w:tcW w:w="1079" w:type="dxa"/>
            <w:tcBorders>
              <w:top w:val="nil"/>
              <w:left w:val="nil"/>
              <w:bottom w:val="single" w:sz="4" w:space="0" w:color="000000"/>
              <w:right w:val="single" w:sz="4" w:space="0" w:color="000000"/>
            </w:tcBorders>
            <w:vAlign w:val="center"/>
            <w:hideMark/>
          </w:tcPr>
          <w:p w14:paraId="0FDE754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3.296</w:t>
            </w:r>
          </w:p>
        </w:tc>
        <w:tc>
          <w:tcPr>
            <w:tcW w:w="1015" w:type="dxa"/>
            <w:tcBorders>
              <w:top w:val="nil"/>
              <w:left w:val="nil"/>
              <w:bottom w:val="single" w:sz="4" w:space="0" w:color="000000"/>
              <w:right w:val="single" w:sz="4" w:space="0" w:color="000000"/>
            </w:tcBorders>
            <w:vAlign w:val="center"/>
            <w:hideMark/>
          </w:tcPr>
          <w:p w14:paraId="644610E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6F03BEF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7DC2016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16BC365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4D7C84F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3D04B7E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7EF08118"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0520078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Incheon</w:t>
            </w:r>
          </w:p>
        </w:tc>
        <w:tc>
          <w:tcPr>
            <w:tcW w:w="1079" w:type="dxa"/>
            <w:tcBorders>
              <w:top w:val="nil"/>
              <w:left w:val="nil"/>
              <w:bottom w:val="single" w:sz="4" w:space="0" w:color="000000"/>
              <w:right w:val="single" w:sz="4" w:space="0" w:color="000000"/>
            </w:tcBorders>
            <w:vAlign w:val="center"/>
            <w:hideMark/>
          </w:tcPr>
          <w:p w14:paraId="38CCB96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293.302</w:t>
            </w:r>
          </w:p>
        </w:tc>
        <w:tc>
          <w:tcPr>
            <w:tcW w:w="1079" w:type="dxa"/>
            <w:tcBorders>
              <w:top w:val="nil"/>
              <w:left w:val="nil"/>
              <w:bottom w:val="single" w:sz="4" w:space="0" w:color="000000"/>
              <w:right w:val="single" w:sz="4" w:space="0" w:color="000000"/>
            </w:tcBorders>
            <w:vAlign w:val="center"/>
            <w:hideMark/>
          </w:tcPr>
          <w:p w14:paraId="20F1809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8.487</w:t>
            </w:r>
          </w:p>
        </w:tc>
        <w:tc>
          <w:tcPr>
            <w:tcW w:w="1209" w:type="dxa"/>
            <w:tcBorders>
              <w:top w:val="nil"/>
              <w:left w:val="nil"/>
              <w:bottom w:val="single" w:sz="4" w:space="0" w:color="000000"/>
              <w:right w:val="single" w:sz="4" w:space="0" w:color="000000"/>
            </w:tcBorders>
            <w:vAlign w:val="center"/>
            <w:hideMark/>
          </w:tcPr>
          <w:p w14:paraId="6BDE97A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13.39</w:t>
            </w:r>
          </w:p>
        </w:tc>
        <w:tc>
          <w:tcPr>
            <w:tcW w:w="1126" w:type="dxa"/>
            <w:tcBorders>
              <w:top w:val="nil"/>
              <w:left w:val="nil"/>
              <w:bottom w:val="single" w:sz="4" w:space="0" w:color="000000"/>
              <w:right w:val="single" w:sz="4" w:space="0" w:color="000000"/>
            </w:tcBorders>
            <w:vAlign w:val="center"/>
            <w:hideMark/>
          </w:tcPr>
          <w:p w14:paraId="556C3B4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0.73</w:t>
            </w:r>
          </w:p>
        </w:tc>
        <w:tc>
          <w:tcPr>
            <w:tcW w:w="1079" w:type="dxa"/>
            <w:tcBorders>
              <w:top w:val="nil"/>
              <w:left w:val="nil"/>
              <w:bottom w:val="single" w:sz="4" w:space="0" w:color="000000"/>
              <w:right w:val="single" w:sz="4" w:space="0" w:color="000000"/>
            </w:tcBorders>
            <w:vAlign w:val="center"/>
            <w:hideMark/>
          </w:tcPr>
          <w:p w14:paraId="342BF92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20.14</w:t>
            </w:r>
          </w:p>
        </w:tc>
        <w:tc>
          <w:tcPr>
            <w:tcW w:w="1015" w:type="dxa"/>
            <w:tcBorders>
              <w:top w:val="nil"/>
              <w:left w:val="nil"/>
              <w:bottom w:val="single" w:sz="4" w:space="0" w:color="000000"/>
              <w:right w:val="single" w:sz="4" w:space="0" w:color="000000"/>
            </w:tcBorders>
            <w:vAlign w:val="center"/>
            <w:hideMark/>
          </w:tcPr>
          <w:p w14:paraId="1603050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22.199</w:t>
            </w:r>
          </w:p>
        </w:tc>
        <w:tc>
          <w:tcPr>
            <w:tcW w:w="1015" w:type="dxa"/>
            <w:tcBorders>
              <w:top w:val="nil"/>
              <w:left w:val="nil"/>
              <w:bottom w:val="single" w:sz="4" w:space="0" w:color="000000"/>
              <w:right w:val="single" w:sz="4" w:space="0" w:color="000000"/>
            </w:tcBorders>
            <w:vAlign w:val="center"/>
            <w:hideMark/>
          </w:tcPr>
          <w:p w14:paraId="0CE46A3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16.495</w:t>
            </w:r>
          </w:p>
        </w:tc>
        <w:tc>
          <w:tcPr>
            <w:tcW w:w="1015" w:type="dxa"/>
            <w:tcBorders>
              <w:top w:val="nil"/>
              <w:left w:val="nil"/>
              <w:bottom w:val="single" w:sz="4" w:space="0" w:color="000000"/>
              <w:right w:val="single" w:sz="4" w:space="0" w:color="000000"/>
            </w:tcBorders>
            <w:vAlign w:val="center"/>
            <w:hideMark/>
          </w:tcPr>
          <w:p w14:paraId="31CB417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12.454</w:t>
            </w:r>
          </w:p>
        </w:tc>
        <w:tc>
          <w:tcPr>
            <w:tcW w:w="1015" w:type="dxa"/>
            <w:tcBorders>
              <w:top w:val="nil"/>
              <w:left w:val="nil"/>
              <w:bottom w:val="single" w:sz="4" w:space="0" w:color="000000"/>
              <w:right w:val="single" w:sz="4" w:space="0" w:color="000000"/>
            </w:tcBorders>
            <w:vAlign w:val="center"/>
            <w:hideMark/>
          </w:tcPr>
          <w:p w14:paraId="5D9BD76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3.288</w:t>
            </w:r>
          </w:p>
        </w:tc>
        <w:tc>
          <w:tcPr>
            <w:tcW w:w="1015" w:type="dxa"/>
            <w:tcBorders>
              <w:top w:val="nil"/>
              <w:left w:val="nil"/>
              <w:bottom w:val="single" w:sz="4" w:space="0" w:color="000000"/>
              <w:right w:val="single" w:sz="4" w:space="0" w:color="000000"/>
            </w:tcBorders>
            <w:vAlign w:val="center"/>
            <w:hideMark/>
          </w:tcPr>
          <w:p w14:paraId="3EA4AFA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0.004</w:t>
            </w:r>
          </w:p>
        </w:tc>
        <w:tc>
          <w:tcPr>
            <w:tcW w:w="859" w:type="dxa"/>
            <w:tcBorders>
              <w:top w:val="nil"/>
              <w:left w:val="nil"/>
              <w:bottom w:val="single" w:sz="4" w:space="0" w:color="000000"/>
              <w:right w:val="single" w:sz="4" w:space="0" w:color="000000"/>
            </w:tcBorders>
            <w:vAlign w:val="center"/>
            <w:hideMark/>
          </w:tcPr>
          <w:p w14:paraId="4EF3EDA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0DFB1542"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6B9571B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G</w:t>
            </w:r>
            <w:r>
              <w:rPr>
                <w:rFonts w:ascii="Times New Roman" w:eastAsia="맑은 고딕" w:hAnsi="Times New Roman" w:cs="Times New Roman"/>
                <w:color w:val="000000"/>
                <w:kern w:val="0"/>
                <w:szCs w:val="20"/>
              </w:rPr>
              <w:t>wangju</w:t>
            </w:r>
          </w:p>
        </w:tc>
        <w:tc>
          <w:tcPr>
            <w:tcW w:w="1079" w:type="dxa"/>
            <w:tcBorders>
              <w:top w:val="nil"/>
              <w:left w:val="nil"/>
              <w:bottom w:val="single" w:sz="4" w:space="0" w:color="000000"/>
              <w:right w:val="single" w:sz="4" w:space="0" w:color="000000"/>
            </w:tcBorders>
            <w:vAlign w:val="center"/>
            <w:hideMark/>
          </w:tcPr>
          <w:p w14:paraId="5F38B7B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437.853</w:t>
            </w:r>
          </w:p>
        </w:tc>
        <w:tc>
          <w:tcPr>
            <w:tcW w:w="1079" w:type="dxa"/>
            <w:tcBorders>
              <w:top w:val="nil"/>
              <w:left w:val="nil"/>
              <w:bottom w:val="single" w:sz="4" w:space="0" w:color="000000"/>
              <w:right w:val="single" w:sz="4" w:space="0" w:color="000000"/>
            </w:tcBorders>
            <w:vAlign w:val="center"/>
            <w:hideMark/>
          </w:tcPr>
          <w:p w14:paraId="1DED153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31.948</w:t>
            </w:r>
          </w:p>
        </w:tc>
        <w:tc>
          <w:tcPr>
            <w:tcW w:w="1209" w:type="dxa"/>
            <w:tcBorders>
              <w:top w:val="nil"/>
              <w:left w:val="nil"/>
              <w:bottom w:val="single" w:sz="4" w:space="0" w:color="000000"/>
              <w:right w:val="single" w:sz="4" w:space="0" w:color="000000"/>
            </w:tcBorders>
            <w:vAlign w:val="center"/>
            <w:hideMark/>
          </w:tcPr>
          <w:p w14:paraId="2B54A79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26.085</w:t>
            </w:r>
          </w:p>
        </w:tc>
        <w:tc>
          <w:tcPr>
            <w:tcW w:w="1126" w:type="dxa"/>
            <w:tcBorders>
              <w:top w:val="nil"/>
              <w:left w:val="nil"/>
              <w:bottom w:val="single" w:sz="4" w:space="0" w:color="000000"/>
              <w:right w:val="single" w:sz="4" w:space="0" w:color="000000"/>
            </w:tcBorders>
            <w:vAlign w:val="center"/>
            <w:hideMark/>
          </w:tcPr>
          <w:p w14:paraId="69AF25C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1.52</w:t>
            </w:r>
          </w:p>
        </w:tc>
        <w:tc>
          <w:tcPr>
            <w:tcW w:w="1079" w:type="dxa"/>
            <w:tcBorders>
              <w:top w:val="nil"/>
              <w:left w:val="nil"/>
              <w:bottom w:val="single" w:sz="4" w:space="0" w:color="000000"/>
              <w:right w:val="single" w:sz="4" w:space="0" w:color="000000"/>
            </w:tcBorders>
            <w:vAlign w:val="center"/>
            <w:hideMark/>
          </w:tcPr>
          <w:p w14:paraId="7F49F54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6.477</w:t>
            </w:r>
          </w:p>
        </w:tc>
        <w:tc>
          <w:tcPr>
            <w:tcW w:w="1015" w:type="dxa"/>
            <w:tcBorders>
              <w:top w:val="nil"/>
              <w:left w:val="nil"/>
              <w:bottom w:val="single" w:sz="4" w:space="0" w:color="000000"/>
              <w:right w:val="single" w:sz="4" w:space="0" w:color="000000"/>
            </w:tcBorders>
            <w:vAlign w:val="center"/>
            <w:hideMark/>
          </w:tcPr>
          <w:p w14:paraId="53545DE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0.013</w:t>
            </w:r>
          </w:p>
        </w:tc>
        <w:tc>
          <w:tcPr>
            <w:tcW w:w="1015" w:type="dxa"/>
            <w:tcBorders>
              <w:top w:val="nil"/>
              <w:left w:val="nil"/>
              <w:bottom w:val="single" w:sz="4" w:space="0" w:color="000000"/>
              <w:right w:val="single" w:sz="4" w:space="0" w:color="000000"/>
            </w:tcBorders>
            <w:vAlign w:val="center"/>
            <w:hideMark/>
          </w:tcPr>
          <w:p w14:paraId="66A3DD3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76A161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7BDF4AE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404936C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53C6D58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125C196C"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746B3DB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D</w:t>
            </w:r>
            <w:r>
              <w:rPr>
                <w:rFonts w:ascii="Times New Roman" w:eastAsia="맑은 고딕" w:hAnsi="Times New Roman" w:cs="Times New Roman"/>
                <w:color w:val="000000"/>
                <w:kern w:val="0"/>
                <w:szCs w:val="20"/>
              </w:rPr>
              <w:t>aejeon</w:t>
            </w:r>
          </w:p>
        </w:tc>
        <w:tc>
          <w:tcPr>
            <w:tcW w:w="1079" w:type="dxa"/>
            <w:tcBorders>
              <w:top w:val="nil"/>
              <w:left w:val="nil"/>
              <w:bottom w:val="single" w:sz="4" w:space="0" w:color="000000"/>
              <w:right w:val="single" w:sz="4" w:space="0" w:color="000000"/>
            </w:tcBorders>
            <w:vAlign w:val="center"/>
            <w:hideMark/>
          </w:tcPr>
          <w:p w14:paraId="512AC2C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492.071</w:t>
            </w:r>
          </w:p>
        </w:tc>
        <w:tc>
          <w:tcPr>
            <w:tcW w:w="1079" w:type="dxa"/>
            <w:tcBorders>
              <w:top w:val="nil"/>
              <w:left w:val="nil"/>
              <w:bottom w:val="single" w:sz="4" w:space="0" w:color="000000"/>
              <w:right w:val="single" w:sz="4" w:space="0" w:color="000000"/>
            </w:tcBorders>
            <w:vAlign w:val="center"/>
            <w:hideMark/>
          </w:tcPr>
          <w:p w14:paraId="707E784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38.179</w:t>
            </w:r>
          </w:p>
        </w:tc>
        <w:tc>
          <w:tcPr>
            <w:tcW w:w="1209" w:type="dxa"/>
            <w:tcBorders>
              <w:top w:val="nil"/>
              <w:left w:val="nil"/>
              <w:bottom w:val="single" w:sz="4" w:space="0" w:color="000000"/>
              <w:right w:val="single" w:sz="4" w:space="0" w:color="000000"/>
            </w:tcBorders>
            <w:vAlign w:val="center"/>
            <w:hideMark/>
          </w:tcPr>
          <w:p w14:paraId="3ED9E40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10.869</w:t>
            </w:r>
          </w:p>
        </w:tc>
        <w:tc>
          <w:tcPr>
            <w:tcW w:w="1126" w:type="dxa"/>
            <w:tcBorders>
              <w:top w:val="nil"/>
              <w:left w:val="nil"/>
              <w:bottom w:val="single" w:sz="4" w:space="0" w:color="000000"/>
              <w:right w:val="single" w:sz="4" w:space="0" w:color="000000"/>
            </w:tcBorders>
            <w:vAlign w:val="center"/>
            <w:hideMark/>
          </w:tcPr>
          <w:p w14:paraId="480EF56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0.157</w:t>
            </w:r>
          </w:p>
        </w:tc>
        <w:tc>
          <w:tcPr>
            <w:tcW w:w="1079" w:type="dxa"/>
            <w:tcBorders>
              <w:top w:val="nil"/>
              <w:left w:val="nil"/>
              <w:bottom w:val="single" w:sz="4" w:space="0" w:color="000000"/>
              <w:right w:val="single" w:sz="4" w:space="0" w:color="000000"/>
            </w:tcBorders>
            <w:vAlign w:val="center"/>
            <w:hideMark/>
          </w:tcPr>
          <w:p w14:paraId="00E8739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2.929</w:t>
            </w:r>
          </w:p>
        </w:tc>
        <w:tc>
          <w:tcPr>
            <w:tcW w:w="1015" w:type="dxa"/>
            <w:tcBorders>
              <w:top w:val="nil"/>
              <w:left w:val="nil"/>
              <w:bottom w:val="single" w:sz="4" w:space="0" w:color="000000"/>
              <w:right w:val="single" w:sz="4" w:space="0" w:color="000000"/>
            </w:tcBorders>
            <w:vAlign w:val="center"/>
            <w:hideMark/>
          </w:tcPr>
          <w:p w14:paraId="70A72A2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1.893</w:t>
            </w:r>
          </w:p>
        </w:tc>
        <w:tc>
          <w:tcPr>
            <w:tcW w:w="1015" w:type="dxa"/>
            <w:tcBorders>
              <w:top w:val="nil"/>
              <w:left w:val="nil"/>
              <w:bottom w:val="single" w:sz="4" w:space="0" w:color="000000"/>
              <w:right w:val="single" w:sz="4" w:space="0" w:color="000000"/>
            </w:tcBorders>
            <w:vAlign w:val="center"/>
            <w:hideMark/>
          </w:tcPr>
          <w:p w14:paraId="580983F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0.289</w:t>
            </w:r>
          </w:p>
        </w:tc>
        <w:tc>
          <w:tcPr>
            <w:tcW w:w="1015" w:type="dxa"/>
            <w:tcBorders>
              <w:top w:val="nil"/>
              <w:left w:val="nil"/>
              <w:bottom w:val="single" w:sz="4" w:space="0" w:color="000000"/>
              <w:right w:val="single" w:sz="4" w:space="0" w:color="000000"/>
            </w:tcBorders>
            <w:vAlign w:val="center"/>
            <w:hideMark/>
          </w:tcPr>
          <w:p w14:paraId="0017B58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289AE07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58A3185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03E8BB0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6F1F780E"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7247ECD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U</w:t>
            </w:r>
            <w:r>
              <w:rPr>
                <w:rFonts w:ascii="Times New Roman" w:eastAsia="맑은 고딕" w:hAnsi="Times New Roman" w:cs="Times New Roman"/>
                <w:color w:val="000000"/>
                <w:kern w:val="0"/>
                <w:szCs w:val="20"/>
              </w:rPr>
              <w:t>lsan</w:t>
            </w:r>
          </w:p>
        </w:tc>
        <w:tc>
          <w:tcPr>
            <w:tcW w:w="1079" w:type="dxa"/>
            <w:tcBorders>
              <w:top w:val="nil"/>
              <w:left w:val="nil"/>
              <w:bottom w:val="single" w:sz="4" w:space="0" w:color="000000"/>
              <w:right w:val="single" w:sz="4" w:space="0" w:color="000000"/>
            </w:tcBorders>
            <w:vAlign w:val="center"/>
            <w:hideMark/>
          </w:tcPr>
          <w:p w14:paraId="4C56058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1021.803</w:t>
            </w:r>
          </w:p>
        </w:tc>
        <w:tc>
          <w:tcPr>
            <w:tcW w:w="1079" w:type="dxa"/>
            <w:tcBorders>
              <w:top w:val="nil"/>
              <w:left w:val="nil"/>
              <w:bottom w:val="single" w:sz="4" w:space="0" w:color="000000"/>
              <w:right w:val="single" w:sz="4" w:space="0" w:color="000000"/>
            </w:tcBorders>
            <w:vAlign w:val="center"/>
            <w:hideMark/>
          </w:tcPr>
          <w:p w14:paraId="1B1F6EB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18.339</w:t>
            </w:r>
          </w:p>
        </w:tc>
        <w:tc>
          <w:tcPr>
            <w:tcW w:w="1209" w:type="dxa"/>
            <w:tcBorders>
              <w:top w:val="nil"/>
              <w:left w:val="nil"/>
              <w:bottom w:val="single" w:sz="4" w:space="0" w:color="000000"/>
              <w:right w:val="single" w:sz="4" w:space="0" w:color="000000"/>
            </w:tcBorders>
            <w:vAlign w:val="center"/>
            <w:hideMark/>
          </w:tcPr>
          <w:p w14:paraId="1FE6B4A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3.139</w:t>
            </w:r>
          </w:p>
        </w:tc>
        <w:tc>
          <w:tcPr>
            <w:tcW w:w="1126" w:type="dxa"/>
            <w:tcBorders>
              <w:top w:val="nil"/>
              <w:left w:val="nil"/>
              <w:bottom w:val="single" w:sz="4" w:space="0" w:color="000000"/>
              <w:right w:val="single" w:sz="4" w:space="0" w:color="000000"/>
            </w:tcBorders>
            <w:vAlign w:val="center"/>
            <w:hideMark/>
          </w:tcPr>
          <w:p w14:paraId="70AC31A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79" w:type="dxa"/>
            <w:tcBorders>
              <w:top w:val="nil"/>
              <w:left w:val="nil"/>
              <w:bottom w:val="single" w:sz="4" w:space="0" w:color="000000"/>
              <w:right w:val="single" w:sz="4" w:space="0" w:color="000000"/>
            </w:tcBorders>
            <w:vAlign w:val="center"/>
            <w:hideMark/>
          </w:tcPr>
          <w:p w14:paraId="18FA5B4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578C1A2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4D3BA2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998892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2BD1D4F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2BE2D12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377DC5F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208A9CA2"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254D923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Pr>
                <w:rFonts w:ascii="Times New Roman" w:eastAsia="맑은 고딕" w:hAnsi="Times New Roman" w:cs="Times New Roman" w:hint="eastAsia"/>
                <w:color w:val="000000"/>
                <w:kern w:val="0"/>
                <w:szCs w:val="20"/>
              </w:rPr>
              <w:t>S</w:t>
            </w:r>
            <w:r>
              <w:rPr>
                <w:rFonts w:ascii="Times New Roman" w:eastAsia="맑은 고딕" w:hAnsi="Times New Roman" w:cs="Times New Roman"/>
                <w:color w:val="000000"/>
                <w:kern w:val="0"/>
                <w:szCs w:val="20"/>
              </w:rPr>
              <w:t>ejong</w:t>
            </w:r>
          </w:p>
        </w:tc>
        <w:tc>
          <w:tcPr>
            <w:tcW w:w="1079" w:type="dxa"/>
            <w:tcBorders>
              <w:top w:val="nil"/>
              <w:left w:val="nil"/>
              <w:bottom w:val="single" w:sz="4" w:space="0" w:color="000000"/>
              <w:right w:val="single" w:sz="4" w:space="0" w:color="000000"/>
            </w:tcBorders>
            <w:vAlign w:val="center"/>
            <w:hideMark/>
          </w:tcPr>
          <w:p w14:paraId="2BEE4B3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355.12</w:t>
            </w:r>
          </w:p>
        </w:tc>
        <w:tc>
          <w:tcPr>
            <w:tcW w:w="1079" w:type="dxa"/>
            <w:tcBorders>
              <w:top w:val="nil"/>
              <w:left w:val="nil"/>
              <w:bottom w:val="single" w:sz="4" w:space="0" w:color="000000"/>
              <w:right w:val="single" w:sz="4" w:space="0" w:color="000000"/>
            </w:tcBorders>
            <w:vAlign w:val="center"/>
            <w:hideMark/>
          </w:tcPr>
          <w:p w14:paraId="6FC8B95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59.095</w:t>
            </w:r>
          </w:p>
        </w:tc>
        <w:tc>
          <w:tcPr>
            <w:tcW w:w="1209" w:type="dxa"/>
            <w:tcBorders>
              <w:top w:val="nil"/>
              <w:left w:val="nil"/>
              <w:bottom w:val="single" w:sz="4" w:space="0" w:color="000000"/>
              <w:right w:val="single" w:sz="4" w:space="0" w:color="000000"/>
            </w:tcBorders>
            <w:vAlign w:val="center"/>
            <w:hideMark/>
          </w:tcPr>
          <w:p w14:paraId="027B7DE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28.247</w:t>
            </w:r>
          </w:p>
        </w:tc>
        <w:tc>
          <w:tcPr>
            <w:tcW w:w="1126" w:type="dxa"/>
            <w:tcBorders>
              <w:top w:val="nil"/>
              <w:left w:val="nil"/>
              <w:bottom w:val="single" w:sz="4" w:space="0" w:color="000000"/>
              <w:right w:val="single" w:sz="4" w:space="0" w:color="000000"/>
            </w:tcBorders>
            <w:vAlign w:val="center"/>
            <w:hideMark/>
          </w:tcPr>
          <w:p w14:paraId="5699B00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0.627</w:t>
            </w:r>
          </w:p>
        </w:tc>
        <w:tc>
          <w:tcPr>
            <w:tcW w:w="1079" w:type="dxa"/>
            <w:tcBorders>
              <w:top w:val="nil"/>
              <w:left w:val="nil"/>
              <w:bottom w:val="single" w:sz="4" w:space="0" w:color="000000"/>
              <w:right w:val="single" w:sz="4" w:space="0" w:color="000000"/>
            </w:tcBorders>
            <w:vAlign w:val="center"/>
            <w:hideMark/>
          </w:tcPr>
          <w:p w14:paraId="6103D83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10.337</w:t>
            </w:r>
          </w:p>
        </w:tc>
        <w:tc>
          <w:tcPr>
            <w:tcW w:w="1015" w:type="dxa"/>
            <w:tcBorders>
              <w:top w:val="nil"/>
              <w:left w:val="nil"/>
              <w:bottom w:val="single" w:sz="4" w:space="0" w:color="000000"/>
              <w:right w:val="single" w:sz="4" w:space="0" w:color="000000"/>
            </w:tcBorders>
            <w:vAlign w:val="center"/>
            <w:hideMark/>
          </w:tcPr>
          <w:p w14:paraId="6B8A794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6.269</w:t>
            </w:r>
          </w:p>
        </w:tc>
        <w:tc>
          <w:tcPr>
            <w:tcW w:w="1015" w:type="dxa"/>
            <w:tcBorders>
              <w:top w:val="nil"/>
              <w:left w:val="nil"/>
              <w:bottom w:val="single" w:sz="4" w:space="0" w:color="000000"/>
              <w:right w:val="single" w:sz="4" w:space="0" w:color="000000"/>
            </w:tcBorders>
            <w:vAlign w:val="center"/>
            <w:hideMark/>
          </w:tcPr>
          <w:p w14:paraId="3A5B03E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6.241</w:t>
            </w:r>
          </w:p>
        </w:tc>
        <w:tc>
          <w:tcPr>
            <w:tcW w:w="1015" w:type="dxa"/>
            <w:tcBorders>
              <w:top w:val="nil"/>
              <w:left w:val="nil"/>
              <w:bottom w:val="single" w:sz="4" w:space="0" w:color="000000"/>
              <w:right w:val="single" w:sz="4" w:space="0" w:color="000000"/>
            </w:tcBorders>
            <w:vAlign w:val="center"/>
            <w:hideMark/>
          </w:tcPr>
          <w:p w14:paraId="50B101B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1.904</w:t>
            </w:r>
          </w:p>
        </w:tc>
        <w:tc>
          <w:tcPr>
            <w:tcW w:w="1015" w:type="dxa"/>
            <w:tcBorders>
              <w:top w:val="nil"/>
              <w:left w:val="nil"/>
              <w:bottom w:val="single" w:sz="4" w:space="0" w:color="000000"/>
              <w:right w:val="single" w:sz="4" w:space="0" w:color="000000"/>
            </w:tcBorders>
            <w:vAlign w:val="center"/>
            <w:hideMark/>
          </w:tcPr>
          <w:p w14:paraId="319CAD8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0.143</w:t>
            </w:r>
          </w:p>
        </w:tc>
        <w:tc>
          <w:tcPr>
            <w:tcW w:w="1015" w:type="dxa"/>
            <w:tcBorders>
              <w:top w:val="nil"/>
              <w:left w:val="nil"/>
              <w:bottom w:val="single" w:sz="4" w:space="0" w:color="000000"/>
              <w:right w:val="single" w:sz="4" w:space="0" w:color="000000"/>
            </w:tcBorders>
            <w:vAlign w:val="center"/>
            <w:hideMark/>
          </w:tcPr>
          <w:p w14:paraId="62BA66F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240CF7C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31E47E87"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00A7B8B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684A9D">
              <w:rPr>
                <w:rFonts w:ascii="Times New Roman" w:eastAsia="맑은 고딕" w:hAnsi="Times New Roman" w:cs="Times New Roman"/>
                <w:color w:val="000000"/>
                <w:kern w:val="0"/>
                <w:szCs w:val="20"/>
              </w:rPr>
              <w:t>Gyeonggi-do</w:t>
            </w:r>
          </w:p>
        </w:tc>
        <w:tc>
          <w:tcPr>
            <w:tcW w:w="1079" w:type="dxa"/>
            <w:tcBorders>
              <w:top w:val="nil"/>
              <w:left w:val="nil"/>
              <w:bottom w:val="single" w:sz="4" w:space="0" w:color="000000"/>
              <w:right w:val="single" w:sz="4" w:space="0" w:color="000000"/>
            </w:tcBorders>
            <w:vAlign w:val="center"/>
            <w:hideMark/>
          </w:tcPr>
          <w:p w14:paraId="3D64F68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6188.357</w:t>
            </w:r>
          </w:p>
        </w:tc>
        <w:tc>
          <w:tcPr>
            <w:tcW w:w="1079" w:type="dxa"/>
            <w:tcBorders>
              <w:top w:val="nil"/>
              <w:left w:val="nil"/>
              <w:bottom w:val="single" w:sz="4" w:space="0" w:color="000000"/>
              <w:right w:val="single" w:sz="4" w:space="0" w:color="000000"/>
            </w:tcBorders>
            <w:vAlign w:val="center"/>
            <w:hideMark/>
          </w:tcPr>
          <w:p w14:paraId="6551800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679.289</w:t>
            </w:r>
          </w:p>
        </w:tc>
        <w:tc>
          <w:tcPr>
            <w:tcW w:w="1209" w:type="dxa"/>
            <w:tcBorders>
              <w:top w:val="nil"/>
              <w:left w:val="nil"/>
              <w:bottom w:val="single" w:sz="4" w:space="0" w:color="000000"/>
              <w:right w:val="single" w:sz="4" w:space="0" w:color="000000"/>
            </w:tcBorders>
            <w:vAlign w:val="center"/>
            <w:hideMark/>
          </w:tcPr>
          <w:p w14:paraId="02A9E86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440.364</w:t>
            </w:r>
          </w:p>
        </w:tc>
        <w:tc>
          <w:tcPr>
            <w:tcW w:w="1126" w:type="dxa"/>
            <w:tcBorders>
              <w:top w:val="nil"/>
              <w:left w:val="nil"/>
              <w:bottom w:val="single" w:sz="4" w:space="0" w:color="000000"/>
              <w:right w:val="single" w:sz="4" w:space="0" w:color="000000"/>
            </w:tcBorders>
            <w:vAlign w:val="center"/>
            <w:hideMark/>
          </w:tcPr>
          <w:p w14:paraId="4B44CEE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17.906</w:t>
            </w:r>
          </w:p>
        </w:tc>
        <w:tc>
          <w:tcPr>
            <w:tcW w:w="1079" w:type="dxa"/>
            <w:tcBorders>
              <w:top w:val="nil"/>
              <w:left w:val="nil"/>
              <w:bottom w:val="single" w:sz="4" w:space="0" w:color="000000"/>
              <w:right w:val="single" w:sz="4" w:space="0" w:color="000000"/>
            </w:tcBorders>
            <w:vAlign w:val="center"/>
            <w:hideMark/>
          </w:tcPr>
          <w:p w14:paraId="29C1F22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432.716</w:t>
            </w:r>
          </w:p>
        </w:tc>
        <w:tc>
          <w:tcPr>
            <w:tcW w:w="1015" w:type="dxa"/>
            <w:tcBorders>
              <w:top w:val="nil"/>
              <w:left w:val="nil"/>
              <w:bottom w:val="single" w:sz="4" w:space="0" w:color="000000"/>
              <w:right w:val="single" w:sz="4" w:space="0" w:color="000000"/>
            </w:tcBorders>
            <w:vAlign w:val="center"/>
            <w:hideMark/>
          </w:tcPr>
          <w:p w14:paraId="1072725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358.364</w:t>
            </w:r>
          </w:p>
        </w:tc>
        <w:tc>
          <w:tcPr>
            <w:tcW w:w="1015" w:type="dxa"/>
            <w:tcBorders>
              <w:top w:val="nil"/>
              <w:left w:val="nil"/>
              <w:bottom w:val="single" w:sz="4" w:space="0" w:color="000000"/>
              <w:right w:val="single" w:sz="4" w:space="0" w:color="000000"/>
            </w:tcBorders>
            <w:vAlign w:val="center"/>
            <w:hideMark/>
          </w:tcPr>
          <w:p w14:paraId="11986C3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260.856</w:t>
            </w:r>
          </w:p>
        </w:tc>
        <w:tc>
          <w:tcPr>
            <w:tcW w:w="1015" w:type="dxa"/>
            <w:tcBorders>
              <w:top w:val="nil"/>
              <w:left w:val="nil"/>
              <w:bottom w:val="single" w:sz="4" w:space="0" w:color="000000"/>
              <w:right w:val="single" w:sz="4" w:space="0" w:color="000000"/>
            </w:tcBorders>
            <w:vAlign w:val="center"/>
            <w:hideMark/>
          </w:tcPr>
          <w:p w14:paraId="1F7C24D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185.482</w:t>
            </w:r>
          </w:p>
        </w:tc>
        <w:tc>
          <w:tcPr>
            <w:tcW w:w="1015" w:type="dxa"/>
            <w:tcBorders>
              <w:top w:val="nil"/>
              <w:left w:val="nil"/>
              <w:bottom w:val="single" w:sz="4" w:space="0" w:color="000000"/>
              <w:right w:val="single" w:sz="4" w:space="0" w:color="000000"/>
            </w:tcBorders>
            <w:vAlign w:val="center"/>
            <w:hideMark/>
          </w:tcPr>
          <w:p w14:paraId="789E220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137.822</w:t>
            </w:r>
          </w:p>
        </w:tc>
        <w:tc>
          <w:tcPr>
            <w:tcW w:w="1015" w:type="dxa"/>
            <w:tcBorders>
              <w:top w:val="nil"/>
              <w:left w:val="nil"/>
              <w:bottom w:val="single" w:sz="4" w:space="0" w:color="000000"/>
              <w:right w:val="single" w:sz="4" w:space="0" w:color="000000"/>
            </w:tcBorders>
            <w:vAlign w:val="center"/>
            <w:hideMark/>
          </w:tcPr>
          <w:p w14:paraId="658D0D4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110.069</w:t>
            </w:r>
          </w:p>
        </w:tc>
        <w:tc>
          <w:tcPr>
            <w:tcW w:w="859" w:type="dxa"/>
            <w:tcBorders>
              <w:top w:val="nil"/>
              <w:left w:val="nil"/>
              <w:bottom w:val="single" w:sz="4" w:space="0" w:color="000000"/>
              <w:right w:val="single" w:sz="4" w:space="0" w:color="000000"/>
            </w:tcBorders>
            <w:vAlign w:val="center"/>
            <w:hideMark/>
          </w:tcPr>
          <w:p w14:paraId="6F447FB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21.727</w:t>
            </w:r>
          </w:p>
        </w:tc>
      </w:tr>
      <w:tr w:rsidR="00647015" w:rsidRPr="00E037B3" w14:paraId="5EE786D1"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25D6BC0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684A9D">
              <w:rPr>
                <w:rFonts w:ascii="Times New Roman" w:eastAsia="맑은 고딕" w:hAnsi="Times New Roman" w:cs="Times New Roman"/>
                <w:color w:val="000000"/>
                <w:kern w:val="0"/>
                <w:szCs w:val="20"/>
              </w:rPr>
              <w:t>Gangwon state</w:t>
            </w:r>
          </w:p>
        </w:tc>
        <w:tc>
          <w:tcPr>
            <w:tcW w:w="1079" w:type="dxa"/>
            <w:tcBorders>
              <w:top w:val="nil"/>
              <w:left w:val="nil"/>
              <w:bottom w:val="single" w:sz="4" w:space="0" w:color="000000"/>
              <w:right w:val="single" w:sz="4" w:space="0" w:color="000000"/>
            </w:tcBorders>
            <w:vAlign w:val="center"/>
            <w:hideMark/>
          </w:tcPr>
          <w:p w14:paraId="39F7970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12984.68</w:t>
            </w:r>
          </w:p>
        </w:tc>
        <w:tc>
          <w:tcPr>
            <w:tcW w:w="1079" w:type="dxa"/>
            <w:tcBorders>
              <w:top w:val="nil"/>
              <w:left w:val="nil"/>
              <w:bottom w:val="single" w:sz="4" w:space="0" w:color="000000"/>
              <w:right w:val="single" w:sz="4" w:space="0" w:color="000000"/>
            </w:tcBorders>
            <w:vAlign w:val="center"/>
            <w:hideMark/>
          </w:tcPr>
          <w:p w14:paraId="6A6AD75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368.985</w:t>
            </w:r>
          </w:p>
        </w:tc>
        <w:tc>
          <w:tcPr>
            <w:tcW w:w="1209" w:type="dxa"/>
            <w:tcBorders>
              <w:top w:val="nil"/>
              <w:left w:val="nil"/>
              <w:bottom w:val="single" w:sz="4" w:space="0" w:color="000000"/>
              <w:right w:val="single" w:sz="4" w:space="0" w:color="000000"/>
            </w:tcBorders>
            <w:vAlign w:val="center"/>
            <w:hideMark/>
          </w:tcPr>
          <w:p w14:paraId="1FD4FE7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143.129</w:t>
            </w:r>
          </w:p>
        </w:tc>
        <w:tc>
          <w:tcPr>
            <w:tcW w:w="1126" w:type="dxa"/>
            <w:tcBorders>
              <w:top w:val="nil"/>
              <w:left w:val="nil"/>
              <w:bottom w:val="single" w:sz="4" w:space="0" w:color="000000"/>
              <w:right w:val="single" w:sz="4" w:space="0" w:color="000000"/>
            </w:tcBorders>
            <w:vAlign w:val="center"/>
            <w:hideMark/>
          </w:tcPr>
          <w:p w14:paraId="4933532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3.651</w:t>
            </w:r>
          </w:p>
        </w:tc>
        <w:tc>
          <w:tcPr>
            <w:tcW w:w="1079" w:type="dxa"/>
            <w:tcBorders>
              <w:top w:val="nil"/>
              <w:left w:val="nil"/>
              <w:bottom w:val="single" w:sz="4" w:space="0" w:color="000000"/>
              <w:right w:val="single" w:sz="4" w:space="0" w:color="000000"/>
            </w:tcBorders>
            <w:vAlign w:val="center"/>
            <w:hideMark/>
          </w:tcPr>
          <w:p w14:paraId="510AE2C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62.776</w:t>
            </w:r>
          </w:p>
        </w:tc>
        <w:tc>
          <w:tcPr>
            <w:tcW w:w="1015" w:type="dxa"/>
            <w:tcBorders>
              <w:top w:val="nil"/>
              <w:left w:val="nil"/>
              <w:bottom w:val="single" w:sz="4" w:space="0" w:color="000000"/>
              <w:right w:val="single" w:sz="4" w:space="0" w:color="000000"/>
            </w:tcBorders>
            <w:vAlign w:val="center"/>
            <w:hideMark/>
          </w:tcPr>
          <w:p w14:paraId="29AAC8A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26.566</w:t>
            </w:r>
          </w:p>
        </w:tc>
        <w:tc>
          <w:tcPr>
            <w:tcW w:w="1015" w:type="dxa"/>
            <w:tcBorders>
              <w:top w:val="nil"/>
              <w:left w:val="nil"/>
              <w:bottom w:val="single" w:sz="4" w:space="0" w:color="000000"/>
              <w:right w:val="single" w:sz="4" w:space="0" w:color="000000"/>
            </w:tcBorders>
            <w:vAlign w:val="center"/>
            <w:hideMark/>
          </w:tcPr>
          <w:p w14:paraId="17E193A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10.698</w:t>
            </w:r>
          </w:p>
        </w:tc>
        <w:tc>
          <w:tcPr>
            <w:tcW w:w="1015" w:type="dxa"/>
            <w:tcBorders>
              <w:top w:val="nil"/>
              <w:left w:val="nil"/>
              <w:bottom w:val="single" w:sz="4" w:space="0" w:color="000000"/>
              <w:right w:val="single" w:sz="4" w:space="0" w:color="000000"/>
            </w:tcBorders>
            <w:vAlign w:val="center"/>
            <w:hideMark/>
          </w:tcPr>
          <w:p w14:paraId="43E947D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3.924</w:t>
            </w:r>
          </w:p>
        </w:tc>
        <w:tc>
          <w:tcPr>
            <w:tcW w:w="1015" w:type="dxa"/>
            <w:tcBorders>
              <w:top w:val="nil"/>
              <w:left w:val="nil"/>
              <w:bottom w:val="single" w:sz="4" w:space="0" w:color="000000"/>
              <w:right w:val="single" w:sz="4" w:space="0" w:color="000000"/>
            </w:tcBorders>
            <w:vAlign w:val="center"/>
            <w:hideMark/>
          </w:tcPr>
          <w:p w14:paraId="6776512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1.665</w:t>
            </w:r>
          </w:p>
        </w:tc>
        <w:tc>
          <w:tcPr>
            <w:tcW w:w="1015" w:type="dxa"/>
            <w:tcBorders>
              <w:top w:val="nil"/>
              <w:left w:val="nil"/>
              <w:bottom w:val="single" w:sz="4" w:space="0" w:color="000000"/>
              <w:right w:val="single" w:sz="4" w:space="0" w:color="000000"/>
            </w:tcBorders>
            <w:vAlign w:val="center"/>
            <w:hideMark/>
          </w:tcPr>
          <w:p w14:paraId="4114590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0.001</w:t>
            </w:r>
          </w:p>
        </w:tc>
        <w:tc>
          <w:tcPr>
            <w:tcW w:w="859" w:type="dxa"/>
            <w:tcBorders>
              <w:top w:val="nil"/>
              <w:left w:val="nil"/>
              <w:bottom w:val="single" w:sz="4" w:space="0" w:color="000000"/>
              <w:right w:val="single" w:sz="4" w:space="0" w:color="000000"/>
            </w:tcBorders>
            <w:vAlign w:val="center"/>
            <w:hideMark/>
          </w:tcPr>
          <w:p w14:paraId="44A73D4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1833C499"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732BE39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684A9D">
              <w:rPr>
                <w:rFonts w:ascii="Times New Roman" w:eastAsia="맑은 고딕" w:hAnsi="Times New Roman" w:cs="Times New Roman"/>
                <w:color w:val="000000"/>
                <w:kern w:val="0"/>
                <w:szCs w:val="20"/>
              </w:rPr>
              <w:t>Chungcheongbuk</w:t>
            </w:r>
            <w:proofErr w:type="spellEnd"/>
            <w:r w:rsidRPr="00684A9D">
              <w:rPr>
                <w:rFonts w:ascii="Times New Roman" w:eastAsia="맑은 고딕" w:hAnsi="Times New Roman" w:cs="Times New Roman"/>
                <w:color w:val="000000"/>
                <w:kern w:val="0"/>
                <w:szCs w:val="20"/>
              </w:rPr>
              <w:t>-do</w:t>
            </w:r>
          </w:p>
        </w:tc>
        <w:tc>
          <w:tcPr>
            <w:tcW w:w="1079" w:type="dxa"/>
            <w:tcBorders>
              <w:top w:val="nil"/>
              <w:left w:val="nil"/>
              <w:bottom w:val="single" w:sz="4" w:space="0" w:color="000000"/>
              <w:right w:val="single" w:sz="4" w:space="0" w:color="000000"/>
            </w:tcBorders>
            <w:vAlign w:val="center"/>
            <w:hideMark/>
          </w:tcPr>
          <w:p w14:paraId="75C694E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6195.064</w:t>
            </w:r>
          </w:p>
        </w:tc>
        <w:tc>
          <w:tcPr>
            <w:tcW w:w="1079" w:type="dxa"/>
            <w:tcBorders>
              <w:top w:val="nil"/>
              <w:left w:val="nil"/>
              <w:bottom w:val="single" w:sz="4" w:space="0" w:color="000000"/>
              <w:right w:val="single" w:sz="4" w:space="0" w:color="000000"/>
            </w:tcBorders>
            <w:vAlign w:val="center"/>
            <w:hideMark/>
          </w:tcPr>
          <w:p w14:paraId="5E4C6B8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531.564</w:t>
            </w:r>
          </w:p>
        </w:tc>
        <w:tc>
          <w:tcPr>
            <w:tcW w:w="1209" w:type="dxa"/>
            <w:tcBorders>
              <w:top w:val="nil"/>
              <w:left w:val="nil"/>
              <w:bottom w:val="single" w:sz="4" w:space="0" w:color="000000"/>
              <w:right w:val="single" w:sz="4" w:space="0" w:color="000000"/>
            </w:tcBorders>
            <w:vAlign w:val="center"/>
            <w:hideMark/>
          </w:tcPr>
          <w:p w14:paraId="34C586F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298.983</w:t>
            </w:r>
          </w:p>
        </w:tc>
        <w:tc>
          <w:tcPr>
            <w:tcW w:w="1126" w:type="dxa"/>
            <w:tcBorders>
              <w:top w:val="nil"/>
              <w:left w:val="nil"/>
              <w:bottom w:val="single" w:sz="4" w:space="0" w:color="000000"/>
              <w:right w:val="single" w:sz="4" w:space="0" w:color="000000"/>
            </w:tcBorders>
            <w:vAlign w:val="center"/>
            <w:hideMark/>
          </w:tcPr>
          <w:p w14:paraId="18D672D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9.802</w:t>
            </w:r>
          </w:p>
        </w:tc>
        <w:tc>
          <w:tcPr>
            <w:tcW w:w="1079" w:type="dxa"/>
            <w:tcBorders>
              <w:top w:val="nil"/>
              <w:left w:val="nil"/>
              <w:bottom w:val="single" w:sz="4" w:space="0" w:color="000000"/>
              <w:right w:val="single" w:sz="4" w:space="0" w:color="000000"/>
            </w:tcBorders>
            <w:vAlign w:val="center"/>
            <w:hideMark/>
          </w:tcPr>
          <w:p w14:paraId="75FF764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191.735</w:t>
            </w:r>
          </w:p>
        </w:tc>
        <w:tc>
          <w:tcPr>
            <w:tcW w:w="1015" w:type="dxa"/>
            <w:tcBorders>
              <w:top w:val="nil"/>
              <w:left w:val="nil"/>
              <w:bottom w:val="single" w:sz="4" w:space="0" w:color="000000"/>
              <w:right w:val="single" w:sz="4" w:space="0" w:color="000000"/>
            </w:tcBorders>
            <w:vAlign w:val="center"/>
            <w:hideMark/>
          </w:tcPr>
          <w:p w14:paraId="646A083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111.814</w:t>
            </w:r>
          </w:p>
        </w:tc>
        <w:tc>
          <w:tcPr>
            <w:tcW w:w="1015" w:type="dxa"/>
            <w:tcBorders>
              <w:top w:val="nil"/>
              <w:left w:val="nil"/>
              <w:bottom w:val="single" w:sz="4" w:space="0" w:color="000000"/>
              <w:right w:val="single" w:sz="4" w:space="0" w:color="000000"/>
            </w:tcBorders>
            <w:vAlign w:val="center"/>
            <w:hideMark/>
          </w:tcPr>
          <w:p w14:paraId="52C91DD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72.676</w:t>
            </w:r>
          </w:p>
        </w:tc>
        <w:tc>
          <w:tcPr>
            <w:tcW w:w="1015" w:type="dxa"/>
            <w:tcBorders>
              <w:top w:val="nil"/>
              <w:left w:val="nil"/>
              <w:bottom w:val="single" w:sz="4" w:space="0" w:color="000000"/>
              <w:right w:val="single" w:sz="4" w:space="0" w:color="000000"/>
            </w:tcBorders>
            <w:vAlign w:val="center"/>
            <w:hideMark/>
          </w:tcPr>
          <w:p w14:paraId="088A730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33.954</w:t>
            </w:r>
          </w:p>
        </w:tc>
        <w:tc>
          <w:tcPr>
            <w:tcW w:w="1015" w:type="dxa"/>
            <w:tcBorders>
              <w:top w:val="nil"/>
              <w:left w:val="nil"/>
              <w:bottom w:val="single" w:sz="4" w:space="0" w:color="000000"/>
              <w:right w:val="single" w:sz="4" w:space="0" w:color="000000"/>
            </w:tcBorders>
            <w:vAlign w:val="center"/>
            <w:hideMark/>
          </w:tcPr>
          <w:p w14:paraId="426AEC8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7.131</w:t>
            </w:r>
          </w:p>
        </w:tc>
        <w:tc>
          <w:tcPr>
            <w:tcW w:w="1015" w:type="dxa"/>
            <w:tcBorders>
              <w:top w:val="nil"/>
              <w:left w:val="nil"/>
              <w:bottom w:val="single" w:sz="4" w:space="0" w:color="000000"/>
              <w:right w:val="single" w:sz="4" w:space="0" w:color="000000"/>
            </w:tcBorders>
            <w:vAlign w:val="center"/>
            <w:hideMark/>
          </w:tcPr>
          <w:p w14:paraId="1B00672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0.073</w:t>
            </w:r>
          </w:p>
        </w:tc>
        <w:tc>
          <w:tcPr>
            <w:tcW w:w="859" w:type="dxa"/>
            <w:tcBorders>
              <w:top w:val="nil"/>
              <w:left w:val="nil"/>
              <w:bottom w:val="single" w:sz="4" w:space="0" w:color="000000"/>
              <w:right w:val="single" w:sz="4" w:space="0" w:color="000000"/>
            </w:tcBorders>
            <w:vAlign w:val="center"/>
            <w:hideMark/>
          </w:tcPr>
          <w:p w14:paraId="7982564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66BC7AB3"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1509D210" w14:textId="77777777" w:rsidR="00647015" w:rsidRPr="00E037B3" w:rsidRDefault="005920C4"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684A9D">
              <w:rPr>
                <w:rFonts w:ascii="Times New Roman" w:eastAsia="맑은 고딕" w:hAnsi="Times New Roman" w:cs="Times New Roman"/>
                <w:color w:val="000000"/>
                <w:kern w:val="0"/>
                <w:szCs w:val="20"/>
              </w:rPr>
              <w:t>Chungcheongnam-do</w:t>
            </w:r>
          </w:p>
        </w:tc>
        <w:tc>
          <w:tcPr>
            <w:tcW w:w="1079" w:type="dxa"/>
            <w:tcBorders>
              <w:top w:val="nil"/>
              <w:left w:val="nil"/>
              <w:bottom w:val="single" w:sz="4" w:space="0" w:color="000000"/>
              <w:right w:val="single" w:sz="4" w:space="0" w:color="000000"/>
            </w:tcBorders>
            <w:vAlign w:val="center"/>
            <w:hideMark/>
          </w:tcPr>
          <w:p w14:paraId="34CC774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4432.233</w:t>
            </w:r>
          </w:p>
        </w:tc>
        <w:tc>
          <w:tcPr>
            <w:tcW w:w="1079" w:type="dxa"/>
            <w:tcBorders>
              <w:top w:val="nil"/>
              <w:left w:val="nil"/>
              <w:bottom w:val="single" w:sz="4" w:space="0" w:color="000000"/>
              <w:right w:val="single" w:sz="4" w:space="0" w:color="000000"/>
            </w:tcBorders>
            <w:vAlign w:val="center"/>
            <w:hideMark/>
          </w:tcPr>
          <w:p w14:paraId="23095D0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847.781</w:t>
            </w:r>
          </w:p>
        </w:tc>
        <w:tc>
          <w:tcPr>
            <w:tcW w:w="1209" w:type="dxa"/>
            <w:tcBorders>
              <w:top w:val="nil"/>
              <w:left w:val="nil"/>
              <w:bottom w:val="single" w:sz="4" w:space="0" w:color="000000"/>
              <w:right w:val="single" w:sz="4" w:space="0" w:color="000000"/>
            </w:tcBorders>
            <w:vAlign w:val="center"/>
            <w:hideMark/>
          </w:tcPr>
          <w:p w14:paraId="394294C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519.117</w:t>
            </w:r>
          </w:p>
        </w:tc>
        <w:tc>
          <w:tcPr>
            <w:tcW w:w="1126" w:type="dxa"/>
            <w:tcBorders>
              <w:top w:val="nil"/>
              <w:left w:val="nil"/>
              <w:bottom w:val="single" w:sz="4" w:space="0" w:color="000000"/>
              <w:right w:val="single" w:sz="4" w:space="0" w:color="000000"/>
            </w:tcBorders>
            <w:vAlign w:val="center"/>
            <w:hideMark/>
          </w:tcPr>
          <w:p w14:paraId="4A52A22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19.395</w:t>
            </w:r>
          </w:p>
        </w:tc>
        <w:tc>
          <w:tcPr>
            <w:tcW w:w="1079" w:type="dxa"/>
            <w:tcBorders>
              <w:top w:val="nil"/>
              <w:left w:val="nil"/>
              <w:bottom w:val="single" w:sz="4" w:space="0" w:color="000000"/>
              <w:right w:val="single" w:sz="4" w:space="0" w:color="000000"/>
            </w:tcBorders>
            <w:vAlign w:val="center"/>
            <w:hideMark/>
          </w:tcPr>
          <w:p w14:paraId="5F24C3A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436.035</w:t>
            </w:r>
          </w:p>
        </w:tc>
        <w:tc>
          <w:tcPr>
            <w:tcW w:w="1015" w:type="dxa"/>
            <w:tcBorders>
              <w:top w:val="nil"/>
              <w:left w:val="nil"/>
              <w:bottom w:val="single" w:sz="4" w:space="0" w:color="000000"/>
              <w:right w:val="single" w:sz="4" w:space="0" w:color="000000"/>
            </w:tcBorders>
            <w:vAlign w:val="center"/>
            <w:hideMark/>
          </w:tcPr>
          <w:p w14:paraId="2072008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370.379</w:t>
            </w:r>
          </w:p>
        </w:tc>
        <w:tc>
          <w:tcPr>
            <w:tcW w:w="1015" w:type="dxa"/>
            <w:tcBorders>
              <w:top w:val="nil"/>
              <w:left w:val="nil"/>
              <w:bottom w:val="single" w:sz="4" w:space="0" w:color="000000"/>
              <w:right w:val="single" w:sz="4" w:space="0" w:color="000000"/>
            </w:tcBorders>
            <w:vAlign w:val="center"/>
            <w:hideMark/>
          </w:tcPr>
          <w:p w14:paraId="508B43B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312.095</w:t>
            </w:r>
          </w:p>
        </w:tc>
        <w:tc>
          <w:tcPr>
            <w:tcW w:w="1015" w:type="dxa"/>
            <w:tcBorders>
              <w:top w:val="nil"/>
              <w:left w:val="nil"/>
              <w:bottom w:val="single" w:sz="4" w:space="0" w:color="000000"/>
              <w:right w:val="single" w:sz="4" w:space="0" w:color="000000"/>
            </w:tcBorders>
            <w:vAlign w:val="center"/>
            <w:hideMark/>
          </w:tcPr>
          <w:p w14:paraId="09B182F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284.382</w:t>
            </w:r>
          </w:p>
        </w:tc>
        <w:tc>
          <w:tcPr>
            <w:tcW w:w="1015" w:type="dxa"/>
            <w:tcBorders>
              <w:top w:val="nil"/>
              <w:left w:val="nil"/>
              <w:bottom w:val="single" w:sz="4" w:space="0" w:color="000000"/>
              <w:right w:val="single" w:sz="4" w:space="0" w:color="000000"/>
            </w:tcBorders>
            <w:vAlign w:val="center"/>
            <w:hideMark/>
          </w:tcPr>
          <w:p w14:paraId="79F951F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259.332</w:t>
            </w:r>
          </w:p>
        </w:tc>
        <w:tc>
          <w:tcPr>
            <w:tcW w:w="1015" w:type="dxa"/>
            <w:tcBorders>
              <w:top w:val="nil"/>
              <w:left w:val="nil"/>
              <w:bottom w:val="single" w:sz="4" w:space="0" w:color="000000"/>
              <w:right w:val="single" w:sz="4" w:space="0" w:color="000000"/>
            </w:tcBorders>
            <w:vAlign w:val="center"/>
            <w:hideMark/>
          </w:tcPr>
          <w:p w14:paraId="6CCB02B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185.977</w:t>
            </w:r>
          </w:p>
        </w:tc>
        <w:tc>
          <w:tcPr>
            <w:tcW w:w="859" w:type="dxa"/>
            <w:tcBorders>
              <w:top w:val="nil"/>
              <w:left w:val="nil"/>
              <w:bottom w:val="single" w:sz="4" w:space="0" w:color="000000"/>
              <w:right w:val="single" w:sz="4" w:space="0" w:color="000000"/>
            </w:tcBorders>
            <w:vAlign w:val="center"/>
            <w:hideMark/>
          </w:tcPr>
          <w:p w14:paraId="433516E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52.932</w:t>
            </w:r>
          </w:p>
        </w:tc>
      </w:tr>
      <w:tr w:rsidR="00647015" w:rsidRPr="00E037B3" w14:paraId="235E4B3B"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67BC1C9C" w14:textId="77777777" w:rsidR="00647015" w:rsidRPr="00E037B3" w:rsidRDefault="005920C4"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684A9D">
              <w:rPr>
                <w:rFonts w:ascii="Times New Roman" w:eastAsia="맑은 고딕" w:hAnsi="Times New Roman" w:cs="Times New Roman"/>
                <w:color w:val="000000"/>
                <w:kern w:val="0"/>
                <w:szCs w:val="20"/>
              </w:rPr>
              <w:t>Jeonbuk State</w:t>
            </w:r>
          </w:p>
        </w:tc>
        <w:tc>
          <w:tcPr>
            <w:tcW w:w="1079" w:type="dxa"/>
            <w:tcBorders>
              <w:top w:val="nil"/>
              <w:left w:val="nil"/>
              <w:bottom w:val="single" w:sz="4" w:space="0" w:color="000000"/>
              <w:right w:val="single" w:sz="4" w:space="0" w:color="000000"/>
            </w:tcBorders>
            <w:vAlign w:val="center"/>
            <w:hideMark/>
          </w:tcPr>
          <w:p w14:paraId="36A288F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5814.752</w:t>
            </w:r>
          </w:p>
        </w:tc>
        <w:tc>
          <w:tcPr>
            <w:tcW w:w="1079" w:type="dxa"/>
            <w:tcBorders>
              <w:top w:val="nil"/>
              <w:left w:val="nil"/>
              <w:bottom w:val="single" w:sz="4" w:space="0" w:color="000000"/>
              <w:right w:val="single" w:sz="4" w:space="0" w:color="000000"/>
            </w:tcBorders>
            <w:vAlign w:val="center"/>
            <w:hideMark/>
          </w:tcPr>
          <w:p w14:paraId="146DC5C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573.312</w:t>
            </w:r>
          </w:p>
        </w:tc>
        <w:tc>
          <w:tcPr>
            <w:tcW w:w="1209" w:type="dxa"/>
            <w:tcBorders>
              <w:top w:val="nil"/>
              <w:left w:val="nil"/>
              <w:bottom w:val="single" w:sz="4" w:space="0" w:color="000000"/>
              <w:right w:val="single" w:sz="4" w:space="0" w:color="000000"/>
            </w:tcBorders>
            <w:vAlign w:val="center"/>
            <w:hideMark/>
          </w:tcPr>
          <w:p w14:paraId="5249066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331.497</w:t>
            </w:r>
          </w:p>
        </w:tc>
        <w:tc>
          <w:tcPr>
            <w:tcW w:w="1126" w:type="dxa"/>
            <w:tcBorders>
              <w:top w:val="nil"/>
              <w:left w:val="nil"/>
              <w:bottom w:val="single" w:sz="4" w:space="0" w:color="000000"/>
              <w:right w:val="single" w:sz="4" w:space="0" w:color="000000"/>
            </w:tcBorders>
            <w:vAlign w:val="center"/>
            <w:hideMark/>
          </w:tcPr>
          <w:p w14:paraId="5688B16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11.696</w:t>
            </w:r>
          </w:p>
        </w:tc>
        <w:tc>
          <w:tcPr>
            <w:tcW w:w="1079" w:type="dxa"/>
            <w:tcBorders>
              <w:top w:val="nil"/>
              <w:left w:val="nil"/>
              <w:bottom w:val="single" w:sz="4" w:space="0" w:color="000000"/>
              <w:right w:val="single" w:sz="4" w:space="0" w:color="000000"/>
            </w:tcBorders>
            <w:vAlign w:val="center"/>
            <w:hideMark/>
          </w:tcPr>
          <w:p w14:paraId="550BB26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261.602</w:t>
            </w:r>
          </w:p>
        </w:tc>
        <w:tc>
          <w:tcPr>
            <w:tcW w:w="1015" w:type="dxa"/>
            <w:tcBorders>
              <w:top w:val="nil"/>
              <w:left w:val="nil"/>
              <w:bottom w:val="single" w:sz="4" w:space="0" w:color="000000"/>
              <w:right w:val="single" w:sz="4" w:space="0" w:color="000000"/>
            </w:tcBorders>
            <w:vAlign w:val="center"/>
            <w:hideMark/>
          </w:tcPr>
          <w:p w14:paraId="3CC7493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226.374</w:t>
            </w:r>
          </w:p>
        </w:tc>
        <w:tc>
          <w:tcPr>
            <w:tcW w:w="1015" w:type="dxa"/>
            <w:tcBorders>
              <w:top w:val="nil"/>
              <w:left w:val="nil"/>
              <w:bottom w:val="single" w:sz="4" w:space="0" w:color="000000"/>
              <w:right w:val="single" w:sz="4" w:space="0" w:color="000000"/>
            </w:tcBorders>
            <w:vAlign w:val="center"/>
            <w:hideMark/>
          </w:tcPr>
          <w:p w14:paraId="4451C21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202.79</w:t>
            </w:r>
          </w:p>
        </w:tc>
        <w:tc>
          <w:tcPr>
            <w:tcW w:w="1015" w:type="dxa"/>
            <w:tcBorders>
              <w:top w:val="nil"/>
              <w:left w:val="nil"/>
              <w:bottom w:val="single" w:sz="4" w:space="0" w:color="000000"/>
              <w:right w:val="single" w:sz="4" w:space="0" w:color="000000"/>
            </w:tcBorders>
            <w:vAlign w:val="center"/>
            <w:hideMark/>
          </w:tcPr>
          <w:p w14:paraId="0F8FBBC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180.373</w:t>
            </w:r>
          </w:p>
        </w:tc>
        <w:tc>
          <w:tcPr>
            <w:tcW w:w="1015" w:type="dxa"/>
            <w:tcBorders>
              <w:top w:val="nil"/>
              <w:left w:val="nil"/>
              <w:bottom w:val="single" w:sz="4" w:space="0" w:color="000000"/>
              <w:right w:val="single" w:sz="4" w:space="0" w:color="000000"/>
            </w:tcBorders>
            <w:vAlign w:val="center"/>
            <w:hideMark/>
          </w:tcPr>
          <w:p w14:paraId="1823AFD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136.633</w:t>
            </w:r>
          </w:p>
        </w:tc>
        <w:tc>
          <w:tcPr>
            <w:tcW w:w="1015" w:type="dxa"/>
            <w:tcBorders>
              <w:top w:val="nil"/>
              <w:left w:val="nil"/>
              <w:bottom w:val="single" w:sz="4" w:space="0" w:color="000000"/>
              <w:right w:val="single" w:sz="4" w:space="0" w:color="000000"/>
            </w:tcBorders>
            <w:vAlign w:val="center"/>
            <w:hideMark/>
          </w:tcPr>
          <w:p w14:paraId="2C1C955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32.2</w:t>
            </w:r>
          </w:p>
        </w:tc>
        <w:tc>
          <w:tcPr>
            <w:tcW w:w="859" w:type="dxa"/>
            <w:tcBorders>
              <w:top w:val="nil"/>
              <w:left w:val="nil"/>
              <w:bottom w:val="single" w:sz="4" w:space="0" w:color="000000"/>
              <w:right w:val="single" w:sz="4" w:space="0" w:color="000000"/>
            </w:tcBorders>
            <w:vAlign w:val="center"/>
            <w:hideMark/>
          </w:tcPr>
          <w:p w14:paraId="5F999E6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0DBECCDE"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7378D54C" w14:textId="77777777" w:rsidR="00647015" w:rsidRPr="00E037B3" w:rsidRDefault="005920C4" w:rsidP="00647015">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684A9D">
              <w:rPr>
                <w:rFonts w:ascii="Times New Roman" w:eastAsia="맑은 고딕" w:hAnsi="Times New Roman" w:cs="Times New Roman"/>
                <w:color w:val="000000"/>
                <w:kern w:val="0"/>
                <w:szCs w:val="20"/>
              </w:rPr>
              <w:t>Jeollanam</w:t>
            </w:r>
            <w:proofErr w:type="spellEnd"/>
            <w:r w:rsidRPr="00684A9D">
              <w:rPr>
                <w:rFonts w:ascii="Times New Roman" w:eastAsia="맑은 고딕" w:hAnsi="Times New Roman" w:cs="Times New Roman"/>
                <w:color w:val="000000"/>
                <w:kern w:val="0"/>
                <w:szCs w:val="20"/>
              </w:rPr>
              <w:t>-do</w:t>
            </w:r>
          </w:p>
        </w:tc>
        <w:tc>
          <w:tcPr>
            <w:tcW w:w="1079" w:type="dxa"/>
            <w:tcBorders>
              <w:top w:val="nil"/>
              <w:left w:val="nil"/>
              <w:bottom w:val="single" w:sz="4" w:space="0" w:color="000000"/>
              <w:right w:val="single" w:sz="4" w:space="0" w:color="000000"/>
            </w:tcBorders>
            <w:vAlign w:val="center"/>
            <w:hideMark/>
          </w:tcPr>
          <w:p w14:paraId="7D9BADA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7746.29</w:t>
            </w:r>
          </w:p>
        </w:tc>
        <w:tc>
          <w:tcPr>
            <w:tcW w:w="1079" w:type="dxa"/>
            <w:tcBorders>
              <w:top w:val="nil"/>
              <w:left w:val="nil"/>
              <w:bottom w:val="single" w:sz="4" w:space="0" w:color="000000"/>
              <w:right w:val="single" w:sz="4" w:space="0" w:color="000000"/>
            </w:tcBorders>
            <w:vAlign w:val="center"/>
            <w:hideMark/>
          </w:tcPr>
          <w:p w14:paraId="5861F958"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706.567</w:t>
            </w:r>
          </w:p>
        </w:tc>
        <w:tc>
          <w:tcPr>
            <w:tcW w:w="1209" w:type="dxa"/>
            <w:tcBorders>
              <w:top w:val="nil"/>
              <w:left w:val="nil"/>
              <w:bottom w:val="single" w:sz="4" w:space="0" w:color="000000"/>
              <w:right w:val="single" w:sz="4" w:space="0" w:color="000000"/>
            </w:tcBorders>
            <w:vAlign w:val="center"/>
            <w:hideMark/>
          </w:tcPr>
          <w:p w14:paraId="41A793C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333.896</w:t>
            </w:r>
          </w:p>
        </w:tc>
        <w:tc>
          <w:tcPr>
            <w:tcW w:w="1126" w:type="dxa"/>
            <w:tcBorders>
              <w:top w:val="nil"/>
              <w:left w:val="nil"/>
              <w:bottom w:val="single" w:sz="4" w:space="0" w:color="000000"/>
              <w:right w:val="single" w:sz="4" w:space="0" w:color="000000"/>
            </w:tcBorders>
            <w:vAlign w:val="center"/>
            <w:hideMark/>
          </w:tcPr>
          <w:p w14:paraId="54DD78A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9.103</w:t>
            </w:r>
          </w:p>
        </w:tc>
        <w:tc>
          <w:tcPr>
            <w:tcW w:w="1079" w:type="dxa"/>
            <w:tcBorders>
              <w:top w:val="nil"/>
              <w:left w:val="nil"/>
              <w:bottom w:val="single" w:sz="4" w:space="0" w:color="000000"/>
              <w:right w:val="single" w:sz="4" w:space="0" w:color="000000"/>
            </w:tcBorders>
            <w:vAlign w:val="center"/>
            <w:hideMark/>
          </w:tcPr>
          <w:p w14:paraId="4F6AC1C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140.168</w:t>
            </w:r>
          </w:p>
        </w:tc>
        <w:tc>
          <w:tcPr>
            <w:tcW w:w="1015" w:type="dxa"/>
            <w:tcBorders>
              <w:top w:val="nil"/>
              <w:left w:val="nil"/>
              <w:bottom w:val="single" w:sz="4" w:space="0" w:color="000000"/>
              <w:right w:val="single" w:sz="4" w:space="0" w:color="000000"/>
            </w:tcBorders>
            <w:vAlign w:val="center"/>
            <w:hideMark/>
          </w:tcPr>
          <w:p w14:paraId="4D99266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35.713</w:t>
            </w:r>
          </w:p>
        </w:tc>
        <w:tc>
          <w:tcPr>
            <w:tcW w:w="1015" w:type="dxa"/>
            <w:tcBorders>
              <w:top w:val="nil"/>
              <w:left w:val="nil"/>
              <w:bottom w:val="single" w:sz="4" w:space="0" w:color="000000"/>
              <w:right w:val="single" w:sz="4" w:space="0" w:color="000000"/>
            </w:tcBorders>
            <w:vAlign w:val="center"/>
            <w:hideMark/>
          </w:tcPr>
          <w:p w14:paraId="0763AE0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5.81</w:t>
            </w:r>
          </w:p>
        </w:tc>
        <w:tc>
          <w:tcPr>
            <w:tcW w:w="1015" w:type="dxa"/>
            <w:tcBorders>
              <w:top w:val="nil"/>
              <w:left w:val="nil"/>
              <w:bottom w:val="single" w:sz="4" w:space="0" w:color="000000"/>
              <w:right w:val="single" w:sz="4" w:space="0" w:color="000000"/>
            </w:tcBorders>
            <w:vAlign w:val="center"/>
            <w:hideMark/>
          </w:tcPr>
          <w:p w14:paraId="16178C7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0.369</w:t>
            </w:r>
          </w:p>
        </w:tc>
        <w:tc>
          <w:tcPr>
            <w:tcW w:w="1015" w:type="dxa"/>
            <w:tcBorders>
              <w:top w:val="nil"/>
              <w:left w:val="nil"/>
              <w:bottom w:val="single" w:sz="4" w:space="0" w:color="000000"/>
              <w:right w:val="single" w:sz="4" w:space="0" w:color="000000"/>
            </w:tcBorders>
            <w:vAlign w:val="center"/>
            <w:hideMark/>
          </w:tcPr>
          <w:p w14:paraId="2073C5B6"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147497D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57F28400"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5C8783AA"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6BC62475" w14:textId="77777777" w:rsidR="00647015" w:rsidRPr="00E037B3" w:rsidRDefault="005920C4" w:rsidP="00647015">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684A9D">
              <w:rPr>
                <w:rFonts w:ascii="Times New Roman" w:eastAsia="맑은 고딕" w:hAnsi="Times New Roman" w:cs="Times New Roman"/>
                <w:color w:val="000000"/>
                <w:kern w:val="0"/>
                <w:szCs w:val="20"/>
              </w:rPr>
              <w:t>Gyeongsangbuk</w:t>
            </w:r>
            <w:proofErr w:type="spellEnd"/>
            <w:r w:rsidRPr="00684A9D">
              <w:rPr>
                <w:rFonts w:ascii="Times New Roman" w:eastAsia="맑은 고딕" w:hAnsi="Times New Roman" w:cs="Times New Roman"/>
                <w:color w:val="000000"/>
                <w:kern w:val="0"/>
                <w:szCs w:val="20"/>
              </w:rPr>
              <w:t>-do</w:t>
            </w:r>
          </w:p>
        </w:tc>
        <w:tc>
          <w:tcPr>
            <w:tcW w:w="1079" w:type="dxa"/>
            <w:tcBorders>
              <w:top w:val="nil"/>
              <w:left w:val="nil"/>
              <w:bottom w:val="single" w:sz="4" w:space="0" w:color="000000"/>
              <w:right w:val="single" w:sz="4" w:space="0" w:color="000000"/>
            </w:tcBorders>
            <w:vAlign w:val="center"/>
            <w:hideMark/>
          </w:tcPr>
          <w:p w14:paraId="2B71851B"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16939.19</w:t>
            </w:r>
          </w:p>
        </w:tc>
        <w:tc>
          <w:tcPr>
            <w:tcW w:w="1079" w:type="dxa"/>
            <w:tcBorders>
              <w:top w:val="nil"/>
              <w:left w:val="nil"/>
              <w:bottom w:val="single" w:sz="4" w:space="0" w:color="000000"/>
              <w:right w:val="single" w:sz="4" w:space="0" w:color="000000"/>
            </w:tcBorders>
            <w:vAlign w:val="center"/>
            <w:hideMark/>
          </w:tcPr>
          <w:p w14:paraId="3D0C262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1271.317</w:t>
            </w:r>
          </w:p>
        </w:tc>
        <w:tc>
          <w:tcPr>
            <w:tcW w:w="1209" w:type="dxa"/>
            <w:tcBorders>
              <w:top w:val="nil"/>
              <w:left w:val="nil"/>
              <w:bottom w:val="single" w:sz="4" w:space="0" w:color="000000"/>
              <w:right w:val="single" w:sz="4" w:space="0" w:color="000000"/>
            </w:tcBorders>
            <w:vAlign w:val="center"/>
            <w:hideMark/>
          </w:tcPr>
          <w:p w14:paraId="1620EC6E"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483.447</w:t>
            </w:r>
          </w:p>
        </w:tc>
        <w:tc>
          <w:tcPr>
            <w:tcW w:w="1126" w:type="dxa"/>
            <w:tcBorders>
              <w:top w:val="nil"/>
              <w:left w:val="nil"/>
              <w:bottom w:val="single" w:sz="4" w:space="0" w:color="000000"/>
              <w:right w:val="single" w:sz="4" w:space="0" w:color="000000"/>
            </w:tcBorders>
            <w:vAlign w:val="center"/>
            <w:hideMark/>
          </w:tcPr>
          <w:p w14:paraId="081B034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12.149</w:t>
            </w:r>
          </w:p>
        </w:tc>
        <w:tc>
          <w:tcPr>
            <w:tcW w:w="1079" w:type="dxa"/>
            <w:tcBorders>
              <w:top w:val="nil"/>
              <w:left w:val="nil"/>
              <w:bottom w:val="single" w:sz="4" w:space="0" w:color="000000"/>
              <w:right w:val="single" w:sz="4" w:space="0" w:color="000000"/>
            </w:tcBorders>
            <w:vAlign w:val="center"/>
            <w:hideMark/>
          </w:tcPr>
          <w:p w14:paraId="0F59103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186.91</w:t>
            </w:r>
          </w:p>
        </w:tc>
        <w:tc>
          <w:tcPr>
            <w:tcW w:w="1015" w:type="dxa"/>
            <w:tcBorders>
              <w:top w:val="nil"/>
              <w:left w:val="nil"/>
              <w:bottom w:val="single" w:sz="4" w:space="0" w:color="000000"/>
              <w:right w:val="single" w:sz="4" w:space="0" w:color="000000"/>
            </w:tcBorders>
            <w:vAlign w:val="center"/>
            <w:hideMark/>
          </w:tcPr>
          <w:p w14:paraId="66D0A10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58.65</w:t>
            </w:r>
          </w:p>
        </w:tc>
        <w:tc>
          <w:tcPr>
            <w:tcW w:w="1015" w:type="dxa"/>
            <w:tcBorders>
              <w:top w:val="nil"/>
              <w:left w:val="nil"/>
              <w:bottom w:val="single" w:sz="4" w:space="0" w:color="000000"/>
              <w:right w:val="single" w:sz="4" w:space="0" w:color="000000"/>
            </w:tcBorders>
            <w:vAlign w:val="center"/>
            <w:hideMark/>
          </w:tcPr>
          <w:p w14:paraId="6CBEF54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5.269</w:t>
            </w:r>
          </w:p>
        </w:tc>
        <w:tc>
          <w:tcPr>
            <w:tcW w:w="1015" w:type="dxa"/>
            <w:tcBorders>
              <w:top w:val="nil"/>
              <w:left w:val="nil"/>
              <w:bottom w:val="single" w:sz="4" w:space="0" w:color="000000"/>
              <w:right w:val="single" w:sz="4" w:space="0" w:color="000000"/>
            </w:tcBorders>
            <w:vAlign w:val="center"/>
            <w:hideMark/>
          </w:tcPr>
          <w:p w14:paraId="74D41C7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0.298</w:t>
            </w:r>
          </w:p>
        </w:tc>
        <w:tc>
          <w:tcPr>
            <w:tcW w:w="1015" w:type="dxa"/>
            <w:tcBorders>
              <w:top w:val="nil"/>
              <w:left w:val="nil"/>
              <w:bottom w:val="single" w:sz="4" w:space="0" w:color="000000"/>
              <w:right w:val="single" w:sz="4" w:space="0" w:color="000000"/>
            </w:tcBorders>
            <w:vAlign w:val="center"/>
            <w:hideMark/>
          </w:tcPr>
          <w:p w14:paraId="0855480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4AB8973F"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268F24E7"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r w:rsidR="00647015" w:rsidRPr="00E037B3" w14:paraId="3B5B7448" w14:textId="77777777" w:rsidTr="005920C4">
        <w:trPr>
          <w:trHeight w:val="271"/>
        </w:trPr>
        <w:tc>
          <w:tcPr>
            <w:tcW w:w="2154" w:type="dxa"/>
            <w:tcBorders>
              <w:top w:val="nil"/>
              <w:left w:val="single" w:sz="4" w:space="0" w:color="000000"/>
              <w:bottom w:val="single" w:sz="4" w:space="0" w:color="000000"/>
              <w:right w:val="single" w:sz="4" w:space="0" w:color="000000"/>
            </w:tcBorders>
            <w:vAlign w:val="center"/>
            <w:hideMark/>
          </w:tcPr>
          <w:p w14:paraId="55D2F11D" w14:textId="77777777" w:rsidR="00647015" w:rsidRPr="00E037B3" w:rsidRDefault="005920C4" w:rsidP="00647015">
            <w:pPr>
              <w:widowControl/>
              <w:wordWrap/>
              <w:autoSpaceDE/>
              <w:autoSpaceDN/>
              <w:spacing w:after="0" w:line="240" w:lineRule="auto"/>
              <w:jc w:val="center"/>
              <w:rPr>
                <w:rFonts w:ascii="Times New Roman" w:eastAsia="맑은 고딕" w:hAnsi="Times New Roman" w:cs="Times New Roman"/>
                <w:color w:val="000000"/>
                <w:kern w:val="0"/>
                <w:szCs w:val="20"/>
              </w:rPr>
            </w:pPr>
            <w:proofErr w:type="spellStart"/>
            <w:r w:rsidRPr="00684A9D">
              <w:rPr>
                <w:rFonts w:ascii="Times New Roman" w:eastAsia="맑은 고딕" w:hAnsi="Times New Roman" w:cs="Times New Roman"/>
                <w:color w:val="000000"/>
                <w:kern w:val="0"/>
                <w:szCs w:val="20"/>
              </w:rPr>
              <w:t>Gyeonsangnam</w:t>
            </w:r>
            <w:proofErr w:type="spellEnd"/>
            <w:r w:rsidRPr="00684A9D">
              <w:rPr>
                <w:rFonts w:ascii="Times New Roman" w:eastAsia="맑은 고딕" w:hAnsi="Times New Roman" w:cs="Times New Roman"/>
                <w:color w:val="000000"/>
                <w:kern w:val="0"/>
                <w:szCs w:val="20"/>
              </w:rPr>
              <w:t>-do</w:t>
            </w:r>
          </w:p>
        </w:tc>
        <w:tc>
          <w:tcPr>
            <w:tcW w:w="1079" w:type="dxa"/>
            <w:tcBorders>
              <w:top w:val="nil"/>
              <w:left w:val="nil"/>
              <w:bottom w:val="single" w:sz="4" w:space="0" w:color="000000"/>
              <w:right w:val="single" w:sz="4" w:space="0" w:color="000000"/>
            </w:tcBorders>
            <w:vAlign w:val="center"/>
            <w:hideMark/>
          </w:tcPr>
          <w:p w14:paraId="1878D601"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8971.47</w:t>
            </w:r>
          </w:p>
        </w:tc>
        <w:tc>
          <w:tcPr>
            <w:tcW w:w="1079" w:type="dxa"/>
            <w:tcBorders>
              <w:top w:val="nil"/>
              <w:left w:val="nil"/>
              <w:bottom w:val="single" w:sz="4" w:space="0" w:color="000000"/>
              <w:right w:val="single" w:sz="4" w:space="0" w:color="000000"/>
            </w:tcBorders>
            <w:vAlign w:val="center"/>
            <w:hideMark/>
          </w:tcPr>
          <w:p w14:paraId="6EB6B07D"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328.95</w:t>
            </w:r>
          </w:p>
        </w:tc>
        <w:tc>
          <w:tcPr>
            <w:tcW w:w="1209" w:type="dxa"/>
            <w:tcBorders>
              <w:top w:val="nil"/>
              <w:left w:val="nil"/>
              <w:bottom w:val="single" w:sz="4" w:space="0" w:color="000000"/>
              <w:right w:val="single" w:sz="4" w:space="0" w:color="000000"/>
            </w:tcBorders>
            <w:vAlign w:val="center"/>
            <w:hideMark/>
          </w:tcPr>
          <w:p w14:paraId="719D9A3A"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90.462</w:t>
            </w:r>
          </w:p>
        </w:tc>
        <w:tc>
          <w:tcPr>
            <w:tcW w:w="1126" w:type="dxa"/>
            <w:tcBorders>
              <w:top w:val="nil"/>
              <w:left w:val="nil"/>
              <w:bottom w:val="single" w:sz="4" w:space="0" w:color="000000"/>
              <w:right w:val="single" w:sz="4" w:space="0" w:color="000000"/>
            </w:tcBorders>
            <w:vAlign w:val="center"/>
            <w:hideMark/>
          </w:tcPr>
          <w:p w14:paraId="463295C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0.749</w:t>
            </w:r>
          </w:p>
        </w:tc>
        <w:tc>
          <w:tcPr>
            <w:tcW w:w="1079" w:type="dxa"/>
            <w:tcBorders>
              <w:top w:val="nil"/>
              <w:left w:val="nil"/>
              <w:bottom w:val="single" w:sz="4" w:space="0" w:color="000000"/>
              <w:right w:val="single" w:sz="4" w:space="0" w:color="000000"/>
            </w:tcBorders>
            <w:vAlign w:val="center"/>
            <w:hideMark/>
          </w:tcPr>
          <w:p w14:paraId="1DA91D75"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4.661</w:t>
            </w:r>
          </w:p>
        </w:tc>
        <w:tc>
          <w:tcPr>
            <w:tcW w:w="1015" w:type="dxa"/>
            <w:tcBorders>
              <w:top w:val="nil"/>
              <w:left w:val="nil"/>
              <w:bottom w:val="single" w:sz="4" w:space="0" w:color="000000"/>
              <w:right w:val="single" w:sz="4" w:space="0" w:color="000000"/>
            </w:tcBorders>
            <w:vAlign w:val="center"/>
            <w:hideMark/>
          </w:tcPr>
          <w:p w14:paraId="7BDBD862"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3C09215C"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4551A6B4"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687530E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1015" w:type="dxa"/>
            <w:tcBorders>
              <w:top w:val="nil"/>
              <w:left w:val="nil"/>
              <w:bottom w:val="single" w:sz="4" w:space="0" w:color="000000"/>
              <w:right w:val="single" w:sz="4" w:space="0" w:color="000000"/>
            </w:tcBorders>
            <w:vAlign w:val="center"/>
            <w:hideMark/>
          </w:tcPr>
          <w:p w14:paraId="72E16B13"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c>
          <w:tcPr>
            <w:tcW w:w="859" w:type="dxa"/>
            <w:tcBorders>
              <w:top w:val="nil"/>
              <w:left w:val="nil"/>
              <w:bottom w:val="single" w:sz="4" w:space="0" w:color="000000"/>
              <w:right w:val="single" w:sz="4" w:space="0" w:color="000000"/>
            </w:tcBorders>
            <w:vAlign w:val="center"/>
            <w:hideMark/>
          </w:tcPr>
          <w:p w14:paraId="4CD5A659" w14:textId="77777777" w:rsidR="00647015" w:rsidRPr="00E037B3" w:rsidRDefault="00647015" w:rsidP="00647015">
            <w:pPr>
              <w:widowControl/>
              <w:wordWrap/>
              <w:autoSpaceDE/>
              <w:autoSpaceDN/>
              <w:spacing w:after="0" w:line="240" w:lineRule="auto"/>
              <w:jc w:val="center"/>
              <w:rPr>
                <w:rFonts w:ascii="Times New Roman" w:eastAsia="맑은 고딕" w:hAnsi="Times New Roman" w:cs="Times New Roman"/>
                <w:color w:val="000000"/>
                <w:kern w:val="0"/>
                <w:szCs w:val="20"/>
              </w:rPr>
            </w:pPr>
            <w:r w:rsidRPr="00E037B3">
              <w:rPr>
                <w:rFonts w:ascii="Times New Roman" w:eastAsia="맑은 고딕" w:hAnsi="Times New Roman" w:cs="Times New Roman"/>
                <w:color w:val="000000"/>
                <w:kern w:val="0"/>
                <w:szCs w:val="20"/>
              </w:rPr>
              <w:t>0</w:t>
            </w:r>
          </w:p>
        </w:tc>
      </w:tr>
    </w:tbl>
    <w:p w14:paraId="4B14D0FF" w14:textId="0464EE1D" w:rsidR="00000000" w:rsidRPr="00D32C8C" w:rsidRDefault="001C303D" w:rsidP="00D32C8C">
      <w:r w:rsidRPr="001C303D">
        <w:rPr>
          <w:rFonts w:ascii="Times New Roman" w:hAnsi="Times New Roman" w:cs="Times New Roman" w:hint="eastAsia"/>
          <w:b/>
          <w:bCs/>
        </w:rPr>
        <w:t xml:space="preserve">Supplementary Table </w:t>
      </w:r>
      <w:r w:rsidRPr="001C303D">
        <w:rPr>
          <w:rFonts w:ascii="Times New Roman" w:hAnsi="Times New Roman" w:cs="Times New Roman"/>
          <w:b/>
          <w:bCs/>
        </w:rPr>
        <w:t>2</w:t>
      </w:r>
      <w:r w:rsidRPr="001C303D">
        <w:rPr>
          <w:rFonts w:ascii="Times New Roman" w:hAnsi="Times New Roman" w:cs="Times New Roman" w:hint="eastAsia"/>
          <w:b/>
          <w:bCs/>
        </w:rPr>
        <w:t>.</w:t>
      </w:r>
      <w:r>
        <w:rPr>
          <w:rFonts w:ascii="Times New Roman" w:hAnsi="Times New Roman" w:cs="Times New Roman" w:hint="eastAsia"/>
        </w:rPr>
        <w:t xml:space="preserve"> </w:t>
      </w:r>
      <w:r w:rsidRPr="00F91103">
        <w:rPr>
          <w:rFonts w:ascii="Times New Roman" w:hAnsi="Times New Roman" w:cs="Times New Roman"/>
        </w:rPr>
        <w:t xml:space="preserve">Area by province according to the suitability of </w:t>
      </w:r>
      <w:proofErr w:type="spellStart"/>
      <w:r w:rsidRPr="00F91103">
        <w:rPr>
          <w:rFonts w:ascii="Times New Roman" w:hAnsi="Times New Roman" w:cs="Times New Roman"/>
        </w:rPr>
        <w:t>Suweon</w:t>
      </w:r>
      <w:proofErr w:type="spellEnd"/>
      <w:r w:rsidRPr="00F91103">
        <w:rPr>
          <w:rFonts w:ascii="Times New Roman" w:hAnsi="Times New Roman" w:cs="Times New Roman"/>
        </w:rPr>
        <w:t xml:space="preserve"> treefrog habitat</w:t>
      </w:r>
    </w:p>
    <w:sectPr w:rsidR="0002148F" w:rsidRPr="00D32C8C" w:rsidSect="00D32C8C">
      <w:pgSz w:w="16838" w:h="11906" w:orient="landscape"/>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5B947" w14:textId="77777777" w:rsidR="006D68B8" w:rsidRDefault="006D68B8" w:rsidP="00EF5470">
      <w:pPr>
        <w:spacing w:after="0" w:line="240" w:lineRule="auto"/>
      </w:pPr>
      <w:r>
        <w:separator/>
      </w:r>
    </w:p>
  </w:endnote>
  <w:endnote w:type="continuationSeparator" w:id="0">
    <w:p w14:paraId="2298C89F" w14:textId="77777777" w:rsidR="006D68B8" w:rsidRDefault="006D68B8" w:rsidP="00EF5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56A38" w14:textId="77777777" w:rsidR="006D68B8" w:rsidRDefault="006D68B8" w:rsidP="00EF5470">
      <w:pPr>
        <w:spacing w:after="0" w:line="240" w:lineRule="auto"/>
      </w:pPr>
      <w:r>
        <w:separator/>
      </w:r>
    </w:p>
  </w:footnote>
  <w:footnote w:type="continuationSeparator" w:id="0">
    <w:p w14:paraId="218416F2" w14:textId="77777777" w:rsidR="006D68B8" w:rsidRDefault="006D68B8" w:rsidP="00EF54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QwMbYwsjA1NLM0MjBU0lEKTi0uzszPAykwrQUAHGOVUCwAAAA="/>
  </w:docVars>
  <w:rsids>
    <w:rsidRoot w:val="00FC721D"/>
    <w:rsid w:val="000073C2"/>
    <w:rsid w:val="00017987"/>
    <w:rsid w:val="00056573"/>
    <w:rsid w:val="00104F46"/>
    <w:rsid w:val="0018720A"/>
    <w:rsid w:val="00196824"/>
    <w:rsid w:val="001C303D"/>
    <w:rsid w:val="0022295C"/>
    <w:rsid w:val="002375C1"/>
    <w:rsid w:val="00382F03"/>
    <w:rsid w:val="00393477"/>
    <w:rsid w:val="004B7D5B"/>
    <w:rsid w:val="00553F8D"/>
    <w:rsid w:val="0057788A"/>
    <w:rsid w:val="005920C4"/>
    <w:rsid w:val="005A5B33"/>
    <w:rsid w:val="005D215F"/>
    <w:rsid w:val="00647015"/>
    <w:rsid w:val="00693D3D"/>
    <w:rsid w:val="006B3395"/>
    <w:rsid w:val="006B73DE"/>
    <w:rsid w:val="006D68B8"/>
    <w:rsid w:val="00730010"/>
    <w:rsid w:val="009B6FF8"/>
    <w:rsid w:val="00A5483E"/>
    <w:rsid w:val="00AC0E4F"/>
    <w:rsid w:val="00AE1F32"/>
    <w:rsid w:val="00BA4E31"/>
    <w:rsid w:val="00BB1EB2"/>
    <w:rsid w:val="00CE140E"/>
    <w:rsid w:val="00CE5605"/>
    <w:rsid w:val="00D32C8C"/>
    <w:rsid w:val="00DC1C66"/>
    <w:rsid w:val="00DF4BE6"/>
    <w:rsid w:val="00EF5470"/>
    <w:rsid w:val="00F1791F"/>
    <w:rsid w:val="00FC721D"/>
    <w:rsid w:val="00FF1B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35A1E"/>
  <w15:chartTrackingRefBased/>
  <w15:docId w15:val="{E7AE1B07-6312-459A-BECC-E0D987A3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21D"/>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FC721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header"/>
    <w:basedOn w:val="a"/>
    <w:link w:val="Char"/>
    <w:uiPriority w:val="99"/>
    <w:unhideWhenUsed/>
    <w:rsid w:val="00EF5470"/>
    <w:pPr>
      <w:tabs>
        <w:tab w:val="center" w:pos="4513"/>
        <w:tab w:val="right" w:pos="9026"/>
      </w:tabs>
      <w:snapToGrid w:val="0"/>
    </w:pPr>
  </w:style>
  <w:style w:type="character" w:customStyle="1" w:styleId="Char">
    <w:name w:val="머리글 Char"/>
    <w:basedOn w:val="a0"/>
    <w:link w:val="a5"/>
    <w:uiPriority w:val="99"/>
    <w:rsid w:val="00EF5470"/>
  </w:style>
  <w:style w:type="paragraph" w:styleId="a6">
    <w:name w:val="footer"/>
    <w:basedOn w:val="a"/>
    <w:link w:val="Char0"/>
    <w:uiPriority w:val="99"/>
    <w:unhideWhenUsed/>
    <w:rsid w:val="00EF5470"/>
    <w:pPr>
      <w:tabs>
        <w:tab w:val="center" w:pos="4513"/>
        <w:tab w:val="right" w:pos="9026"/>
      </w:tabs>
      <w:snapToGrid w:val="0"/>
    </w:pPr>
  </w:style>
  <w:style w:type="character" w:customStyle="1" w:styleId="Char0">
    <w:name w:val="바닥글 Char"/>
    <w:basedOn w:val="a0"/>
    <w:link w:val="a6"/>
    <w:uiPriority w:val="99"/>
    <w:rsid w:val="00EF5470"/>
  </w:style>
  <w:style w:type="character" w:styleId="a7">
    <w:name w:val="Hyperlink"/>
    <w:basedOn w:val="a0"/>
    <w:uiPriority w:val="99"/>
    <w:unhideWhenUsed/>
    <w:rsid w:val="004B7D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5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arkys@khu.ac.k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randblue@nie.re.kr"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3071</Words>
  <Characters>17510</Characters>
  <Application>Microsoft Office Word</Application>
  <DocSecurity>0</DocSecurity>
  <Lines>145</Lines>
  <Paragraphs>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멸종위기종복원센터</dc:creator>
  <cp:keywords/>
  <dc:description/>
  <cp:lastModifiedBy>FOR</cp:lastModifiedBy>
  <cp:revision>13</cp:revision>
  <dcterms:created xsi:type="dcterms:W3CDTF">2025-05-29T04:31:00Z</dcterms:created>
  <dcterms:modified xsi:type="dcterms:W3CDTF">2025-11-15T02:55:00Z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id="w5ePR6aB"/&gt;&lt;style id="http://www.zotero.org/styles/elsevier-harvard"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