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566D8" w14:textId="77777777" w:rsidR="007A4DB6" w:rsidRDefault="007A4DB6" w:rsidP="007A4DB6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Appendix</w:t>
      </w:r>
    </w:p>
    <w:p w14:paraId="0EB734DA" w14:textId="77777777" w:rsidR="007A4DB6" w:rsidRPr="003A346A" w:rsidRDefault="007A4DB6" w:rsidP="007A4DB6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3A346A">
        <w:rPr>
          <w:rFonts w:ascii="Arial" w:hAnsi="Arial" w:cs="Arial"/>
          <w:b/>
          <w:bCs/>
          <w:sz w:val="22"/>
          <w:szCs w:val="22"/>
          <w:lang w:val="en-US"/>
        </w:rPr>
        <w:t>Supplementary methods</w:t>
      </w:r>
    </w:p>
    <w:p w14:paraId="25735482" w14:textId="77777777" w:rsidR="007A4DB6" w:rsidRPr="000D59D5" w:rsidRDefault="007A4DB6" w:rsidP="007A4DB6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0D59D5">
        <w:rPr>
          <w:rFonts w:ascii="Arial" w:hAnsi="Arial" w:cs="Arial"/>
          <w:b/>
          <w:bCs/>
          <w:sz w:val="20"/>
          <w:szCs w:val="20"/>
          <w:lang w:val="en-US"/>
        </w:rPr>
        <w:t>S1. Detailed randomization procedures:</w:t>
      </w:r>
      <w:r w:rsidRPr="000D59D5">
        <w:rPr>
          <w:rFonts w:ascii="Arial" w:hAnsi="Arial" w:cs="Arial"/>
          <w:sz w:val="20"/>
          <w:szCs w:val="20"/>
          <w:lang w:val="en-US"/>
        </w:rPr>
        <w:t xml:space="preserve"> Participants were randomized 1:1 to teleconsultation or in-person specialist care using a concealed, computer-generated sequence implemented in REDCap (22). Randomization was stratified by baseline HbA1c (&lt;9% vs. ≥9%) and employed permuted blocks of random sizes (4, 6, and 8) to ensure allocation concealment.</w:t>
      </w:r>
      <w:r w:rsidRPr="000D59D5">
        <w:rPr>
          <w:rFonts w:ascii="Arial" w:hAnsi="Arial" w:cs="Arial"/>
          <w:sz w:val="20"/>
          <w:szCs w:val="20"/>
          <w:lang w:val="en-US"/>
        </w:rPr>
        <w:br/>
        <w:t xml:space="preserve">Masking of patients and clinicians was not feasible due to the nature of the intervention; however, laboratory personnel and data analysts remained blinded to treatment allocation until </w:t>
      </w:r>
      <w:r>
        <w:rPr>
          <w:rFonts w:ascii="Arial" w:hAnsi="Arial" w:cs="Arial"/>
          <w:sz w:val="20"/>
          <w:szCs w:val="20"/>
          <w:lang w:val="en-US"/>
        </w:rPr>
        <w:t>the database was locked</w:t>
      </w:r>
      <w:r w:rsidRPr="000D59D5">
        <w:rPr>
          <w:rFonts w:ascii="Arial" w:hAnsi="Arial" w:cs="Arial"/>
          <w:sz w:val="20"/>
          <w:szCs w:val="20"/>
          <w:lang w:val="en-US"/>
        </w:rPr>
        <w:t>.</w:t>
      </w:r>
    </w:p>
    <w:p w14:paraId="547DB360" w14:textId="77777777" w:rsidR="007A4DB6" w:rsidRPr="000D59D5" w:rsidRDefault="007A4DB6" w:rsidP="007A4DB6">
      <w:pPr>
        <w:spacing w:line="360" w:lineRule="auto"/>
        <w:rPr>
          <w:rFonts w:ascii="Arial" w:hAnsi="Arial" w:cs="Arial"/>
          <w:sz w:val="20"/>
          <w:szCs w:val="20"/>
        </w:rPr>
      </w:pPr>
      <w:r w:rsidRPr="000D59D5">
        <w:rPr>
          <w:rFonts w:ascii="Arial" w:hAnsi="Arial" w:cs="Arial"/>
          <w:b/>
          <w:bCs/>
          <w:sz w:val="20"/>
          <w:szCs w:val="20"/>
          <w:lang w:val="en-US"/>
        </w:rPr>
        <w:t xml:space="preserve">S2. Laboratory monitoring protocol: </w:t>
      </w:r>
      <w:r w:rsidRPr="000D59D5">
        <w:rPr>
          <w:rFonts w:ascii="Arial" w:hAnsi="Arial" w:cs="Arial"/>
          <w:sz w:val="20"/>
          <w:szCs w:val="20"/>
          <w:lang w:val="en-US"/>
        </w:rPr>
        <w:t>All participants underwent standardized laboratory evaluations at baseline, 3 months, and 6 months, performed at municipal SUS reference laboratories using standardized analytic procedures.</w:t>
      </w:r>
      <w:r w:rsidRPr="000D59D5">
        <w:rPr>
          <w:rFonts w:ascii="Arial" w:hAnsi="Arial" w:cs="Arial"/>
          <w:sz w:val="20"/>
          <w:szCs w:val="20"/>
          <w:lang w:val="en-US"/>
        </w:rPr>
        <w:br/>
      </w:r>
      <w:r w:rsidRPr="000D59D5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0D59D5">
        <w:rPr>
          <w:rFonts w:ascii="Arial" w:hAnsi="Arial" w:cs="Arial"/>
          <w:sz w:val="20"/>
          <w:szCs w:val="20"/>
        </w:rPr>
        <w:t>following</w:t>
      </w:r>
      <w:proofErr w:type="spellEnd"/>
      <w:r w:rsidRPr="000D59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9D5">
        <w:rPr>
          <w:rFonts w:ascii="Arial" w:hAnsi="Arial" w:cs="Arial"/>
          <w:sz w:val="20"/>
          <w:szCs w:val="20"/>
        </w:rPr>
        <w:t>panels</w:t>
      </w:r>
      <w:proofErr w:type="spellEnd"/>
      <w:r w:rsidRPr="000D59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9D5">
        <w:rPr>
          <w:rFonts w:ascii="Arial" w:hAnsi="Arial" w:cs="Arial"/>
          <w:sz w:val="20"/>
          <w:szCs w:val="20"/>
        </w:rPr>
        <w:t>were</w:t>
      </w:r>
      <w:proofErr w:type="spellEnd"/>
      <w:r w:rsidRPr="000D59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9D5">
        <w:rPr>
          <w:rFonts w:ascii="Arial" w:hAnsi="Arial" w:cs="Arial"/>
          <w:sz w:val="20"/>
          <w:szCs w:val="20"/>
        </w:rPr>
        <w:t>assessed</w:t>
      </w:r>
      <w:proofErr w:type="spellEnd"/>
      <w:r w:rsidRPr="000D59D5">
        <w:rPr>
          <w:rFonts w:ascii="Arial" w:hAnsi="Arial" w:cs="Arial"/>
          <w:sz w:val="20"/>
          <w:szCs w:val="20"/>
        </w:rPr>
        <w:t>:</w:t>
      </w:r>
    </w:p>
    <w:p w14:paraId="755753E5" w14:textId="77777777" w:rsidR="007A4DB6" w:rsidRPr="000D59D5" w:rsidRDefault="007A4DB6" w:rsidP="007A4DB6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0D59D5">
        <w:rPr>
          <w:rFonts w:ascii="Arial" w:hAnsi="Arial" w:cs="Arial"/>
          <w:sz w:val="20"/>
          <w:szCs w:val="20"/>
          <w:lang w:val="en-US"/>
        </w:rPr>
        <w:t>Glycemic control: Fasting plasma glucose, HbA1c</w:t>
      </w:r>
    </w:p>
    <w:p w14:paraId="323A7938" w14:textId="77777777" w:rsidR="007A4DB6" w:rsidRPr="000D59D5" w:rsidRDefault="007A4DB6" w:rsidP="007A4DB6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0D59D5">
        <w:rPr>
          <w:rFonts w:ascii="Arial" w:hAnsi="Arial" w:cs="Arial"/>
          <w:sz w:val="20"/>
          <w:szCs w:val="20"/>
          <w:lang w:val="en-US"/>
        </w:rPr>
        <w:t>Renal function: Serum creatinine, estimated glomerular filtration rate (eGFR), urea</w:t>
      </w:r>
    </w:p>
    <w:p w14:paraId="08492B18" w14:textId="77777777" w:rsidR="007A4DB6" w:rsidRPr="000D59D5" w:rsidRDefault="007A4DB6" w:rsidP="007A4DB6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0D59D5">
        <w:rPr>
          <w:rFonts w:ascii="Arial" w:hAnsi="Arial" w:cs="Arial"/>
          <w:sz w:val="20"/>
          <w:szCs w:val="20"/>
          <w:lang w:val="en-US"/>
        </w:rPr>
        <w:t>Lipid profile: Total cholesterol, LDL-C, HDL-C, triglycerides</w:t>
      </w:r>
    </w:p>
    <w:p w14:paraId="7A06F1B6" w14:textId="77777777" w:rsidR="007A4DB6" w:rsidRPr="000D59D5" w:rsidRDefault="007A4DB6" w:rsidP="007A4DB6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0D59D5">
        <w:rPr>
          <w:rFonts w:ascii="Arial" w:hAnsi="Arial" w:cs="Arial"/>
          <w:sz w:val="20"/>
          <w:szCs w:val="20"/>
          <w:lang w:val="en-US"/>
        </w:rPr>
        <w:t>Hematologic parameters: Complete blood count with differential</w:t>
      </w:r>
    </w:p>
    <w:p w14:paraId="7773C395" w14:textId="77777777" w:rsidR="007A4DB6" w:rsidRPr="000D59D5" w:rsidRDefault="007A4DB6" w:rsidP="007A4DB6">
      <w:pPr>
        <w:tabs>
          <w:tab w:val="num" w:pos="720"/>
        </w:tabs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0D59D5">
        <w:rPr>
          <w:rFonts w:ascii="Arial" w:hAnsi="Arial" w:cs="Arial"/>
          <w:b/>
          <w:bCs/>
          <w:sz w:val="20"/>
          <w:szCs w:val="20"/>
          <w:lang w:val="en-US"/>
        </w:rPr>
        <w:t>S3. Education-Based Digital Risk Stratification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r w:rsidRPr="000D59D5">
        <w:rPr>
          <w:rFonts w:ascii="Arial" w:hAnsi="Arial" w:cs="Arial"/>
          <w:sz w:val="20"/>
          <w:szCs w:val="20"/>
          <w:lang w:val="en-US"/>
        </w:rPr>
        <w:t>Educational attainment was selected as the primary stratification variable for digital risk, justified by three factors:</w:t>
      </w:r>
      <w:r>
        <w:rPr>
          <w:rFonts w:ascii="Arial" w:hAnsi="Arial" w:cs="Arial"/>
          <w:sz w:val="20"/>
          <w:szCs w:val="20"/>
          <w:lang w:val="en-US"/>
        </w:rPr>
        <w:t xml:space="preserve"> 1-</w:t>
      </w:r>
      <w:r w:rsidRPr="000D59D5">
        <w:rPr>
          <w:rFonts w:ascii="Arial" w:hAnsi="Arial" w:cs="Arial"/>
          <w:sz w:val="20"/>
          <w:szCs w:val="20"/>
          <w:lang w:val="en-US"/>
        </w:rPr>
        <w:t>Association with digital literacy: Brazilian national surveys demonstrate strong gradients in internet access (72% among those with elementary education vs. 98% with higher education), smartphone ownership (67% vs. 95%), and eHealth literacy (27,28)</w:t>
      </w:r>
      <w:r>
        <w:rPr>
          <w:rFonts w:ascii="Arial" w:hAnsi="Arial" w:cs="Arial"/>
          <w:sz w:val="20"/>
          <w:szCs w:val="20"/>
          <w:lang w:val="en-US"/>
        </w:rPr>
        <w:t>, 2-</w:t>
      </w:r>
      <w:r w:rsidRPr="000D59D5">
        <w:rPr>
          <w:rFonts w:ascii="Arial" w:hAnsi="Arial" w:cs="Arial"/>
          <w:sz w:val="20"/>
          <w:szCs w:val="20"/>
          <w:lang w:val="en-US"/>
        </w:rPr>
        <w:t>Correlation with healthcare access: Lower education correlates with delayed diabetes diagnosis, reduced specialist referrals, and lower adherence rates in Brazilian cohorts (29)</w:t>
      </w:r>
      <w:r>
        <w:rPr>
          <w:rFonts w:ascii="Arial" w:hAnsi="Arial" w:cs="Arial"/>
          <w:sz w:val="20"/>
          <w:szCs w:val="20"/>
          <w:lang w:val="en-US"/>
        </w:rPr>
        <w:t xml:space="preserve"> and 3-</w:t>
      </w:r>
      <w:r w:rsidRPr="000D59D5">
        <w:rPr>
          <w:rFonts w:ascii="Arial" w:hAnsi="Arial" w:cs="Arial"/>
          <w:sz w:val="20"/>
          <w:szCs w:val="20"/>
          <w:lang w:val="en-US"/>
        </w:rPr>
        <w:t>Pragmatic feasibility: Education data were complete for 97.5% of participants and easily operationalized within SUS information systems.</w:t>
      </w:r>
    </w:p>
    <w:p w14:paraId="2F231DB2" w14:textId="77777777" w:rsidR="007A4DB6" w:rsidRPr="000D59D5" w:rsidRDefault="007A4DB6" w:rsidP="007A4DB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0D59D5">
        <w:rPr>
          <w:rFonts w:ascii="Arial" w:hAnsi="Arial" w:cs="Arial"/>
          <w:sz w:val="20"/>
          <w:szCs w:val="20"/>
        </w:rPr>
        <w:t>Limitations</w:t>
      </w:r>
      <w:proofErr w:type="spellEnd"/>
      <w:r w:rsidRPr="000D59D5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0D59D5">
        <w:rPr>
          <w:rFonts w:ascii="Arial" w:hAnsi="Arial" w:cs="Arial"/>
          <w:sz w:val="20"/>
          <w:szCs w:val="20"/>
        </w:rPr>
        <w:t>this</w:t>
      </w:r>
      <w:proofErr w:type="spellEnd"/>
      <w:r w:rsidRPr="000D59D5">
        <w:rPr>
          <w:rFonts w:ascii="Arial" w:hAnsi="Arial" w:cs="Arial"/>
          <w:sz w:val="20"/>
          <w:szCs w:val="20"/>
        </w:rPr>
        <w:t xml:space="preserve"> proxy:</w:t>
      </w:r>
    </w:p>
    <w:p w14:paraId="71370529" w14:textId="77777777" w:rsidR="007A4DB6" w:rsidRPr="000D59D5" w:rsidRDefault="007A4DB6" w:rsidP="007A4DB6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0D59D5">
        <w:rPr>
          <w:rFonts w:ascii="Arial" w:hAnsi="Arial" w:cs="Arial"/>
          <w:sz w:val="20"/>
          <w:szCs w:val="20"/>
          <w:lang w:val="en-US"/>
        </w:rPr>
        <w:t>Fails to capture device ownership, connectivity stability, or caregiver digital support</w:t>
      </w:r>
    </w:p>
    <w:p w14:paraId="66CDEB61" w14:textId="77777777" w:rsidR="007A4DB6" w:rsidRPr="000D59D5" w:rsidRDefault="007A4DB6" w:rsidP="007A4DB6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0D59D5">
        <w:rPr>
          <w:rFonts w:ascii="Arial" w:hAnsi="Arial" w:cs="Arial"/>
          <w:sz w:val="20"/>
          <w:szCs w:val="20"/>
          <w:lang w:val="en-US"/>
        </w:rPr>
        <w:t>Does not reflect prior technology experience, sensory impairments, or cognitive barriers</w:t>
      </w:r>
    </w:p>
    <w:p w14:paraId="04CBE140" w14:textId="77777777" w:rsidR="007A4DB6" w:rsidRPr="000D59D5" w:rsidRDefault="007A4DB6" w:rsidP="007A4DB6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0D59D5">
        <w:rPr>
          <w:rFonts w:ascii="Arial" w:hAnsi="Arial" w:cs="Arial"/>
          <w:sz w:val="20"/>
          <w:szCs w:val="20"/>
          <w:lang w:val="en-US"/>
        </w:rPr>
        <w:t>Urban predominance (97.3%) limits assessment of rural–urban digital divides</w:t>
      </w:r>
    </w:p>
    <w:p w14:paraId="1C8D1524" w14:textId="77777777" w:rsidR="007A4DB6" w:rsidRPr="000D59D5" w:rsidRDefault="007A4DB6" w:rsidP="007A4DB6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0D59D5">
        <w:rPr>
          <w:rFonts w:ascii="Arial" w:hAnsi="Arial" w:cs="Arial"/>
          <w:sz w:val="20"/>
          <w:szCs w:val="20"/>
          <w:lang w:val="en-US"/>
        </w:rPr>
        <w:t>Future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0D59D5">
        <w:rPr>
          <w:rFonts w:ascii="Arial" w:hAnsi="Arial" w:cs="Arial"/>
          <w:sz w:val="20"/>
          <w:szCs w:val="20"/>
          <w:lang w:val="en-US"/>
        </w:rPr>
        <w:t>directions: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0D59D5">
        <w:rPr>
          <w:rFonts w:ascii="Arial" w:hAnsi="Arial" w:cs="Arial"/>
          <w:sz w:val="20"/>
          <w:szCs w:val="20"/>
          <w:lang w:val="en-US"/>
        </w:rPr>
        <w:t>Studies should include validated multidimensional indices (e.g., eHealth literacy scales), surveys on device ownership and connectivity, and measures of digital social support.</w:t>
      </w:r>
    </w:p>
    <w:p w14:paraId="6B70C517" w14:textId="77777777" w:rsidR="007A4DB6" w:rsidRPr="000D59D5" w:rsidRDefault="007A4DB6" w:rsidP="007A4DB6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0D59D5">
        <w:rPr>
          <w:rFonts w:ascii="Arial" w:hAnsi="Arial" w:cs="Arial"/>
          <w:b/>
          <w:bCs/>
          <w:sz w:val="20"/>
          <w:szCs w:val="20"/>
          <w:lang w:val="en-US"/>
        </w:rPr>
        <w:lastRenderedPageBreak/>
        <w:t>S4. Post-hoc Dichotomization of Satisfaction Outcomes:</w:t>
      </w:r>
      <w:r w:rsidRPr="000D59D5">
        <w:rPr>
          <w:rFonts w:ascii="Arial" w:hAnsi="Arial" w:cs="Arial"/>
          <w:sz w:val="20"/>
          <w:szCs w:val="20"/>
          <w:lang w:val="en-US"/>
        </w:rPr>
        <w:t xml:space="preserve"> The original 5-point Likert satisfaction scale </w:t>
      </w:r>
      <w:r>
        <w:rPr>
          <w:rFonts w:ascii="Arial" w:hAnsi="Arial" w:cs="Arial"/>
          <w:sz w:val="20"/>
          <w:szCs w:val="20"/>
          <w:lang w:val="en-US"/>
        </w:rPr>
        <w:t>exhibited a strong ceiling effect, with 60–70% of responses falling into</w:t>
      </w:r>
      <w:r w:rsidRPr="000D59D5">
        <w:rPr>
          <w:rFonts w:ascii="Arial" w:hAnsi="Arial" w:cs="Arial"/>
          <w:sz w:val="20"/>
          <w:szCs w:val="20"/>
          <w:lang w:val="en-US"/>
        </w:rPr>
        <w:t xml:space="preserve"> the “very satisfied” or “quite satisfied” categories.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0D59D5">
        <w:rPr>
          <w:rFonts w:ascii="Arial" w:hAnsi="Arial" w:cs="Arial"/>
          <w:sz w:val="20"/>
          <w:szCs w:val="20"/>
          <w:lang w:val="en-US"/>
        </w:rPr>
        <w:t>Post-hoc analysis revealed adequate variability only in the “not satisfied at all” category (5–31% across domains).</w:t>
      </w:r>
      <w:r w:rsidRPr="000D59D5">
        <w:rPr>
          <w:rFonts w:ascii="Arial" w:hAnsi="Arial" w:cs="Arial"/>
          <w:sz w:val="20"/>
          <w:szCs w:val="20"/>
          <w:lang w:val="en-US"/>
        </w:rPr>
        <w:br/>
        <w:t>To maximize interpretability and power, responses were dichotomized as:</w:t>
      </w:r>
    </w:p>
    <w:p w14:paraId="6045FA57" w14:textId="77777777" w:rsidR="007A4DB6" w:rsidRPr="000D59D5" w:rsidRDefault="007A4DB6" w:rsidP="007A4DB6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0D59D5">
        <w:rPr>
          <w:rFonts w:ascii="Arial" w:hAnsi="Arial" w:cs="Arial"/>
          <w:sz w:val="20"/>
          <w:szCs w:val="20"/>
          <w:lang w:val="en-US"/>
        </w:rPr>
        <w:t>Satisfied: “Very satisfied” or “quite satisfied”</w:t>
      </w:r>
    </w:p>
    <w:p w14:paraId="77A1C686" w14:textId="77777777" w:rsidR="007A4DB6" w:rsidRPr="000D59D5" w:rsidRDefault="007A4DB6" w:rsidP="007A4DB6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0D59D5">
        <w:rPr>
          <w:rFonts w:ascii="Arial" w:hAnsi="Arial" w:cs="Arial"/>
          <w:sz w:val="20"/>
          <w:szCs w:val="20"/>
          <w:lang w:val="en-US"/>
        </w:rPr>
        <w:t>Not satisfied at all: “Not satisfied at all”</w:t>
      </w:r>
    </w:p>
    <w:p w14:paraId="144A0A9A" w14:textId="77777777" w:rsidR="007A4DB6" w:rsidRPr="000D59D5" w:rsidRDefault="007A4DB6" w:rsidP="007A4DB6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0D59D5">
        <w:rPr>
          <w:rFonts w:ascii="Arial" w:hAnsi="Arial" w:cs="Arial"/>
          <w:sz w:val="20"/>
          <w:szCs w:val="20"/>
          <w:lang w:val="en-US"/>
        </w:rPr>
        <w:t>Intermediate categories were excluded to prioritize extreme dissatisfaction</w:t>
      </w:r>
      <w:r>
        <w:rPr>
          <w:rFonts w:ascii="Arial" w:hAnsi="Arial" w:cs="Arial"/>
          <w:sz w:val="20"/>
          <w:szCs w:val="20"/>
          <w:lang w:val="en-US"/>
        </w:rPr>
        <w:t xml:space="preserve">, which was </w:t>
      </w:r>
      <w:r w:rsidRPr="000D59D5">
        <w:rPr>
          <w:rFonts w:ascii="Arial" w:hAnsi="Arial" w:cs="Arial"/>
          <w:sz w:val="20"/>
          <w:szCs w:val="20"/>
          <w:lang w:val="en-US"/>
        </w:rPr>
        <w:t>considered the most clinically meaningful.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0D59D5">
        <w:rPr>
          <w:rFonts w:ascii="Arial" w:hAnsi="Arial" w:cs="Arial"/>
          <w:sz w:val="20"/>
          <w:szCs w:val="20"/>
          <w:lang w:val="en-US"/>
        </w:rPr>
        <w:t>A stringent Benjamini–Hochberg false discovery rate (FDR) correction (q = 0.05) was applied across seven domains.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0D59D5">
        <w:rPr>
          <w:rFonts w:ascii="Arial" w:hAnsi="Arial" w:cs="Arial"/>
          <w:sz w:val="20"/>
          <w:szCs w:val="20"/>
          <w:lang w:val="en-US"/>
        </w:rPr>
        <w:t>Complete 5-point distributions are presented in Supplementary Table S4.</w:t>
      </w:r>
    </w:p>
    <w:p w14:paraId="77857C9A" w14:textId="77777777" w:rsidR="007A4DB6" w:rsidRPr="000D59D5" w:rsidRDefault="007A4DB6" w:rsidP="007A4DB6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0D59D5">
        <w:rPr>
          <w:rFonts w:ascii="Arial" w:hAnsi="Arial" w:cs="Arial"/>
          <w:b/>
          <w:bCs/>
          <w:sz w:val="20"/>
          <w:szCs w:val="20"/>
          <w:lang w:val="en-US"/>
        </w:rPr>
        <w:t>S5. Post-hoc Power for Interaction Analyses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r w:rsidRPr="000D59D5">
        <w:rPr>
          <w:rFonts w:ascii="Arial" w:hAnsi="Arial" w:cs="Arial"/>
          <w:sz w:val="20"/>
          <w:szCs w:val="20"/>
          <w:lang w:val="en-US"/>
        </w:rPr>
        <w:t xml:space="preserve">Using observed dissatisfaction rates and stratum sizes, post-hoc power was calculated for detecting </w:t>
      </w:r>
      <w:r w:rsidRPr="000D59D5">
        <w:rPr>
          <w:rFonts w:ascii="Arial" w:hAnsi="Arial" w:cs="Arial"/>
          <w:i/>
          <w:iCs/>
          <w:sz w:val="20"/>
          <w:szCs w:val="20"/>
          <w:lang w:val="en-US"/>
        </w:rPr>
        <w:t>arm × stratum</w:t>
      </w:r>
      <w:r w:rsidRPr="000D59D5">
        <w:rPr>
          <w:rFonts w:ascii="Arial" w:hAnsi="Arial" w:cs="Arial"/>
          <w:sz w:val="20"/>
          <w:szCs w:val="20"/>
          <w:lang w:val="en-US"/>
        </w:rPr>
        <w:t xml:space="preserve"> interactions:</w:t>
      </w:r>
    </w:p>
    <w:tbl>
      <w:tblPr>
        <w:tblStyle w:val="SimplesTabela1"/>
        <w:tblW w:w="0" w:type="auto"/>
        <w:tblLook w:val="04A0" w:firstRow="1" w:lastRow="0" w:firstColumn="1" w:lastColumn="0" w:noHBand="0" w:noVBand="1"/>
      </w:tblPr>
      <w:tblGrid>
        <w:gridCol w:w="1980"/>
        <w:gridCol w:w="709"/>
        <w:gridCol w:w="2268"/>
        <w:gridCol w:w="2126"/>
      </w:tblGrid>
      <w:tr w:rsidR="007A4DB6" w:rsidRPr="000D59D5" w14:paraId="7D8D6671" w14:textId="77777777" w:rsidTr="00EE15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570A04CC" w14:textId="77777777" w:rsidR="007A4DB6" w:rsidRPr="000D59D5" w:rsidRDefault="007A4DB6" w:rsidP="00EE15BE">
            <w:pPr>
              <w:spacing w:after="160" w:line="360" w:lineRule="auto"/>
              <w:jc w:val="center"/>
              <w:rPr>
                <w:rFonts w:ascii="Aptos Narrow" w:hAnsi="Aptos Narrow" w:cs="Arial"/>
                <w:b w:val="0"/>
                <w:bCs w:val="0"/>
                <w:sz w:val="18"/>
                <w:szCs w:val="18"/>
              </w:rPr>
            </w:pPr>
            <w:proofErr w:type="spellStart"/>
            <w:r w:rsidRPr="000D59D5">
              <w:rPr>
                <w:rFonts w:ascii="Aptos Narrow" w:hAnsi="Aptos Narrow" w:cs="Arial"/>
                <w:b w:val="0"/>
                <w:bCs w:val="0"/>
                <w:sz w:val="18"/>
                <w:szCs w:val="18"/>
              </w:rPr>
              <w:t>Stratum</w:t>
            </w:r>
            <w:proofErr w:type="spellEnd"/>
          </w:p>
        </w:tc>
        <w:tc>
          <w:tcPr>
            <w:tcW w:w="709" w:type="dxa"/>
            <w:hideMark/>
          </w:tcPr>
          <w:p w14:paraId="3666F2D5" w14:textId="77777777" w:rsidR="007A4DB6" w:rsidRPr="000D59D5" w:rsidRDefault="007A4DB6" w:rsidP="00EE15BE">
            <w:pPr>
              <w:spacing w:after="16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Arial"/>
                <w:b w:val="0"/>
                <w:bCs w:val="0"/>
                <w:sz w:val="18"/>
                <w:szCs w:val="18"/>
              </w:rPr>
            </w:pPr>
            <w:r w:rsidRPr="000D59D5">
              <w:rPr>
                <w:rFonts w:ascii="Aptos Narrow" w:hAnsi="Aptos Narrow" w:cs="Arial"/>
                <w:b w:val="0"/>
                <w:bCs w:val="0"/>
                <w:sz w:val="18"/>
                <w:szCs w:val="18"/>
              </w:rPr>
              <w:t>n</w:t>
            </w:r>
          </w:p>
        </w:tc>
        <w:tc>
          <w:tcPr>
            <w:tcW w:w="2268" w:type="dxa"/>
            <w:hideMark/>
          </w:tcPr>
          <w:p w14:paraId="267E9E5C" w14:textId="77777777" w:rsidR="007A4DB6" w:rsidRPr="000D59D5" w:rsidRDefault="007A4DB6" w:rsidP="00EE15BE">
            <w:pPr>
              <w:spacing w:after="16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Arial"/>
                <w:b w:val="0"/>
                <w:bCs w:val="0"/>
                <w:sz w:val="18"/>
                <w:szCs w:val="18"/>
              </w:rPr>
            </w:pPr>
            <w:r w:rsidRPr="000D59D5">
              <w:rPr>
                <w:rFonts w:ascii="Aptos Narrow" w:hAnsi="Aptos Narrow" w:cs="Arial"/>
                <w:b w:val="0"/>
                <w:bCs w:val="0"/>
                <w:sz w:val="18"/>
                <w:szCs w:val="18"/>
              </w:rPr>
              <w:t xml:space="preserve">80% Power (RR ≥ </w:t>
            </w:r>
            <w:proofErr w:type="spellStart"/>
            <w:r w:rsidRPr="000D59D5">
              <w:rPr>
                <w:rFonts w:ascii="Aptos Narrow" w:hAnsi="Aptos Narrow" w:cs="Arial"/>
                <w:b w:val="0"/>
                <w:bCs w:val="0"/>
                <w:sz w:val="18"/>
                <w:szCs w:val="18"/>
              </w:rPr>
              <w:t>or</w:t>
            </w:r>
            <w:proofErr w:type="spellEnd"/>
            <w:r w:rsidRPr="000D59D5">
              <w:rPr>
                <w:rFonts w:ascii="Aptos Narrow" w:hAnsi="Aptos Narrow" w:cs="Arial"/>
                <w:b w:val="0"/>
                <w:bCs w:val="0"/>
                <w:sz w:val="18"/>
                <w:szCs w:val="18"/>
              </w:rPr>
              <w:t xml:space="preserve"> ≤)</w:t>
            </w:r>
          </w:p>
        </w:tc>
        <w:tc>
          <w:tcPr>
            <w:tcW w:w="2126" w:type="dxa"/>
            <w:hideMark/>
          </w:tcPr>
          <w:p w14:paraId="628E061D" w14:textId="77777777" w:rsidR="007A4DB6" w:rsidRPr="000D59D5" w:rsidRDefault="007A4DB6" w:rsidP="00EE15BE">
            <w:pPr>
              <w:spacing w:after="16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Arial"/>
                <w:b w:val="0"/>
                <w:bCs w:val="0"/>
                <w:sz w:val="18"/>
                <w:szCs w:val="18"/>
              </w:rPr>
            </w:pPr>
            <w:r w:rsidRPr="000D59D5">
              <w:rPr>
                <w:rFonts w:ascii="Aptos Narrow" w:hAnsi="Aptos Narrow" w:cs="Arial"/>
                <w:b w:val="0"/>
                <w:bCs w:val="0"/>
                <w:sz w:val="18"/>
                <w:szCs w:val="18"/>
              </w:rPr>
              <w:t xml:space="preserve">50% Power (RR ≥ </w:t>
            </w:r>
            <w:proofErr w:type="spellStart"/>
            <w:r w:rsidRPr="000D59D5">
              <w:rPr>
                <w:rFonts w:ascii="Aptos Narrow" w:hAnsi="Aptos Narrow" w:cs="Arial"/>
                <w:b w:val="0"/>
                <w:bCs w:val="0"/>
                <w:sz w:val="18"/>
                <w:szCs w:val="18"/>
              </w:rPr>
              <w:t>or</w:t>
            </w:r>
            <w:proofErr w:type="spellEnd"/>
            <w:r w:rsidRPr="000D59D5">
              <w:rPr>
                <w:rFonts w:ascii="Aptos Narrow" w:hAnsi="Aptos Narrow" w:cs="Arial"/>
                <w:b w:val="0"/>
                <w:bCs w:val="0"/>
                <w:sz w:val="18"/>
                <w:szCs w:val="18"/>
              </w:rPr>
              <w:t xml:space="preserve"> ≤)</w:t>
            </w:r>
          </w:p>
        </w:tc>
      </w:tr>
      <w:tr w:rsidR="007A4DB6" w:rsidRPr="000D59D5" w14:paraId="38F1E93F" w14:textId="77777777" w:rsidTr="00EE1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349FEA13" w14:textId="77777777" w:rsidR="007A4DB6" w:rsidRPr="000D59D5" w:rsidRDefault="007A4DB6" w:rsidP="00EE15BE">
            <w:pPr>
              <w:spacing w:after="160" w:line="360" w:lineRule="auto"/>
              <w:jc w:val="center"/>
              <w:rPr>
                <w:rFonts w:ascii="Aptos Narrow" w:hAnsi="Aptos Narrow" w:cs="Arial"/>
                <w:b w:val="0"/>
                <w:bCs w:val="0"/>
                <w:sz w:val="18"/>
                <w:szCs w:val="18"/>
              </w:rPr>
            </w:pPr>
            <w:r w:rsidRPr="000D59D5">
              <w:rPr>
                <w:rFonts w:ascii="Aptos Narrow" w:hAnsi="Aptos Narrow" w:cs="Arial"/>
                <w:b w:val="0"/>
                <w:bCs w:val="0"/>
                <w:sz w:val="18"/>
                <w:szCs w:val="18"/>
              </w:rPr>
              <w:t xml:space="preserve">High </w:t>
            </w:r>
            <w:proofErr w:type="spellStart"/>
            <w:r w:rsidRPr="000D59D5">
              <w:rPr>
                <w:rFonts w:ascii="Aptos Narrow" w:hAnsi="Aptos Narrow" w:cs="Arial"/>
                <w:b w:val="0"/>
                <w:bCs w:val="0"/>
                <w:sz w:val="18"/>
                <w:szCs w:val="18"/>
              </w:rPr>
              <w:t>risk</w:t>
            </w:r>
            <w:proofErr w:type="spellEnd"/>
          </w:p>
        </w:tc>
        <w:tc>
          <w:tcPr>
            <w:tcW w:w="709" w:type="dxa"/>
            <w:hideMark/>
          </w:tcPr>
          <w:p w14:paraId="75E39977" w14:textId="77777777" w:rsidR="007A4DB6" w:rsidRPr="000D59D5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="Arial"/>
                <w:sz w:val="18"/>
                <w:szCs w:val="18"/>
              </w:rPr>
            </w:pPr>
            <w:r w:rsidRPr="000D59D5">
              <w:rPr>
                <w:rFonts w:ascii="Aptos Narrow" w:hAnsi="Aptos Narrow" w:cs="Arial"/>
                <w:sz w:val="18"/>
                <w:szCs w:val="18"/>
              </w:rPr>
              <w:t>132</w:t>
            </w:r>
          </w:p>
        </w:tc>
        <w:tc>
          <w:tcPr>
            <w:tcW w:w="2268" w:type="dxa"/>
            <w:hideMark/>
          </w:tcPr>
          <w:p w14:paraId="37835DC5" w14:textId="77777777" w:rsidR="007A4DB6" w:rsidRPr="000D59D5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="Arial"/>
                <w:sz w:val="18"/>
                <w:szCs w:val="18"/>
              </w:rPr>
            </w:pPr>
            <w:r w:rsidRPr="000D59D5">
              <w:rPr>
                <w:rFonts w:ascii="Aptos Narrow" w:hAnsi="Aptos Narrow" w:cs="Arial"/>
                <w:sz w:val="18"/>
                <w:szCs w:val="18"/>
              </w:rPr>
              <w:t>2.5 / 0.4</w:t>
            </w:r>
          </w:p>
        </w:tc>
        <w:tc>
          <w:tcPr>
            <w:tcW w:w="2126" w:type="dxa"/>
            <w:hideMark/>
          </w:tcPr>
          <w:p w14:paraId="45B12C01" w14:textId="77777777" w:rsidR="007A4DB6" w:rsidRPr="000D59D5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="Arial"/>
                <w:sz w:val="18"/>
                <w:szCs w:val="18"/>
              </w:rPr>
            </w:pPr>
            <w:r w:rsidRPr="000D59D5">
              <w:rPr>
                <w:rFonts w:ascii="Aptos Narrow" w:hAnsi="Aptos Narrow" w:cs="Arial"/>
                <w:sz w:val="18"/>
                <w:szCs w:val="18"/>
              </w:rPr>
              <w:t>1.8 / 0.55</w:t>
            </w:r>
          </w:p>
        </w:tc>
      </w:tr>
      <w:tr w:rsidR="007A4DB6" w:rsidRPr="000D59D5" w14:paraId="5CE081D0" w14:textId="77777777" w:rsidTr="00EE15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338DE948" w14:textId="77777777" w:rsidR="007A4DB6" w:rsidRPr="000D59D5" w:rsidRDefault="007A4DB6" w:rsidP="00EE15BE">
            <w:pPr>
              <w:spacing w:after="160" w:line="360" w:lineRule="auto"/>
              <w:jc w:val="center"/>
              <w:rPr>
                <w:rFonts w:ascii="Aptos Narrow" w:hAnsi="Aptos Narrow" w:cs="Arial"/>
                <w:b w:val="0"/>
                <w:bCs w:val="0"/>
                <w:sz w:val="18"/>
                <w:szCs w:val="18"/>
              </w:rPr>
            </w:pPr>
            <w:proofErr w:type="spellStart"/>
            <w:r w:rsidRPr="000D59D5">
              <w:rPr>
                <w:rFonts w:ascii="Aptos Narrow" w:hAnsi="Aptos Narrow" w:cs="Arial"/>
                <w:b w:val="0"/>
                <w:bCs w:val="0"/>
                <w:sz w:val="18"/>
                <w:szCs w:val="18"/>
              </w:rPr>
              <w:t>Moderate</w:t>
            </w:r>
            <w:proofErr w:type="spellEnd"/>
            <w:r w:rsidRPr="000D59D5">
              <w:rPr>
                <w:rFonts w:ascii="Aptos Narrow" w:hAnsi="Aptos Narrow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0D59D5">
              <w:rPr>
                <w:rFonts w:ascii="Aptos Narrow" w:hAnsi="Aptos Narrow" w:cs="Arial"/>
                <w:b w:val="0"/>
                <w:bCs w:val="0"/>
                <w:sz w:val="18"/>
                <w:szCs w:val="18"/>
              </w:rPr>
              <w:t>risk</w:t>
            </w:r>
            <w:proofErr w:type="spellEnd"/>
          </w:p>
        </w:tc>
        <w:tc>
          <w:tcPr>
            <w:tcW w:w="709" w:type="dxa"/>
            <w:hideMark/>
          </w:tcPr>
          <w:p w14:paraId="663B4F5D" w14:textId="77777777" w:rsidR="007A4DB6" w:rsidRPr="000D59D5" w:rsidRDefault="007A4DB6" w:rsidP="00EE15BE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Arial"/>
                <w:sz w:val="18"/>
                <w:szCs w:val="18"/>
              </w:rPr>
            </w:pPr>
            <w:r w:rsidRPr="000D59D5">
              <w:rPr>
                <w:rFonts w:ascii="Aptos Narrow" w:hAnsi="Aptos Narrow" w:cs="Arial"/>
                <w:sz w:val="18"/>
                <w:szCs w:val="18"/>
              </w:rPr>
              <w:t>129</w:t>
            </w:r>
          </w:p>
        </w:tc>
        <w:tc>
          <w:tcPr>
            <w:tcW w:w="2268" w:type="dxa"/>
            <w:hideMark/>
          </w:tcPr>
          <w:p w14:paraId="0C608552" w14:textId="77777777" w:rsidR="007A4DB6" w:rsidRPr="000D59D5" w:rsidRDefault="007A4DB6" w:rsidP="00EE15BE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Arial"/>
                <w:sz w:val="18"/>
                <w:szCs w:val="18"/>
              </w:rPr>
            </w:pPr>
            <w:r w:rsidRPr="000D59D5">
              <w:rPr>
                <w:rFonts w:ascii="Aptos Narrow" w:hAnsi="Aptos Narrow" w:cs="Arial"/>
                <w:sz w:val="18"/>
                <w:szCs w:val="18"/>
              </w:rPr>
              <w:t>2.6 / 0.38</w:t>
            </w:r>
          </w:p>
        </w:tc>
        <w:tc>
          <w:tcPr>
            <w:tcW w:w="2126" w:type="dxa"/>
            <w:hideMark/>
          </w:tcPr>
          <w:p w14:paraId="6DE748CB" w14:textId="77777777" w:rsidR="007A4DB6" w:rsidRPr="000D59D5" w:rsidRDefault="007A4DB6" w:rsidP="00EE15BE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Arial"/>
                <w:sz w:val="18"/>
                <w:szCs w:val="18"/>
              </w:rPr>
            </w:pPr>
            <w:r w:rsidRPr="000D59D5">
              <w:rPr>
                <w:rFonts w:ascii="Aptos Narrow" w:hAnsi="Aptos Narrow" w:cs="Arial"/>
                <w:sz w:val="18"/>
                <w:szCs w:val="18"/>
              </w:rPr>
              <w:t>1.9 / 0.53</w:t>
            </w:r>
          </w:p>
        </w:tc>
      </w:tr>
      <w:tr w:rsidR="007A4DB6" w:rsidRPr="000D59D5" w14:paraId="1E0DD8DA" w14:textId="77777777" w:rsidTr="00EE1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2BE10253" w14:textId="77777777" w:rsidR="007A4DB6" w:rsidRPr="000D59D5" w:rsidRDefault="007A4DB6" w:rsidP="00EE15BE">
            <w:pPr>
              <w:spacing w:after="160" w:line="360" w:lineRule="auto"/>
              <w:jc w:val="center"/>
              <w:rPr>
                <w:rFonts w:ascii="Aptos Narrow" w:hAnsi="Aptos Narrow" w:cs="Arial"/>
                <w:b w:val="0"/>
                <w:bCs w:val="0"/>
                <w:sz w:val="18"/>
                <w:szCs w:val="18"/>
              </w:rPr>
            </w:pPr>
            <w:proofErr w:type="spellStart"/>
            <w:r w:rsidRPr="000D59D5">
              <w:rPr>
                <w:rFonts w:ascii="Aptos Narrow" w:hAnsi="Aptos Narrow" w:cs="Arial"/>
                <w:b w:val="0"/>
                <w:bCs w:val="0"/>
                <w:sz w:val="18"/>
                <w:szCs w:val="18"/>
              </w:rPr>
              <w:t>Low</w:t>
            </w:r>
            <w:proofErr w:type="spellEnd"/>
            <w:r w:rsidRPr="000D59D5">
              <w:rPr>
                <w:rFonts w:ascii="Aptos Narrow" w:hAnsi="Aptos Narrow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0D59D5">
              <w:rPr>
                <w:rFonts w:ascii="Aptos Narrow" w:hAnsi="Aptos Narrow" w:cs="Arial"/>
                <w:b w:val="0"/>
                <w:bCs w:val="0"/>
                <w:sz w:val="18"/>
                <w:szCs w:val="18"/>
              </w:rPr>
              <w:t>risk</w:t>
            </w:r>
            <w:proofErr w:type="spellEnd"/>
          </w:p>
        </w:tc>
        <w:tc>
          <w:tcPr>
            <w:tcW w:w="709" w:type="dxa"/>
            <w:hideMark/>
          </w:tcPr>
          <w:p w14:paraId="7222E3FF" w14:textId="77777777" w:rsidR="007A4DB6" w:rsidRPr="000D59D5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="Arial"/>
                <w:sz w:val="18"/>
                <w:szCs w:val="18"/>
              </w:rPr>
            </w:pPr>
            <w:r w:rsidRPr="000D59D5">
              <w:rPr>
                <w:rFonts w:ascii="Aptos Narrow" w:hAnsi="Aptos Narrow" w:cs="Arial"/>
                <w:sz w:val="18"/>
                <w:szCs w:val="18"/>
              </w:rPr>
              <w:t>10</w:t>
            </w:r>
          </w:p>
        </w:tc>
        <w:tc>
          <w:tcPr>
            <w:tcW w:w="2268" w:type="dxa"/>
            <w:hideMark/>
          </w:tcPr>
          <w:p w14:paraId="3F91902B" w14:textId="77777777" w:rsidR="007A4DB6" w:rsidRPr="000D59D5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="Arial"/>
                <w:sz w:val="18"/>
                <w:szCs w:val="18"/>
              </w:rPr>
            </w:pPr>
            <w:r w:rsidRPr="000D59D5">
              <w:rPr>
                <w:rFonts w:ascii="Aptos Narrow" w:hAnsi="Aptos Narrow" w:cs="Arial"/>
                <w:sz w:val="18"/>
                <w:szCs w:val="18"/>
              </w:rPr>
              <w:t>&lt;30% for RR ≥2.5</w:t>
            </w:r>
          </w:p>
        </w:tc>
        <w:tc>
          <w:tcPr>
            <w:tcW w:w="2126" w:type="dxa"/>
            <w:hideMark/>
          </w:tcPr>
          <w:p w14:paraId="4E549611" w14:textId="77777777" w:rsidR="007A4DB6" w:rsidRPr="000D59D5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="Arial"/>
                <w:sz w:val="18"/>
                <w:szCs w:val="18"/>
              </w:rPr>
            </w:pPr>
            <w:r w:rsidRPr="000D59D5">
              <w:rPr>
                <w:rFonts w:ascii="Aptos Narrow" w:hAnsi="Aptos Narrow" w:cs="Arial"/>
                <w:sz w:val="18"/>
                <w:szCs w:val="18"/>
              </w:rPr>
              <w:t>—</w:t>
            </w:r>
          </w:p>
        </w:tc>
      </w:tr>
    </w:tbl>
    <w:p w14:paraId="1444F266" w14:textId="77777777" w:rsidR="007A4DB6" w:rsidRPr="000D59D5" w:rsidRDefault="007A4DB6" w:rsidP="007A4DB6">
      <w:pPr>
        <w:spacing w:line="360" w:lineRule="auto"/>
        <w:rPr>
          <w:rFonts w:ascii="Arial" w:hAnsi="Arial" w:cs="Arial"/>
          <w:i/>
          <w:iCs/>
          <w:sz w:val="16"/>
          <w:szCs w:val="16"/>
          <w:lang w:val="en-US"/>
        </w:rPr>
      </w:pPr>
      <w:r w:rsidRPr="000D59D5">
        <w:rPr>
          <w:rFonts w:ascii="Arial" w:hAnsi="Arial" w:cs="Arial"/>
          <w:i/>
          <w:iCs/>
          <w:sz w:val="16"/>
          <w:szCs w:val="16"/>
          <w:lang w:val="en-US"/>
        </w:rPr>
        <w:t>Interaction tests were adequately powered only for large effects in the high- and moderate-risk strata. The p = 0.02 finding for “Physical Exercise” should therefore be interpreted as hypothesis-generating, requiring replication in larger samples (≥50 per stratum) for 80% power at RR ≥1.5.</w:t>
      </w:r>
    </w:p>
    <w:p w14:paraId="3413E64F" w14:textId="77777777" w:rsidR="007A4DB6" w:rsidRPr="007F1F34" w:rsidRDefault="007A4DB6" w:rsidP="007A4DB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A772176" w14:textId="77777777" w:rsidR="007A4DB6" w:rsidRPr="000D59D5" w:rsidRDefault="007A4DB6" w:rsidP="007A4DB6">
      <w:pPr>
        <w:tabs>
          <w:tab w:val="num" w:pos="720"/>
        </w:tabs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0D59D5">
        <w:rPr>
          <w:rFonts w:ascii="Arial" w:hAnsi="Arial" w:cs="Arial"/>
          <w:b/>
          <w:bCs/>
          <w:sz w:val="20"/>
          <w:szCs w:val="20"/>
          <w:lang w:val="en-US"/>
        </w:rPr>
        <w:t>S6. Multiple Imputation for Missing Data</w:t>
      </w:r>
      <w:r w:rsidRPr="005076E4">
        <w:rPr>
          <w:rFonts w:ascii="Arial" w:hAnsi="Arial" w:cs="Arial"/>
          <w:sz w:val="20"/>
          <w:szCs w:val="20"/>
          <w:lang w:val="en-US"/>
        </w:rPr>
        <w:t xml:space="preserve">: </w:t>
      </w:r>
      <w:r w:rsidRPr="000D59D5">
        <w:rPr>
          <w:rFonts w:ascii="Arial" w:hAnsi="Arial" w:cs="Arial"/>
          <w:sz w:val="20"/>
          <w:szCs w:val="20"/>
          <w:lang w:val="en-US"/>
        </w:rPr>
        <w:t>Multiple imputation by chained equations (MICE) was pre-specified for sensitivity analysis of missing patient-reported outcomes (PROs).</w:t>
      </w:r>
      <w:r w:rsidRPr="000D59D5">
        <w:rPr>
          <w:rFonts w:ascii="Arial" w:hAnsi="Arial" w:cs="Arial"/>
          <w:sz w:val="20"/>
          <w:szCs w:val="20"/>
          <w:lang w:val="en-US"/>
        </w:rPr>
        <w:br/>
        <w:t>Model details: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0D59D5">
        <w:rPr>
          <w:rFonts w:ascii="Arial" w:hAnsi="Arial" w:cs="Arial"/>
          <w:sz w:val="20"/>
          <w:szCs w:val="20"/>
          <w:lang w:val="en-US"/>
        </w:rPr>
        <w:t>Predictors: Baseline PRO score, arm, age, sex, diabetes duration, baseline HbA1c, education stratum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 w:rsidRPr="000D59D5">
        <w:rPr>
          <w:rFonts w:ascii="Arial" w:hAnsi="Arial" w:cs="Arial"/>
          <w:sz w:val="20"/>
          <w:szCs w:val="20"/>
          <w:lang w:val="en-US"/>
        </w:rPr>
        <w:t>Methods: Predictive mean matching (continuous); logistic regression (binary)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 w:rsidRPr="000D59D5">
        <w:rPr>
          <w:rFonts w:ascii="Arial" w:hAnsi="Arial" w:cs="Arial"/>
          <w:sz w:val="20"/>
          <w:szCs w:val="20"/>
          <w:lang w:val="en-US"/>
        </w:rPr>
        <w:t>Iterations: 50 imputations × 20 iterations each</w:t>
      </w:r>
      <w:r w:rsidRPr="005076E4">
        <w:rPr>
          <w:rFonts w:ascii="Arial" w:hAnsi="Arial" w:cs="Arial"/>
          <w:sz w:val="20"/>
          <w:szCs w:val="20"/>
          <w:lang w:val="en-US"/>
        </w:rPr>
        <w:t xml:space="preserve">, and </w:t>
      </w:r>
      <w:r w:rsidRPr="000D59D5">
        <w:rPr>
          <w:rFonts w:ascii="Arial" w:hAnsi="Arial" w:cs="Arial"/>
          <w:sz w:val="20"/>
          <w:szCs w:val="20"/>
          <w:lang w:val="en-US"/>
        </w:rPr>
        <w:t>Diagnostics: Trace plots and Gelman–Rubin statistics confirmed convergence</w:t>
      </w:r>
    </w:p>
    <w:p w14:paraId="474BB7FC" w14:textId="77777777" w:rsidR="007A4DB6" w:rsidRPr="000D59D5" w:rsidRDefault="007A4DB6" w:rsidP="007A4DB6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0D59D5">
        <w:rPr>
          <w:rFonts w:ascii="Arial" w:hAnsi="Arial" w:cs="Arial"/>
          <w:sz w:val="20"/>
          <w:szCs w:val="20"/>
          <w:lang w:val="en-US"/>
        </w:rPr>
        <w:t xml:space="preserve">Findings from MICE analyses were consistent with the primary </w:t>
      </w:r>
      <w:r>
        <w:rPr>
          <w:rFonts w:ascii="Arial" w:hAnsi="Arial" w:cs="Arial"/>
          <w:sz w:val="20"/>
          <w:szCs w:val="20"/>
          <w:lang w:val="en-US"/>
        </w:rPr>
        <w:t>last-observation-carried-forward</w:t>
      </w:r>
      <w:r w:rsidRPr="000D59D5">
        <w:rPr>
          <w:rFonts w:ascii="Arial" w:hAnsi="Arial" w:cs="Arial"/>
          <w:sz w:val="20"/>
          <w:szCs w:val="20"/>
          <w:lang w:val="en-US"/>
        </w:rPr>
        <w:t xml:space="preserve"> (LOCF) analyses, reinforcing the robustness of the main results.</w:t>
      </w:r>
    </w:p>
    <w:p w14:paraId="3EDE0BCC" w14:textId="77777777" w:rsidR="007A4DB6" w:rsidRPr="007F1F34" w:rsidRDefault="007A4DB6" w:rsidP="007A4DB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777755D" w14:textId="77777777" w:rsidR="007A4DB6" w:rsidRPr="007F1F34" w:rsidRDefault="007A4DB6" w:rsidP="007A4DB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CDE4BF8" w14:textId="77777777" w:rsidR="007A4DB6" w:rsidRPr="007F1F34" w:rsidRDefault="007A4DB6" w:rsidP="007A4DB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7156B79" w14:textId="77777777" w:rsidR="007A4DB6" w:rsidRPr="007F1F34" w:rsidRDefault="007A4DB6" w:rsidP="007A4DB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BC8B687" w14:textId="77777777" w:rsidR="007A4DB6" w:rsidRPr="000D59D5" w:rsidRDefault="007A4DB6" w:rsidP="007A4DB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0D59D5">
        <w:rPr>
          <w:rFonts w:ascii="Arial" w:hAnsi="Arial" w:cs="Arial"/>
          <w:b/>
          <w:bCs/>
          <w:sz w:val="20"/>
          <w:szCs w:val="20"/>
          <w:lang w:val="en-US"/>
        </w:rPr>
        <w:lastRenderedPageBreak/>
        <w:t>Table S1. Missing Data by Domain and Arm</w:t>
      </w:r>
    </w:p>
    <w:tbl>
      <w:tblPr>
        <w:tblStyle w:val="SimplesTabela1"/>
        <w:tblW w:w="9493" w:type="dxa"/>
        <w:tblLook w:val="04A0" w:firstRow="1" w:lastRow="0" w:firstColumn="1" w:lastColumn="0" w:noHBand="0" w:noVBand="1"/>
      </w:tblPr>
      <w:tblGrid>
        <w:gridCol w:w="2405"/>
        <w:gridCol w:w="2693"/>
        <w:gridCol w:w="2694"/>
        <w:gridCol w:w="1701"/>
      </w:tblGrid>
      <w:tr w:rsidR="007A4DB6" w:rsidRPr="005076E4" w14:paraId="1EE6758E" w14:textId="77777777" w:rsidTr="00EE15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hideMark/>
          </w:tcPr>
          <w:p w14:paraId="5E0F5460" w14:textId="77777777" w:rsidR="007A4DB6" w:rsidRPr="000D59D5" w:rsidRDefault="007A4DB6" w:rsidP="00EE15BE">
            <w:pPr>
              <w:spacing w:after="16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D59D5">
              <w:rPr>
                <w:rFonts w:ascii="Arial Narrow" w:hAnsi="Arial Narrow" w:cs="Arial"/>
                <w:sz w:val="20"/>
                <w:szCs w:val="20"/>
              </w:rPr>
              <w:t>Domain</w:t>
            </w:r>
          </w:p>
        </w:tc>
        <w:tc>
          <w:tcPr>
            <w:tcW w:w="2693" w:type="dxa"/>
            <w:hideMark/>
          </w:tcPr>
          <w:p w14:paraId="0D24C01E" w14:textId="77777777" w:rsidR="007A4DB6" w:rsidRPr="000D59D5" w:rsidRDefault="007A4DB6" w:rsidP="00EE15BE">
            <w:pPr>
              <w:spacing w:after="16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0D59D5">
              <w:rPr>
                <w:rFonts w:ascii="Arial Narrow" w:hAnsi="Arial Narrow" w:cs="Arial"/>
                <w:sz w:val="20"/>
                <w:szCs w:val="20"/>
              </w:rPr>
              <w:t>In-person</w:t>
            </w:r>
            <w:proofErr w:type="spellEnd"/>
            <w:r w:rsidRPr="000D59D5">
              <w:rPr>
                <w:rFonts w:ascii="Arial Narrow" w:hAnsi="Arial Narrow" w:cs="Arial"/>
                <w:sz w:val="20"/>
                <w:szCs w:val="20"/>
              </w:rPr>
              <w:t xml:space="preserve"> n (% </w:t>
            </w:r>
            <w:proofErr w:type="spellStart"/>
            <w:r w:rsidRPr="000D59D5">
              <w:rPr>
                <w:rFonts w:ascii="Arial Narrow" w:hAnsi="Arial Narrow" w:cs="Arial"/>
                <w:sz w:val="20"/>
                <w:szCs w:val="20"/>
              </w:rPr>
              <w:t>missing</w:t>
            </w:r>
            <w:proofErr w:type="spellEnd"/>
            <w:r w:rsidRPr="000D59D5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2694" w:type="dxa"/>
            <w:hideMark/>
          </w:tcPr>
          <w:p w14:paraId="55EAFF30" w14:textId="77777777" w:rsidR="007A4DB6" w:rsidRPr="000D59D5" w:rsidRDefault="007A4DB6" w:rsidP="00EE15BE">
            <w:pPr>
              <w:spacing w:after="16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0D59D5">
              <w:rPr>
                <w:rFonts w:ascii="Arial Narrow" w:hAnsi="Arial Narrow" w:cs="Arial"/>
                <w:sz w:val="20"/>
                <w:szCs w:val="20"/>
              </w:rPr>
              <w:t>Teleconsultation</w:t>
            </w:r>
            <w:proofErr w:type="spellEnd"/>
            <w:r w:rsidRPr="000D59D5">
              <w:rPr>
                <w:rFonts w:ascii="Arial Narrow" w:hAnsi="Arial Narrow" w:cs="Arial"/>
                <w:sz w:val="20"/>
                <w:szCs w:val="20"/>
              </w:rPr>
              <w:t xml:space="preserve"> n (% </w:t>
            </w:r>
            <w:proofErr w:type="spellStart"/>
            <w:r w:rsidRPr="000D59D5">
              <w:rPr>
                <w:rFonts w:ascii="Arial Narrow" w:hAnsi="Arial Narrow" w:cs="Arial"/>
                <w:sz w:val="20"/>
                <w:szCs w:val="20"/>
              </w:rPr>
              <w:t>missing</w:t>
            </w:r>
            <w:proofErr w:type="spellEnd"/>
            <w:r w:rsidRPr="000D59D5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hideMark/>
          </w:tcPr>
          <w:p w14:paraId="334CA86F" w14:textId="77777777" w:rsidR="007A4DB6" w:rsidRPr="000D59D5" w:rsidRDefault="007A4DB6" w:rsidP="00EE15BE">
            <w:pPr>
              <w:spacing w:after="16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0D59D5">
              <w:rPr>
                <w:rFonts w:ascii="Arial Narrow" w:hAnsi="Arial Narrow" w:cs="Arial"/>
                <w:sz w:val="20"/>
                <w:szCs w:val="20"/>
              </w:rPr>
              <w:t>p-</w:t>
            </w:r>
            <w:proofErr w:type="spellStart"/>
            <w:r w:rsidRPr="000D59D5">
              <w:rPr>
                <w:rFonts w:ascii="Arial Narrow" w:hAnsi="Arial Narrow" w:cs="Arial"/>
                <w:sz w:val="20"/>
                <w:szCs w:val="20"/>
              </w:rPr>
              <w:t>value</w:t>
            </w:r>
            <w:proofErr w:type="spellEnd"/>
            <w:r w:rsidRPr="000D59D5">
              <w:rPr>
                <w:rFonts w:ascii="Arial Narrow" w:hAnsi="Arial Narrow" w:cs="Arial"/>
                <w:sz w:val="20"/>
                <w:szCs w:val="20"/>
              </w:rPr>
              <w:t>†</w:t>
            </w:r>
          </w:p>
        </w:tc>
      </w:tr>
      <w:tr w:rsidR="007A4DB6" w:rsidRPr="000D59D5" w14:paraId="1A7A3122" w14:textId="77777777" w:rsidTr="00EE1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hideMark/>
          </w:tcPr>
          <w:p w14:paraId="0A388A27" w14:textId="77777777" w:rsidR="007A4DB6" w:rsidRPr="000D59D5" w:rsidRDefault="007A4DB6" w:rsidP="00EE15BE">
            <w:pPr>
              <w:spacing w:after="160" w:line="360" w:lineRule="auto"/>
              <w:jc w:val="center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  <w:r w:rsidRPr="000D59D5"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 xml:space="preserve">Overall </w:t>
            </w:r>
            <w:proofErr w:type="spellStart"/>
            <w:r w:rsidRPr="000D59D5"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satisfaction</w:t>
            </w:r>
            <w:proofErr w:type="spellEnd"/>
          </w:p>
        </w:tc>
        <w:tc>
          <w:tcPr>
            <w:tcW w:w="2693" w:type="dxa"/>
            <w:hideMark/>
          </w:tcPr>
          <w:p w14:paraId="3618AB2C" w14:textId="77777777" w:rsidR="007A4DB6" w:rsidRPr="000D59D5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0D59D5">
              <w:rPr>
                <w:rFonts w:ascii="Arial Narrow" w:hAnsi="Arial Narrow" w:cs="Arial"/>
                <w:sz w:val="20"/>
                <w:szCs w:val="20"/>
              </w:rPr>
              <w:t>136/139 (2.2%)</w:t>
            </w:r>
          </w:p>
        </w:tc>
        <w:tc>
          <w:tcPr>
            <w:tcW w:w="2694" w:type="dxa"/>
            <w:hideMark/>
          </w:tcPr>
          <w:p w14:paraId="6B6B88E1" w14:textId="77777777" w:rsidR="007A4DB6" w:rsidRPr="000D59D5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0D59D5">
              <w:rPr>
                <w:rFonts w:ascii="Arial Narrow" w:hAnsi="Arial Narrow" w:cs="Arial"/>
                <w:sz w:val="20"/>
                <w:szCs w:val="20"/>
              </w:rPr>
              <w:t>139/139 (0%)</w:t>
            </w:r>
          </w:p>
        </w:tc>
        <w:tc>
          <w:tcPr>
            <w:tcW w:w="1701" w:type="dxa"/>
            <w:hideMark/>
          </w:tcPr>
          <w:p w14:paraId="176F0E09" w14:textId="77777777" w:rsidR="007A4DB6" w:rsidRPr="000D59D5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0D59D5">
              <w:rPr>
                <w:rFonts w:ascii="Arial Narrow" w:hAnsi="Arial Narrow" w:cs="Arial"/>
                <w:sz w:val="20"/>
                <w:szCs w:val="20"/>
              </w:rPr>
              <w:t>0.08</w:t>
            </w:r>
          </w:p>
        </w:tc>
      </w:tr>
      <w:tr w:rsidR="007A4DB6" w:rsidRPr="000D59D5" w14:paraId="7B7691DD" w14:textId="77777777" w:rsidTr="00EE15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hideMark/>
          </w:tcPr>
          <w:p w14:paraId="5CBBB23A" w14:textId="77777777" w:rsidR="007A4DB6" w:rsidRPr="000D59D5" w:rsidRDefault="007A4DB6" w:rsidP="00EE15BE">
            <w:pPr>
              <w:spacing w:after="160" w:line="360" w:lineRule="auto"/>
              <w:jc w:val="center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  <w:proofErr w:type="spellStart"/>
            <w:r w:rsidRPr="000D59D5"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Sleep</w:t>
            </w:r>
            <w:proofErr w:type="spellEnd"/>
          </w:p>
        </w:tc>
        <w:tc>
          <w:tcPr>
            <w:tcW w:w="2693" w:type="dxa"/>
            <w:hideMark/>
          </w:tcPr>
          <w:p w14:paraId="27B142D9" w14:textId="77777777" w:rsidR="007A4DB6" w:rsidRPr="000D59D5" w:rsidRDefault="007A4DB6" w:rsidP="00EE15BE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0D59D5">
              <w:rPr>
                <w:rFonts w:ascii="Arial Narrow" w:hAnsi="Arial Narrow" w:cs="Arial"/>
                <w:sz w:val="20"/>
                <w:szCs w:val="20"/>
              </w:rPr>
              <w:t>136/139 (2.2%)</w:t>
            </w:r>
          </w:p>
        </w:tc>
        <w:tc>
          <w:tcPr>
            <w:tcW w:w="2694" w:type="dxa"/>
            <w:hideMark/>
          </w:tcPr>
          <w:p w14:paraId="565E4843" w14:textId="77777777" w:rsidR="007A4DB6" w:rsidRPr="000D59D5" w:rsidRDefault="007A4DB6" w:rsidP="00EE15BE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0D59D5">
              <w:rPr>
                <w:rFonts w:ascii="Arial Narrow" w:hAnsi="Arial Narrow" w:cs="Arial"/>
                <w:sz w:val="20"/>
                <w:szCs w:val="20"/>
              </w:rPr>
              <w:t>141/141 (0%)</w:t>
            </w:r>
          </w:p>
        </w:tc>
        <w:tc>
          <w:tcPr>
            <w:tcW w:w="1701" w:type="dxa"/>
            <w:hideMark/>
          </w:tcPr>
          <w:p w14:paraId="7A070C7A" w14:textId="77777777" w:rsidR="007A4DB6" w:rsidRPr="000D59D5" w:rsidRDefault="007A4DB6" w:rsidP="00EE15BE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0D59D5">
              <w:rPr>
                <w:rFonts w:ascii="Arial Narrow" w:hAnsi="Arial Narrow" w:cs="Arial"/>
                <w:sz w:val="20"/>
                <w:szCs w:val="20"/>
              </w:rPr>
              <w:t>0.06</w:t>
            </w:r>
          </w:p>
        </w:tc>
      </w:tr>
      <w:tr w:rsidR="007A4DB6" w:rsidRPr="000D59D5" w14:paraId="4935581D" w14:textId="77777777" w:rsidTr="00EE1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hideMark/>
          </w:tcPr>
          <w:p w14:paraId="0EC6BAB5" w14:textId="77777777" w:rsidR="007A4DB6" w:rsidRPr="000D59D5" w:rsidRDefault="007A4DB6" w:rsidP="00EE15BE">
            <w:pPr>
              <w:spacing w:after="160" w:line="360" w:lineRule="auto"/>
              <w:jc w:val="center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  <w:r w:rsidRPr="000D59D5"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 xml:space="preserve">Social </w:t>
            </w:r>
            <w:proofErr w:type="spellStart"/>
            <w:r w:rsidRPr="000D59D5"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life</w:t>
            </w:r>
            <w:proofErr w:type="spellEnd"/>
          </w:p>
        </w:tc>
        <w:tc>
          <w:tcPr>
            <w:tcW w:w="2693" w:type="dxa"/>
            <w:hideMark/>
          </w:tcPr>
          <w:p w14:paraId="78F5691F" w14:textId="77777777" w:rsidR="007A4DB6" w:rsidRPr="000D59D5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0D59D5">
              <w:rPr>
                <w:rFonts w:ascii="Arial Narrow" w:hAnsi="Arial Narrow" w:cs="Arial"/>
                <w:sz w:val="20"/>
                <w:szCs w:val="20"/>
              </w:rPr>
              <w:t>134/139 (3.6%)</w:t>
            </w:r>
          </w:p>
        </w:tc>
        <w:tc>
          <w:tcPr>
            <w:tcW w:w="2694" w:type="dxa"/>
            <w:hideMark/>
          </w:tcPr>
          <w:p w14:paraId="79CED361" w14:textId="77777777" w:rsidR="007A4DB6" w:rsidRPr="000D59D5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0D59D5">
              <w:rPr>
                <w:rFonts w:ascii="Arial Narrow" w:hAnsi="Arial Narrow" w:cs="Arial"/>
                <w:sz w:val="20"/>
                <w:szCs w:val="20"/>
              </w:rPr>
              <w:t>137/141 (2.8%)</w:t>
            </w:r>
          </w:p>
        </w:tc>
        <w:tc>
          <w:tcPr>
            <w:tcW w:w="1701" w:type="dxa"/>
            <w:hideMark/>
          </w:tcPr>
          <w:p w14:paraId="0E9019AA" w14:textId="77777777" w:rsidR="007A4DB6" w:rsidRPr="000D59D5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0D59D5">
              <w:rPr>
                <w:rFonts w:ascii="Arial Narrow" w:hAnsi="Arial Narrow" w:cs="Arial"/>
                <w:sz w:val="20"/>
                <w:szCs w:val="20"/>
              </w:rPr>
              <w:t>0.71</w:t>
            </w:r>
          </w:p>
        </w:tc>
      </w:tr>
      <w:tr w:rsidR="007A4DB6" w:rsidRPr="000D59D5" w14:paraId="15BAB2BD" w14:textId="77777777" w:rsidTr="00EE15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hideMark/>
          </w:tcPr>
          <w:p w14:paraId="1E8223B5" w14:textId="77777777" w:rsidR="007A4DB6" w:rsidRPr="000D59D5" w:rsidRDefault="007A4DB6" w:rsidP="00EE15BE">
            <w:pPr>
              <w:spacing w:after="160" w:line="360" w:lineRule="auto"/>
              <w:jc w:val="center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  <w:r w:rsidRPr="000D59D5"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 xml:space="preserve">Sexual </w:t>
            </w:r>
            <w:proofErr w:type="spellStart"/>
            <w:r w:rsidRPr="000D59D5"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life</w:t>
            </w:r>
            <w:proofErr w:type="spellEnd"/>
          </w:p>
        </w:tc>
        <w:tc>
          <w:tcPr>
            <w:tcW w:w="2693" w:type="dxa"/>
            <w:hideMark/>
          </w:tcPr>
          <w:p w14:paraId="01A0A210" w14:textId="77777777" w:rsidR="007A4DB6" w:rsidRPr="000D59D5" w:rsidRDefault="007A4DB6" w:rsidP="00EE15BE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0D59D5">
              <w:rPr>
                <w:rFonts w:ascii="Arial Narrow" w:hAnsi="Arial Narrow" w:cs="Arial"/>
                <w:sz w:val="20"/>
                <w:szCs w:val="20"/>
              </w:rPr>
              <w:t>135/139 (2.9%)</w:t>
            </w:r>
          </w:p>
        </w:tc>
        <w:tc>
          <w:tcPr>
            <w:tcW w:w="2694" w:type="dxa"/>
            <w:hideMark/>
          </w:tcPr>
          <w:p w14:paraId="0A75E1FC" w14:textId="77777777" w:rsidR="007A4DB6" w:rsidRPr="000D59D5" w:rsidRDefault="007A4DB6" w:rsidP="00EE15BE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0D59D5">
              <w:rPr>
                <w:rFonts w:ascii="Arial Narrow" w:hAnsi="Arial Narrow" w:cs="Arial"/>
                <w:sz w:val="20"/>
                <w:szCs w:val="20"/>
              </w:rPr>
              <w:t>137/141 (2.8%)</w:t>
            </w:r>
          </w:p>
        </w:tc>
        <w:tc>
          <w:tcPr>
            <w:tcW w:w="1701" w:type="dxa"/>
            <w:hideMark/>
          </w:tcPr>
          <w:p w14:paraId="676B2D6E" w14:textId="77777777" w:rsidR="007A4DB6" w:rsidRPr="000D59D5" w:rsidRDefault="007A4DB6" w:rsidP="00EE15BE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0D59D5">
              <w:rPr>
                <w:rFonts w:ascii="Arial Narrow" w:hAnsi="Arial Narrow" w:cs="Arial"/>
                <w:sz w:val="20"/>
                <w:szCs w:val="20"/>
              </w:rPr>
              <w:t>0.99</w:t>
            </w:r>
          </w:p>
        </w:tc>
      </w:tr>
      <w:tr w:rsidR="007A4DB6" w:rsidRPr="000D59D5" w14:paraId="458CA1B2" w14:textId="77777777" w:rsidTr="00EE1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hideMark/>
          </w:tcPr>
          <w:p w14:paraId="3667A951" w14:textId="77777777" w:rsidR="007A4DB6" w:rsidRPr="000D59D5" w:rsidRDefault="007A4DB6" w:rsidP="00EE15BE">
            <w:pPr>
              <w:spacing w:after="160" w:line="360" w:lineRule="auto"/>
              <w:jc w:val="center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  <w:proofErr w:type="spellStart"/>
            <w:r w:rsidRPr="000D59D5"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Activities</w:t>
            </w:r>
            <w:proofErr w:type="spellEnd"/>
            <w:r w:rsidRPr="000D59D5"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/</w:t>
            </w:r>
            <w:proofErr w:type="spellStart"/>
            <w:r w:rsidRPr="000D59D5"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work</w:t>
            </w:r>
            <w:proofErr w:type="spellEnd"/>
          </w:p>
        </w:tc>
        <w:tc>
          <w:tcPr>
            <w:tcW w:w="2693" w:type="dxa"/>
            <w:hideMark/>
          </w:tcPr>
          <w:p w14:paraId="41D76C28" w14:textId="77777777" w:rsidR="007A4DB6" w:rsidRPr="000D59D5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0D59D5">
              <w:rPr>
                <w:rFonts w:ascii="Arial Narrow" w:hAnsi="Arial Narrow" w:cs="Arial"/>
                <w:sz w:val="20"/>
                <w:szCs w:val="20"/>
              </w:rPr>
              <w:t>136/139 (2.2%)</w:t>
            </w:r>
          </w:p>
        </w:tc>
        <w:tc>
          <w:tcPr>
            <w:tcW w:w="2694" w:type="dxa"/>
            <w:hideMark/>
          </w:tcPr>
          <w:p w14:paraId="005D0B4F" w14:textId="77777777" w:rsidR="007A4DB6" w:rsidRPr="000D59D5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0D59D5">
              <w:rPr>
                <w:rFonts w:ascii="Arial Narrow" w:hAnsi="Arial Narrow" w:cs="Arial"/>
                <w:sz w:val="20"/>
                <w:szCs w:val="20"/>
              </w:rPr>
              <w:t>133/141 (5.7%)</w:t>
            </w:r>
          </w:p>
        </w:tc>
        <w:tc>
          <w:tcPr>
            <w:tcW w:w="1701" w:type="dxa"/>
            <w:hideMark/>
          </w:tcPr>
          <w:p w14:paraId="0C8781D6" w14:textId="77777777" w:rsidR="007A4DB6" w:rsidRPr="000D59D5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0D59D5">
              <w:rPr>
                <w:rFonts w:ascii="Arial Narrow" w:hAnsi="Arial Narrow" w:cs="Arial"/>
                <w:sz w:val="20"/>
                <w:szCs w:val="20"/>
              </w:rPr>
              <w:t>0.12</w:t>
            </w:r>
          </w:p>
        </w:tc>
      </w:tr>
      <w:tr w:rsidR="007A4DB6" w:rsidRPr="000D59D5" w14:paraId="2D843C5B" w14:textId="77777777" w:rsidTr="00EE15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hideMark/>
          </w:tcPr>
          <w:p w14:paraId="3F23FF4C" w14:textId="77777777" w:rsidR="007A4DB6" w:rsidRPr="000D59D5" w:rsidRDefault="007A4DB6" w:rsidP="00EE15BE">
            <w:pPr>
              <w:spacing w:after="160" w:line="360" w:lineRule="auto"/>
              <w:jc w:val="center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  <w:r w:rsidRPr="000D59D5"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 xml:space="preserve">Body </w:t>
            </w:r>
            <w:proofErr w:type="spellStart"/>
            <w:r w:rsidRPr="000D59D5"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image</w:t>
            </w:r>
            <w:proofErr w:type="spellEnd"/>
          </w:p>
        </w:tc>
        <w:tc>
          <w:tcPr>
            <w:tcW w:w="2693" w:type="dxa"/>
            <w:hideMark/>
          </w:tcPr>
          <w:p w14:paraId="6305E8C3" w14:textId="77777777" w:rsidR="007A4DB6" w:rsidRPr="000D59D5" w:rsidRDefault="007A4DB6" w:rsidP="00EE15BE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0D59D5">
              <w:rPr>
                <w:rFonts w:ascii="Arial Narrow" w:hAnsi="Arial Narrow" w:cs="Arial"/>
                <w:sz w:val="20"/>
                <w:szCs w:val="20"/>
              </w:rPr>
              <w:t>137/139 (1.4%)</w:t>
            </w:r>
          </w:p>
        </w:tc>
        <w:tc>
          <w:tcPr>
            <w:tcW w:w="2694" w:type="dxa"/>
            <w:hideMark/>
          </w:tcPr>
          <w:p w14:paraId="74BF7F17" w14:textId="77777777" w:rsidR="007A4DB6" w:rsidRPr="000D59D5" w:rsidRDefault="007A4DB6" w:rsidP="00EE15BE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0D59D5">
              <w:rPr>
                <w:rFonts w:ascii="Arial Narrow" w:hAnsi="Arial Narrow" w:cs="Arial"/>
                <w:sz w:val="20"/>
                <w:szCs w:val="20"/>
              </w:rPr>
              <w:t>132/141 (6.4%)</w:t>
            </w:r>
          </w:p>
        </w:tc>
        <w:tc>
          <w:tcPr>
            <w:tcW w:w="1701" w:type="dxa"/>
            <w:hideMark/>
          </w:tcPr>
          <w:p w14:paraId="717B9807" w14:textId="77777777" w:rsidR="007A4DB6" w:rsidRPr="000D59D5" w:rsidRDefault="007A4DB6" w:rsidP="00EE15BE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0D59D5">
              <w:rPr>
                <w:rFonts w:ascii="Arial Narrow" w:hAnsi="Arial Narrow" w:cs="Arial"/>
                <w:sz w:val="20"/>
                <w:szCs w:val="20"/>
              </w:rPr>
              <w:t>0.03*</w:t>
            </w:r>
          </w:p>
        </w:tc>
      </w:tr>
      <w:tr w:rsidR="007A4DB6" w:rsidRPr="000D59D5" w14:paraId="36017E10" w14:textId="77777777" w:rsidTr="00EE1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hideMark/>
          </w:tcPr>
          <w:p w14:paraId="450C339E" w14:textId="77777777" w:rsidR="007A4DB6" w:rsidRPr="000D59D5" w:rsidRDefault="007A4DB6" w:rsidP="00EE15BE">
            <w:pPr>
              <w:spacing w:after="160" w:line="360" w:lineRule="auto"/>
              <w:jc w:val="center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  <w:proofErr w:type="spellStart"/>
            <w:r w:rsidRPr="000D59D5"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Physical</w:t>
            </w:r>
            <w:proofErr w:type="spellEnd"/>
            <w:r w:rsidRPr="000D59D5"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D59D5"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exercise</w:t>
            </w:r>
            <w:proofErr w:type="spellEnd"/>
          </w:p>
        </w:tc>
        <w:tc>
          <w:tcPr>
            <w:tcW w:w="2693" w:type="dxa"/>
            <w:hideMark/>
          </w:tcPr>
          <w:p w14:paraId="002515F6" w14:textId="77777777" w:rsidR="007A4DB6" w:rsidRPr="000D59D5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0D59D5">
              <w:rPr>
                <w:rFonts w:ascii="Arial Narrow" w:hAnsi="Arial Narrow" w:cs="Arial"/>
                <w:sz w:val="20"/>
                <w:szCs w:val="20"/>
              </w:rPr>
              <w:t>134/139 (3.6%)</w:t>
            </w:r>
          </w:p>
        </w:tc>
        <w:tc>
          <w:tcPr>
            <w:tcW w:w="2694" w:type="dxa"/>
            <w:hideMark/>
          </w:tcPr>
          <w:p w14:paraId="29C81E83" w14:textId="77777777" w:rsidR="007A4DB6" w:rsidRPr="000D59D5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0D59D5">
              <w:rPr>
                <w:rFonts w:ascii="Arial Narrow" w:hAnsi="Arial Narrow" w:cs="Arial"/>
                <w:sz w:val="20"/>
                <w:szCs w:val="20"/>
              </w:rPr>
              <w:t>138/141 (2.1%)</w:t>
            </w:r>
          </w:p>
        </w:tc>
        <w:tc>
          <w:tcPr>
            <w:tcW w:w="1701" w:type="dxa"/>
            <w:hideMark/>
          </w:tcPr>
          <w:p w14:paraId="7D475E81" w14:textId="77777777" w:rsidR="007A4DB6" w:rsidRPr="000D59D5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0D59D5">
              <w:rPr>
                <w:rFonts w:ascii="Arial Narrow" w:hAnsi="Arial Narrow" w:cs="Arial"/>
                <w:sz w:val="20"/>
                <w:szCs w:val="20"/>
              </w:rPr>
              <w:t>0.45</w:t>
            </w:r>
          </w:p>
        </w:tc>
      </w:tr>
    </w:tbl>
    <w:p w14:paraId="724E07BF" w14:textId="77777777" w:rsidR="007A4DB6" w:rsidRPr="000D59D5" w:rsidRDefault="007A4DB6" w:rsidP="007A4DB6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  <w:lang w:val="en-US"/>
        </w:rPr>
      </w:pPr>
      <w:r w:rsidRPr="000D59D5">
        <w:rPr>
          <w:rFonts w:ascii="Arial" w:hAnsi="Arial" w:cs="Arial"/>
          <w:i/>
          <w:iCs/>
          <w:sz w:val="16"/>
          <w:szCs w:val="16"/>
          <w:lang w:val="en-US"/>
        </w:rPr>
        <w:t xml:space="preserve">†Fisher’s exact test. Body image showed higher missingness in the teleconsultation arm (6.4% vs. 1.4%), likely reflecting </w:t>
      </w:r>
      <w:r w:rsidRPr="005076E4">
        <w:rPr>
          <w:rFonts w:ascii="Arial" w:hAnsi="Arial" w:cs="Arial"/>
          <w:i/>
          <w:iCs/>
          <w:sz w:val="16"/>
          <w:szCs w:val="16"/>
          <w:lang w:val="en-US"/>
        </w:rPr>
        <w:t xml:space="preserve">a measurement artifact rather than a </w:t>
      </w:r>
      <w:r w:rsidRPr="000D59D5">
        <w:rPr>
          <w:rFonts w:ascii="Arial" w:hAnsi="Arial" w:cs="Arial"/>
          <w:i/>
          <w:iCs/>
          <w:sz w:val="16"/>
          <w:szCs w:val="16"/>
          <w:lang w:val="en-US"/>
        </w:rPr>
        <w:t>treatment effect.</w:t>
      </w:r>
    </w:p>
    <w:p w14:paraId="368C25B8" w14:textId="77777777" w:rsidR="007A4DB6" w:rsidRPr="007F1F34" w:rsidRDefault="007A4DB6" w:rsidP="007A4DB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98FDD16" w14:textId="77777777" w:rsidR="007A4DB6" w:rsidRPr="000D59D5" w:rsidRDefault="007A4DB6" w:rsidP="007A4DB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0D59D5">
        <w:rPr>
          <w:rFonts w:ascii="Arial" w:hAnsi="Arial" w:cs="Arial"/>
          <w:b/>
          <w:bCs/>
          <w:sz w:val="20"/>
          <w:szCs w:val="20"/>
          <w:lang w:val="en-US"/>
        </w:rPr>
        <w:t>Table S2. Baseline Characteristics by Education-Based Stratum</w:t>
      </w:r>
    </w:p>
    <w:tbl>
      <w:tblPr>
        <w:tblStyle w:val="SimplesTabela1"/>
        <w:tblW w:w="9067" w:type="dxa"/>
        <w:tblLook w:val="04A0" w:firstRow="1" w:lastRow="0" w:firstColumn="1" w:lastColumn="0" w:noHBand="0" w:noVBand="1"/>
      </w:tblPr>
      <w:tblGrid>
        <w:gridCol w:w="2095"/>
        <w:gridCol w:w="2436"/>
        <w:gridCol w:w="1843"/>
        <w:gridCol w:w="1418"/>
        <w:gridCol w:w="1275"/>
      </w:tblGrid>
      <w:tr w:rsidR="007A4DB6" w:rsidRPr="005076E4" w14:paraId="7642DD19" w14:textId="77777777" w:rsidTr="00EE15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215547" w14:textId="77777777" w:rsidR="007A4DB6" w:rsidRPr="000D59D5" w:rsidRDefault="007A4DB6" w:rsidP="00EE15BE">
            <w:pPr>
              <w:spacing w:after="16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0D59D5">
              <w:rPr>
                <w:rFonts w:ascii="Arial Narrow" w:hAnsi="Arial Narrow" w:cs="Arial"/>
                <w:sz w:val="20"/>
                <w:szCs w:val="20"/>
              </w:rPr>
              <w:t>Characteristic</w:t>
            </w:r>
            <w:proofErr w:type="spellEnd"/>
          </w:p>
        </w:tc>
        <w:tc>
          <w:tcPr>
            <w:tcW w:w="2436" w:type="dxa"/>
            <w:hideMark/>
          </w:tcPr>
          <w:p w14:paraId="1CD17F27" w14:textId="77777777" w:rsidR="007A4DB6" w:rsidRPr="000D59D5" w:rsidRDefault="007A4DB6" w:rsidP="00EE15BE">
            <w:pPr>
              <w:spacing w:after="16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0D59D5">
              <w:rPr>
                <w:rFonts w:ascii="Arial Narrow" w:hAnsi="Arial Narrow" w:cs="Arial"/>
                <w:sz w:val="20"/>
                <w:szCs w:val="20"/>
              </w:rPr>
              <w:t xml:space="preserve">High </w:t>
            </w:r>
            <w:proofErr w:type="spellStart"/>
            <w:r w:rsidRPr="000D59D5">
              <w:rPr>
                <w:rFonts w:ascii="Arial Narrow" w:hAnsi="Arial Narrow" w:cs="Arial"/>
                <w:sz w:val="20"/>
                <w:szCs w:val="20"/>
              </w:rPr>
              <w:t>risk</w:t>
            </w:r>
            <w:proofErr w:type="spellEnd"/>
            <w:r w:rsidRPr="000D59D5">
              <w:rPr>
                <w:rFonts w:ascii="Arial Narrow" w:hAnsi="Arial Narrow" w:cs="Arial"/>
                <w:sz w:val="20"/>
                <w:szCs w:val="20"/>
              </w:rPr>
              <w:t xml:space="preserve"> (n=132)</w:t>
            </w:r>
          </w:p>
        </w:tc>
        <w:tc>
          <w:tcPr>
            <w:tcW w:w="1843" w:type="dxa"/>
            <w:hideMark/>
          </w:tcPr>
          <w:p w14:paraId="2C07C666" w14:textId="77777777" w:rsidR="007A4DB6" w:rsidRPr="000D59D5" w:rsidRDefault="007A4DB6" w:rsidP="00EE15BE">
            <w:pPr>
              <w:spacing w:after="16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0D59D5">
              <w:rPr>
                <w:rFonts w:ascii="Arial Narrow" w:hAnsi="Arial Narrow" w:cs="Arial"/>
                <w:sz w:val="20"/>
                <w:szCs w:val="20"/>
              </w:rPr>
              <w:t>Moderate</w:t>
            </w:r>
            <w:proofErr w:type="spellEnd"/>
            <w:r w:rsidRPr="000D59D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D59D5">
              <w:rPr>
                <w:rFonts w:ascii="Arial Narrow" w:hAnsi="Arial Narrow" w:cs="Arial"/>
                <w:sz w:val="20"/>
                <w:szCs w:val="20"/>
              </w:rPr>
              <w:t>risk</w:t>
            </w:r>
            <w:proofErr w:type="spellEnd"/>
            <w:r w:rsidRPr="000D59D5">
              <w:rPr>
                <w:rFonts w:ascii="Arial Narrow" w:hAnsi="Arial Narrow" w:cs="Arial"/>
                <w:sz w:val="20"/>
                <w:szCs w:val="20"/>
              </w:rPr>
              <w:t xml:space="preserve"> (n=129)</w:t>
            </w:r>
          </w:p>
        </w:tc>
        <w:tc>
          <w:tcPr>
            <w:tcW w:w="1418" w:type="dxa"/>
            <w:hideMark/>
          </w:tcPr>
          <w:p w14:paraId="4152F89E" w14:textId="77777777" w:rsidR="007A4DB6" w:rsidRPr="000D59D5" w:rsidRDefault="007A4DB6" w:rsidP="00EE15BE">
            <w:pPr>
              <w:spacing w:after="16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0D59D5">
              <w:rPr>
                <w:rFonts w:ascii="Arial Narrow" w:hAnsi="Arial Narrow" w:cs="Arial"/>
                <w:sz w:val="20"/>
                <w:szCs w:val="20"/>
              </w:rPr>
              <w:t>Low</w:t>
            </w:r>
            <w:proofErr w:type="spellEnd"/>
            <w:r w:rsidRPr="000D59D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D59D5">
              <w:rPr>
                <w:rFonts w:ascii="Arial Narrow" w:hAnsi="Arial Narrow" w:cs="Arial"/>
                <w:sz w:val="20"/>
                <w:szCs w:val="20"/>
              </w:rPr>
              <w:t>risk</w:t>
            </w:r>
            <w:proofErr w:type="spellEnd"/>
            <w:r w:rsidRPr="000D59D5">
              <w:rPr>
                <w:rFonts w:ascii="Arial Narrow" w:hAnsi="Arial Narrow" w:cs="Arial"/>
                <w:sz w:val="20"/>
                <w:szCs w:val="20"/>
              </w:rPr>
              <w:t xml:space="preserve"> (n=10)</w:t>
            </w:r>
          </w:p>
        </w:tc>
        <w:tc>
          <w:tcPr>
            <w:tcW w:w="1275" w:type="dxa"/>
            <w:hideMark/>
          </w:tcPr>
          <w:p w14:paraId="27189CC4" w14:textId="77777777" w:rsidR="007A4DB6" w:rsidRPr="000D59D5" w:rsidRDefault="007A4DB6" w:rsidP="00EE15BE">
            <w:pPr>
              <w:spacing w:after="16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0D59D5">
              <w:rPr>
                <w:rFonts w:ascii="Arial Narrow" w:hAnsi="Arial Narrow" w:cs="Arial"/>
                <w:sz w:val="20"/>
                <w:szCs w:val="20"/>
              </w:rPr>
              <w:t>p-</w:t>
            </w:r>
            <w:proofErr w:type="spellStart"/>
            <w:r w:rsidRPr="000D59D5">
              <w:rPr>
                <w:rFonts w:ascii="Arial Narrow" w:hAnsi="Arial Narrow" w:cs="Arial"/>
                <w:sz w:val="20"/>
                <w:szCs w:val="20"/>
              </w:rPr>
              <w:t>value</w:t>
            </w:r>
            <w:proofErr w:type="spellEnd"/>
          </w:p>
        </w:tc>
      </w:tr>
      <w:tr w:rsidR="007A4DB6" w:rsidRPr="005076E4" w14:paraId="61E01626" w14:textId="77777777" w:rsidTr="00EE1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28F65F" w14:textId="77777777" w:rsidR="007A4DB6" w:rsidRPr="000D59D5" w:rsidRDefault="007A4DB6" w:rsidP="00EE15BE">
            <w:pPr>
              <w:spacing w:after="160" w:line="360" w:lineRule="auto"/>
              <w:jc w:val="center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  <w:r w:rsidRPr="000D59D5"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 xml:space="preserve">Age, </w:t>
            </w:r>
            <w:proofErr w:type="spellStart"/>
            <w:r w:rsidRPr="000D59D5"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years</w:t>
            </w:r>
            <w:proofErr w:type="spellEnd"/>
            <w:r w:rsidRPr="000D59D5"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 xml:space="preserve"> (</w:t>
            </w:r>
            <w:proofErr w:type="spellStart"/>
            <w:r w:rsidRPr="000D59D5"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mean</w:t>
            </w:r>
            <w:proofErr w:type="spellEnd"/>
            <w:r w:rsidRPr="000D59D5"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 xml:space="preserve"> ± SD)</w:t>
            </w:r>
          </w:p>
        </w:tc>
        <w:tc>
          <w:tcPr>
            <w:tcW w:w="2436" w:type="dxa"/>
            <w:hideMark/>
          </w:tcPr>
          <w:p w14:paraId="0480A91B" w14:textId="77777777" w:rsidR="007A4DB6" w:rsidRPr="000D59D5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0D59D5">
              <w:rPr>
                <w:rFonts w:ascii="Arial Narrow" w:hAnsi="Arial Narrow" w:cs="Arial"/>
                <w:sz w:val="20"/>
                <w:szCs w:val="20"/>
              </w:rPr>
              <w:t>62.1 ± 10.5</w:t>
            </w:r>
          </w:p>
        </w:tc>
        <w:tc>
          <w:tcPr>
            <w:tcW w:w="1843" w:type="dxa"/>
            <w:hideMark/>
          </w:tcPr>
          <w:p w14:paraId="56E41765" w14:textId="77777777" w:rsidR="007A4DB6" w:rsidRPr="000D59D5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0D59D5">
              <w:rPr>
                <w:rFonts w:ascii="Arial Narrow" w:hAnsi="Arial Narrow" w:cs="Arial"/>
                <w:sz w:val="20"/>
                <w:szCs w:val="20"/>
              </w:rPr>
              <w:t>58.3 ± 11.2</w:t>
            </w:r>
          </w:p>
        </w:tc>
        <w:tc>
          <w:tcPr>
            <w:tcW w:w="1418" w:type="dxa"/>
            <w:hideMark/>
          </w:tcPr>
          <w:p w14:paraId="07626C70" w14:textId="77777777" w:rsidR="007A4DB6" w:rsidRPr="000D59D5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0D59D5">
              <w:rPr>
                <w:rFonts w:ascii="Arial Narrow" w:hAnsi="Arial Narrow" w:cs="Arial"/>
                <w:sz w:val="20"/>
                <w:szCs w:val="20"/>
              </w:rPr>
              <w:t>59.4 ± 12.8</w:t>
            </w:r>
          </w:p>
        </w:tc>
        <w:tc>
          <w:tcPr>
            <w:tcW w:w="1275" w:type="dxa"/>
            <w:hideMark/>
          </w:tcPr>
          <w:p w14:paraId="65E6C9FF" w14:textId="77777777" w:rsidR="007A4DB6" w:rsidRPr="000D59D5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0D59D5">
              <w:rPr>
                <w:rFonts w:ascii="Arial Narrow" w:hAnsi="Arial Narrow" w:cs="Arial"/>
                <w:sz w:val="20"/>
                <w:szCs w:val="20"/>
              </w:rPr>
              <w:t>0.02*</w:t>
            </w:r>
          </w:p>
        </w:tc>
      </w:tr>
      <w:tr w:rsidR="007A4DB6" w:rsidRPr="000D59D5" w14:paraId="06DDA2F6" w14:textId="77777777" w:rsidTr="00EE15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BE99D3" w14:textId="77777777" w:rsidR="007A4DB6" w:rsidRPr="000D59D5" w:rsidRDefault="007A4DB6" w:rsidP="00EE15BE">
            <w:pPr>
              <w:spacing w:after="160" w:line="360" w:lineRule="auto"/>
              <w:jc w:val="center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  <w:proofErr w:type="spellStart"/>
            <w:r w:rsidRPr="000D59D5"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Female</w:t>
            </w:r>
            <w:proofErr w:type="spellEnd"/>
            <w:r w:rsidRPr="000D59D5"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, n (%)</w:t>
            </w:r>
          </w:p>
        </w:tc>
        <w:tc>
          <w:tcPr>
            <w:tcW w:w="2436" w:type="dxa"/>
            <w:hideMark/>
          </w:tcPr>
          <w:p w14:paraId="672034AD" w14:textId="77777777" w:rsidR="007A4DB6" w:rsidRPr="000D59D5" w:rsidRDefault="007A4DB6" w:rsidP="00EE15BE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0D59D5">
              <w:rPr>
                <w:rFonts w:ascii="Arial Narrow" w:hAnsi="Arial Narrow" w:cs="Arial"/>
                <w:sz w:val="20"/>
                <w:szCs w:val="20"/>
              </w:rPr>
              <w:t>82 (62.1)</w:t>
            </w:r>
          </w:p>
        </w:tc>
        <w:tc>
          <w:tcPr>
            <w:tcW w:w="1843" w:type="dxa"/>
            <w:hideMark/>
          </w:tcPr>
          <w:p w14:paraId="5991C8F5" w14:textId="77777777" w:rsidR="007A4DB6" w:rsidRPr="000D59D5" w:rsidRDefault="007A4DB6" w:rsidP="00EE15BE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0D59D5">
              <w:rPr>
                <w:rFonts w:ascii="Arial Narrow" w:hAnsi="Arial Narrow" w:cs="Arial"/>
                <w:sz w:val="20"/>
                <w:szCs w:val="20"/>
              </w:rPr>
              <w:t>72 (55.8)</w:t>
            </w:r>
          </w:p>
        </w:tc>
        <w:tc>
          <w:tcPr>
            <w:tcW w:w="1418" w:type="dxa"/>
            <w:hideMark/>
          </w:tcPr>
          <w:p w14:paraId="48D73F5D" w14:textId="77777777" w:rsidR="007A4DB6" w:rsidRPr="000D59D5" w:rsidRDefault="007A4DB6" w:rsidP="00EE15BE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0D59D5">
              <w:rPr>
                <w:rFonts w:ascii="Arial Narrow" w:hAnsi="Arial Narrow" w:cs="Arial"/>
                <w:sz w:val="20"/>
                <w:szCs w:val="20"/>
              </w:rPr>
              <w:t>6 (60.0)</w:t>
            </w:r>
          </w:p>
        </w:tc>
        <w:tc>
          <w:tcPr>
            <w:tcW w:w="1275" w:type="dxa"/>
            <w:hideMark/>
          </w:tcPr>
          <w:p w14:paraId="04A69CE5" w14:textId="77777777" w:rsidR="007A4DB6" w:rsidRPr="000D59D5" w:rsidRDefault="007A4DB6" w:rsidP="00EE15BE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0D59D5">
              <w:rPr>
                <w:rFonts w:ascii="Arial Narrow" w:hAnsi="Arial Narrow" w:cs="Arial"/>
                <w:sz w:val="20"/>
                <w:szCs w:val="20"/>
              </w:rPr>
              <w:t>0.54</w:t>
            </w:r>
          </w:p>
        </w:tc>
      </w:tr>
      <w:tr w:rsidR="007A4DB6" w:rsidRPr="005076E4" w14:paraId="0EA43CD4" w14:textId="77777777" w:rsidTr="00EE1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C15975" w14:textId="77777777" w:rsidR="007A4DB6" w:rsidRPr="000D59D5" w:rsidRDefault="007A4DB6" w:rsidP="00EE15BE">
            <w:pPr>
              <w:spacing w:after="160" w:line="360" w:lineRule="auto"/>
              <w:jc w:val="center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  <w:r w:rsidRPr="000D59D5"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HbA1c baseline, % (±SD)</w:t>
            </w:r>
          </w:p>
        </w:tc>
        <w:tc>
          <w:tcPr>
            <w:tcW w:w="2436" w:type="dxa"/>
            <w:hideMark/>
          </w:tcPr>
          <w:p w14:paraId="3791D025" w14:textId="77777777" w:rsidR="007A4DB6" w:rsidRPr="000D59D5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0D59D5">
              <w:rPr>
                <w:rFonts w:ascii="Arial Narrow" w:hAnsi="Arial Narrow" w:cs="Arial"/>
                <w:sz w:val="20"/>
                <w:szCs w:val="20"/>
              </w:rPr>
              <w:t>8.9 ± 1.8</w:t>
            </w:r>
          </w:p>
        </w:tc>
        <w:tc>
          <w:tcPr>
            <w:tcW w:w="1843" w:type="dxa"/>
            <w:hideMark/>
          </w:tcPr>
          <w:p w14:paraId="6FEAF1FB" w14:textId="77777777" w:rsidR="007A4DB6" w:rsidRPr="000D59D5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0D59D5">
              <w:rPr>
                <w:rFonts w:ascii="Arial Narrow" w:hAnsi="Arial Narrow" w:cs="Arial"/>
                <w:sz w:val="20"/>
                <w:szCs w:val="20"/>
              </w:rPr>
              <w:t>8.7 ± 1.9</w:t>
            </w:r>
          </w:p>
        </w:tc>
        <w:tc>
          <w:tcPr>
            <w:tcW w:w="1418" w:type="dxa"/>
            <w:hideMark/>
          </w:tcPr>
          <w:p w14:paraId="23522285" w14:textId="77777777" w:rsidR="007A4DB6" w:rsidRPr="000D59D5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0D59D5">
              <w:rPr>
                <w:rFonts w:ascii="Arial Narrow" w:hAnsi="Arial Narrow" w:cs="Arial"/>
                <w:sz w:val="20"/>
                <w:szCs w:val="20"/>
              </w:rPr>
              <w:t>8.5 ± 1.7</w:t>
            </w:r>
          </w:p>
        </w:tc>
        <w:tc>
          <w:tcPr>
            <w:tcW w:w="1275" w:type="dxa"/>
            <w:hideMark/>
          </w:tcPr>
          <w:p w14:paraId="2103175E" w14:textId="77777777" w:rsidR="007A4DB6" w:rsidRPr="000D59D5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0D59D5">
              <w:rPr>
                <w:rFonts w:ascii="Arial Narrow" w:hAnsi="Arial Narrow" w:cs="Arial"/>
                <w:sz w:val="20"/>
                <w:szCs w:val="20"/>
              </w:rPr>
              <w:t>0.45</w:t>
            </w:r>
          </w:p>
        </w:tc>
      </w:tr>
      <w:tr w:rsidR="007A4DB6" w:rsidRPr="000D59D5" w14:paraId="49EB0DC3" w14:textId="77777777" w:rsidTr="00EE15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BE5606" w14:textId="77777777" w:rsidR="007A4DB6" w:rsidRPr="000D59D5" w:rsidRDefault="007A4DB6" w:rsidP="00EE15BE">
            <w:pPr>
              <w:spacing w:after="160" w:line="360" w:lineRule="auto"/>
              <w:jc w:val="center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  <w:r w:rsidRPr="000D59D5"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 xml:space="preserve">Diabetes </w:t>
            </w:r>
            <w:proofErr w:type="spellStart"/>
            <w:r w:rsidRPr="000D59D5"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duration</w:t>
            </w:r>
            <w:proofErr w:type="spellEnd"/>
            <w:r w:rsidRPr="000D59D5"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0D59D5"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years</w:t>
            </w:r>
            <w:proofErr w:type="spellEnd"/>
          </w:p>
        </w:tc>
        <w:tc>
          <w:tcPr>
            <w:tcW w:w="2436" w:type="dxa"/>
            <w:hideMark/>
          </w:tcPr>
          <w:p w14:paraId="19F70930" w14:textId="77777777" w:rsidR="007A4DB6" w:rsidRPr="000D59D5" w:rsidRDefault="007A4DB6" w:rsidP="00EE15BE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0D59D5">
              <w:rPr>
                <w:rFonts w:ascii="Arial Narrow" w:hAnsi="Arial Narrow" w:cs="Arial"/>
                <w:sz w:val="20"/>
                <w:szCs w:val="20"/>
              </w:rPr>
              <w:t>11.2 ± 7.3</w:t>
            </w:r>
          </w:p>
        </w:tc>
        <w:tc>
          <w:tcPr>
            <w:tcW w:w="1843" w:type="dxa"/>
            <w:hideMark/>
          </w:tcPr>
          <w:p w14:paraId="35282438" w14:textId="77777777" w:rsidR="007A4DB6" w:rsidRPr="000D59D5" w:rsidRDefault="007A4DB6" w:rsidP="00EE15BE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0D59D5">
              <w:rPr>
                <w:rFonts w:ascii="Arial Narrow" w:hAnsi="Arial Narrow" w:cs="Arial"/>
                <w:sz w:val="20"/>
                <w:szCs w:val="20"/>
              </w:rPr>
              <w:t>9.8 ± 6.9</w:t>
            </w:r>
          </w:p>
        </w:tc>
        <w:tc>
          <w:tcPr>
            <w:tcW w:w="1418" w:type="dxa"/>
            <w:hideMark/>
          </w:tcPr>
          <w:p w14:paraId="60025182" w14:textId="77777777" w:rsidR="007A4DB6" w:rsidRPr="000D59D5" w:rsidRDefault="007A4DB6" w:rsidP="00EE15BE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0D59D5">
              <w:rPr>
                <w:rFonts w:ascii="Arial Narrow" w:hAnsi="Arial Narrow" w:cs="Arial"/>
                <w:sz w:val="20"/>
                <w:szCs w:val="20"/>
              </w:rPr>
              <w:t>10.5 ± 8.1</w:t>
            </w:r>
          </w:p>
        </w:tc>
        <w:tc>
          <w:tcPr>
            <w:tcW w:w="1275" w:type="dxa"/>
            <w:hideMark/>
          </w:tcPr>
          <w:p w14:paraId="53FDC7E9" w14:textId="77777777" w:rsidR="007A4DB6" w:rsidRPr="000D59D5" w:rsidRDefault="007A4DB6" w:rsidP="00EE15BE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0D59D5">
              <w:rPr>
                <w:rFonts w:ascii="Arial Narrow" w:hAnsi="Arial Narrow" w:cs="Arial"/>
                <w:sz w:val="20"/>
                <w:szCs w:val="20"/>
              </w:rPr>
              <w:t>0.23</w:t>
            </w:r>
          </w:p>
        </w:tc>
      </w:tr>
      <w:tr w:rsidR="007A4DB6" w:rsidRPr="005076E4" w14:paraId="1B3171B2" w14:textId="77777777" w:rsidTr="00EE1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7BBCB1" w14:textId="77777777" w:rsidR="007A4DB6" w:rsidRPr="000D59D5" w:rsidRDefault="007A4DB6" w:rsidP="00EE15BE">
            <w:pPr>
              <w:spacing w:after="160" w:line="360" w:lineRule="auto"/>
              <w:jc w:val="center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  <w:r w:rsidRPr="000D59D5"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Income ≤2 MW, n (%)</w:t>
            </w:r>
          </w:p>
        </w:tc>
        <w:tc>
          <w:tcPr>
            <w:tcW w:w="2436" w:type="dxa"/>
            <w:hideMark/>
          </w:tcPr>
          <w:p w14:paraId="7B02BDBF" w14:textId="77777777" w:rsidR="007A4DB6" w:rsidRPr="000D59D5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0D59D5">
              <w:rPr>
                <w:rFonts w:ascii="Arial Narrow" w:hAnsi="Arial Narrow" w:cs="Arial"/>
                <w:sz w:val="20"/>
                <w:szCs w:val="20"/>
              </w:rPr>
              <w:t>95 (72.0)</w:t>
            </w:r>
          </w:p>
        </w:tc>
        <w:tc>
          <w:tcPr>
            <w:tcW w:w="1843" w:type="dxa"/>
            <w:hideMark/>
          </w:tcPr>
          <w:p w14:paraId="3336345C" w14:textId="77777777" w:rsidR="007A4DB6" w:rsidRPr="000D59D5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0D59D5">
              <w:rPr>
                <w:rFonts w:ascii="Arial Narrow" w:hAnsi="Arial Narrow" w:cs="Arial"/>
                <w:sz w:val="20"/>
                <w:szCs w:val="20"/>
              </w:rPr>
              <w:t>68 (52.7)</w:t>
            </w:r>
          </w:p>
        </w:tc>
        <w:tc>
          <w:tcPr>
            <w:tcW w:w="1418" w:type="dxa"/>
            <w:hideMark/>
          </w:tcPr>
          <w:p w14:paraId="41837D85" w14:textId="77777777" w:rsidR="007A4DB6" w:rsidRPr="000D59D5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0D59D5">
              <w:rPr>
                <w:rFonts w:ascii="Arial Narrow" w:hAnsi="Arial Narrow" w:cs="Arial"/>
                <w:sz w:val="20"/>
                <w:szCs w:val="20"/>
              </w:rPr>
              <w:t>3 (30.0)</w:t>
            </w:r>
          </w:p>
        </w:tc>
        <w:tc>
          <w:tcPr>
            <w:tcW w:w="1275" w:type="dxa"/>
            <w:hideMark/>
          </w:tcPr>
          <w:p w14:paraId="6C7337D2" w14:textId="77777777" w:rsidR="007A4DB6" w:rsidRPr="000D59D5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0D59D5">
              <w:rPr>
                <w:rFonts w:ascii="Arial Narrow" w:hAnsi="Arial Narrow" w:cs="Arial"/>
                <w:sz w:val="20"/>
                <w:szCs w:val="20"/>
              </w:rPr>
              <w:t>&lt;0.001*</w:t>
            </w:r>
          </w:p>
        </w:tc>
      </w:tr>
      <w:tr w:rsidR="007A4DB6" w:rsidRPr="000D59D5" w14:paraId="16AE58A5" w14:textId="77777777" w:rsidTr="00EE15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E37DA0" w14:textId="77777777" w:rsidR="007A4DB6" w:rsidRPr="000D59D5" w:rsidRDefault="007A4DB6" w:rsidP="00EE15BE">
            <w:pPr>
              <w:spacing w:after="160" w:line="360" w:lineRule="auto"/>
              <w:jc w:val="center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  <w:proofErr w:type="spellStart"/>
            <w:r w:rsidRPr="000D59D5"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Urban</w:t>
            </w:r>
            <w:proofErr w:type="spellEnd"/>
            <w:r w:rsidRPr="000D59D5"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D59D5"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residence</w:t>
            </w:r>
            <w:proofErr w:type="spellEnd"/>
            <w:r w:rsidRPr="000D59D5"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, n (%)</w:t>
            </w:r>
          </w:p>
        </w:tc>
        <w:tc>
          <w:tcPr>
            <w:tcW w:w="2436" w:type="dxa"/>
            <w:hideMark/>
          </w:tcPr>
          <w:p w14:paraId="7C57334B" w14:textId="77777777" w:rsidR="007A4DB6" w:rsidRPr="000D59D5" w:rsidRDefault="007A4DB6" w:rsidP="00EE15BE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0D59D5">
              <w:rPr>
                <w:rFonts w:ascii="Arial Narrow" w:hAnsi="Arial Narrow" w:cs="Arial"/>
                <w:sz w:val="20"/>
                <w:szCs w:val="20"/>
              </w:rPr>
              <w:t>128 (97.0)</w:t>
            </w:r>
          </w:p>
        </w:tc>
        <w:tc>
          <w:tcPr>
            <w:tcW w:w="1843" w:type="dxa"/>
            <w:hideMark/>
          </w:tcPr>
          <w:p w14:paraId="3857D216" w14:textId="77777777" w:rsidR="007A4DB6" w:rsidRPr="000D59D5" w:rsidRDefault="007A4DB6" w:rsidP="00EE15BE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0D59D5">
              <w:rPr>
                <w:rFonts w:ascii="Arial Narrow" w:hAnsi="Arial Narrow" w:cs="Arial"/>
                <w:sz w:val="20"/>
                <w:szCs w:val="20"/>
              </w:rPr>
              <w:t>127 (98.4)</w:t>
            </w:r>
          </w:p>
        </w:tc>
        <w:tc>
          <w:tcPr>
            <w:tcW w:w="1418" w:type="dxa"/>
            <w:hideMark/>
          </w:tcPr>
          <w:p w14:paraId="1C2369FD" w14:textId="77777777" w:rsidR="007A4DB6" w:rsidRPr="000D59D5" w:rsidRDefault="007A4DB6" w:rsidP="00EE15BE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0D59D5">
              <w:rPr>
                <w:rFonts w:ascii="Arial Narrow" w:hAnsi="Arial Narrow" w:cs="Arial"/>
                <w:sz w:val="20"/>
                <w:szCs w:val="20"/>
              </w:rPr>
              <w:t>10 (100)</w:t>
            </w:r>
          </w:p>
        </w:tc>
        <w:tc>
          <w:tcPr>
            <w:tcW w:w="1275" w:type="dxa"/>
            <w:hideMark/>
          </w:tcPr>
          <w:p w14:paraId="15A5DA24" w14:textId="77777777" w:rsidR="007A4DB6" w:rsidRPr="000D59D5" w:rsidRDefault="007A4DB6" w:rsidP="00EE15BE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0D59D5">
              <w:rPr>
                <w:rFonts w:ascii="Arial Narrow" w:hAnsi="Arial Narrow" w:cs="Arial"/>
                <w:sz w:val="20"/>
                <w:szCs w:val="20"/>
              </w:rPr>
              <w:t>0.55</w:t>
            </w:r>
          </w:p>
        </w:tc>
      </w:tr>
    </w:tbl>
    <w:p w14:paraId="398B62F2" w14:textId="77777777" w:rsidR="007A4DB6" w:rsidRPr="000D59D5" w:rsidRDefault="007A4DB6" w:rsidP="007A4DB6">
      <w:pPr>
        <w:spacing w:line="360" w:lineRule="auto"/>
        <w:rPr>
          <w:rFonts w:ascii="Arial" w:hAnsi="Arial" w:cs="Arial"/>
          <w:i/>
          <w:iCs/>
          <w:sz w:val="16"/>
          <w:szCs w:val="16"/>
          <w:lang w:val="en-US"/>
        </w:rPr>
      </w:pPr>
      <w:r w:rsidRPr="000D59D5">
        <w:rPr>
          <w:rFonts w:ascii="Arial" w:hAnsi="Arial" w:cs="Arial"/>
          <w:i/>
          <w:iCs/>
          <w:sz w:val="16"/>
          <w:szCs w:val="16"/>
          <w:lang w:val="en-US"/>
        </w:rPr>
        <w:t>MW = minimum wages (~USD $265/month). *p &lt; 0.05.</w:t>
      </w:r>
      <w:r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r w:rsidRPr="000D59D5">
        <w:rPr>
          <w:rFonts w:ascii="Arial" w:hAnsi="Arial" w:cs="Arial"/>
          <w:i/>
          <w:iCs/>
          <w:sz w:val="16"/>
          <w:szCs w:val="16"/>
          <w:lang w:val="en-US"/>
        </w:rPr>
        <w:t xml:space="preserve">High-risk participants were older and </w:t>
      </w:r>
      <w:r>
        <w:rPr>
          <w:rFonts w:ascii="Arial" w:hAnsi="Arial" w:cs="Arial"/>
          <w:i/>
          <w:iCs/>
          <w:sz w:val="16"/>
          <w:szCs w:val="16"/>
          <w:lang w:val="en-US"/>
        </w:rPr>
        <w:t xml:space="preserve">of lower socioeconomic status, supporting the notion that education serves </w:t>
      </w:r>
      <w:r w:rsidRPr="000D59D5">
        <w:rPr>
          <w:rFonts w:ascii="Arial" w:hAnsi="Arial" w:cs="Arial"/>
          <w:i/>
          <w:iCs/>
          <w:sz w:val="16"/>
          <w:szCs w:val="16"/>
          <w:lang w:val="en-US"/>
        </w:rPr>
        <w:t>as a proxy for socioeconomic vulnerability.</w:t>
      </w:r>
    </w:p>
    <w:p w14:paraId="335FAFD0" w14:textId="77777777" w:rsidR="007A4DB6" w:rsidRDefault="007A4DB6" w:rsidP="007A4DB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8E8867E" w14:textId="77777777" w:rsidR="007A4DB6" w:rsidRDefault="007A4DB6" w:rsidP="007A4DB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B7C7801" w14:textId="77777777" w:rsidR="007A4DB6" w:rsidRPr="000D59D5" w:rsidRDefault="007A4DB6" w:rsidP="007A4DB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11464F4" w14:textId="77777777" w:rsidR="007A4DB6" w:rsidRPr="000D59D5" w:rsidRDefault="007A4DB6" w:rsidP="007A4DB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671AD05" w14:textId="77777777" w:rsidR="007A4DB6" w:rsidRPr="000D59D5" w:rsidRDefault="007A4DB6" w:rsidP="007A4DB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207847E" w14:textId="77777777" w:rsidR="007A4DB6" w:rsidRPr="000D59D5" w:rsidRDefault="007A4DB6" w:rsidP="007A4DB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57289EC" w14:textId="77777777" w:rsidR="007A4DB6" w:rsidRPr="000D59D5" w:rsidRDefault="007A4DB6" w:rsidP="007A4DB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0D59D5">
        <w:rPr>
          <w:rFonts w:ascii="Arial" w:hAnsi="Arial" w:cs="Arial"/>
          <w:b/>
          <w:bCs/>
          <w:sz w:val="20"/>
          <w:szCs w:val="20"/>
          <w:lang w:val="en-US"/>
        </w:rPr>
        <w:lastRenderedPageBreak/>
        <w:t xml:space="preserve"> Table S3. CFIR/RE-AIM mapping of implementation determinants and actionable KPIs</w:t>
      </w:r>
    </w:p>
    <w:tbl>
      <w:tblPr>
        <w:tblStyle w:val="SimplesTabela1"/>
        <w:tblW w:w="10915" w:type="dxa"/>
        <w:tblInd w:w="-1281" w:type="dxa"/>
        <w:tblLook w:val="04A0" w:firstRow="1" w:lastRow="0" w:firstColumn="1" w:lastColumn="0" w:noHBand="0" w:noVBand="1"/>
      </w:tblPr>
      <w:tblGrid>
        <w:gridCol w:w="1985"/>
        <w:gridCol w:w="1790"/>
        <w:gridCol w:w="2592"/>
        <w:gridCol w:w="2139"/>
        <w:gridCol w:w="2409"/>
      </w:tblGrid>
      <w:tr w:rsidR="007A4DB6" w:rsidRPr="005076E4" w14:paraId="13C79AC8" w14:textId="77777777" w:rsidTr="00EE15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56220CC2" w14:textId="77777777" w:rsidR="007A4DB6" w:rsidRPr="005076E4" w:rsidRDefault="007A4DB6" w:rsidP="00EE15BE">
            <w:pPr>
              <w:spacing w:after="160" w:line="360" w:lineRule="auto"/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5076E4">
              <w:rPr>
                <w:rFonts w:ascii="Arial Narrow" w:hAnsi="Arial Narrow" w:cs="Arial"/>
                <w:sz w:val="18"/>
                <w:szCs w:val="18"/>
                <w:lang w:val="en-US"/>
              </w:rPr>
              <w:t>Framework (domain)</w:t>
            </w:r>
          </w:p>
        </w:tc>
        <w:tc>
          <w:tcPr>
            <w:tcW w:w="1790" w:type="dxa"/>
            <w:vAlign w:val="center"/>
            <w:hideMark/>
          </w:tcPr>
          <w:p w14:paraId="73504923" w14:textId="77777777" w:rsidR="007A4DB6" w:rsidRPr="005076E4" w:rsidRDefault="007A4DB6" w:rsidP="00EE15BE">
            <w:pPr>
              <w:spacing w:after="16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5076E4">
              <w:rPr>
                <w:rFonts w:ascii="Arial Narrow" w:hAnsi="Arial Narrow" w:cs="Arial"/>
                <w:sz w:val="18"/>
                <w:szCs w:val="18"/>
                <w:lang w:val="en-US"/>
              </w:rPr>
              <w:t>Construct</w:t>
            </w:r>
          </w:p>
        </w:tc>
        <w:tc>
          <w:tcPr>
            <w:tcW w:w="2592" w:type="dxa"/>
            <w:vAlign w:val="center"/>
            <w:hideMark/>
          </w:tcPr>
          <w:p w14:paraId="6A12BBAC" w14:textId="77777777" w:rsidR="007A4DB6" w:rsidRPr="005076E4" w:rsidRDefault="007A4DB6" w:rsidP="00EE15BE">
            <w:pPr>
              <w:spacing w:after="16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5076E4">
              <w:rPr>
                <w:rFonts w:ascii="Arial Narrow" w:hAnsi="Arial Narrow" w:cs="Arial"/>
                <w:sz w:val="18"/>
                <w:szCs w:val="18"/>
                <w:lang w:val="en-US"/>
              </w:rPr>
              <w:t>Trial finding (evidence)</w:t>
            </w:r>
          </w:p>
        </w:tc>
        <w:tc>
          <w:tcPr>
            <w:tcW w:w="2139" w:type="dxa"/>
            <w:vAlign w:val="center"/>
            <w:hideMark/>
          </w:tcPr>
          <w:p w14:paraId="6BB6AE57" w14:textId="77777777" w:rsidR="007A4DB6" w:rsidRPr="005076E4" w:rsidRDefault="007A4DB6" w:rsidP="00EE15BE">
            <w:pPr>
              <w:spacing w:after="16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5076E4">
              <w:rPr>
                <w:rFonts w:ascii="Arial Narrow" w:hAnsi="Arial Narrow" w:cs="Arial"/>
                <w:sz w:val="18"/>
                <w:szCs w:val="18"/>
                <w:lang w:val="en-US"/>
              </w:rPr>
              <w:t>Implementation implication</w:t>
            </w:r>
          </w:p>
        </w:tc>
        <w:tc>
          <w:tcPr>
            <w:tcW w:w="2409" w:type="dxa"/>
            <w:vAlign w:val="center"/>
            <w:hideMark/>
          </w:tcPr>
          <w:p w14:paraId="5A4B3F48" w14:textId="77777777" w:rsidR="007A4DB6" w:rsidRPr="005076E4" w:rsidRDefault="007A4DB6" w:rsidP="00EE15BE">
            <w:pPr>
              <w:spacing w:after="16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5076E4">
              <w:rPr>
                <w:rFonts w:ascii="Arial Narrow" w:hAnsi="Arial Narrow" w:cs="Arial"/>
                <w:sz w:val="18"/>
                <w:szCs w:val="18"/>
                <w:lang w:val="en-US"/>
              </w:rPr>
              <w:t>Suggested KPI (example)</w:t>
            </w:r>
          </w:p>
        </w:tc>
      </w:tr>
      <w:tr w:rsidR="007A4DB6" w:rsidRPr="00252AC4" w14:paraId="7F2BE020" w14:textId="77777777" w:rsidTr="00EE1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6B89942A" w14:textId="77777777" w:rsidR="007A4DB6" w:rsidRPr="005076E4" w:rsidRDefault="007A4DB6" w:rsidP="00EE15BE">
            <w:pPr>
              <w:spacing w:after="160" w:line="360" w:lineRule="auto"/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5076E4">
              <w:rPr>
                <w:rFonts w:ascii="Arial Narrow" w:hAnsi="Arial Narrow" w:cs="Arial"/>
                <w:sz w:val="18"/>
                <w:szCs w:val="18"/>
                <w:lang w:val="en-US"/>
              </w:rPr>
              <w:t>CFIR (Intervention characteristics)</w:t>
            </w:r>
          </w:p>
        </w:tc>
        <w:tc>
          <w:tcPr>
            <w:tcW w:w="1790" w:type="dxa"/>
            <w:vAlign w:val="center"/>
            <w:hideMark/>
          </w:tcPr>
          <w:p w14:paraId="1806013A" w14:textId="77777777" w:rsidR="007A4DB6" w:rsidRPr="005076E4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5076E4">
              <w:rPr>
                <w:rFonts w:ascii="Arial Narrow" w:hAnsi="Arial Narrow" w:cs="Arial"/>
                <w:sz w:val="18"/>
                <w:szCs w:val="18"/>
                <w:lang w:val="en-US"/>
              </w:rPr>
              <w:t>Relative advantage</w:t>
            </w:r>
          </w:p>
        </w:tc>
        <w:tc>
          <w:tcPr>
            <w:tcW w:w="2592" w:type="dxa"/>
            <w:vAlign w:val="center"/>
            <w:hideMark/>
          </w:tcPr>
          <w:p w14:paraId="3969CC30" w14:textId="77777777" w:rsidR="007A4DB6" w:rsidRPr="005076E4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5076E4">
              <w:rPr>
                <w:rFonts w:ascii="Arial Narrow" w:hAnsi="Arial Narrow" w:cs="Arial"/>
                <w:sz w:val="18"/>
                <w:szCs w:val="18"/>
                <w:lang w:val="en-US"/>
              </w:rPr>
              <w:t>97.8% reported time savings; high comfort/ease (TUQ)</w:t>
            </w:r>
          </w:p>
        </w:tc>
        <w:tc>
          <w:tcPr>
            <w:tcW w:w="2139" w:type="dxa"/>
            <w:vAlign w:val="center"/>
            <w:hideMark/>
          </w:tcPr>
          <w:p w14:paraId="2ACB172B" w14:textId="77777777" w:rsidR="007A4DB6" w:rsidRPr="005076E4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5076E4">
              <w:rPr>
                <w:rFonts w:ascii="Arial Narrow" w:hAnsi="Arial Narrow" w:cs="Arial"/>
                <w:sz w:val="18"/>
                <w:szCs w:val="18"/>
                <w:lang w:val="en-US"/>
              </w:rPr>
              <w:t>Strong value proposition supports adoption</w:t>
            </w:r>
          </w:p>
        </w:tc>
        <w:tc>
          <w:tcPr>
            <w:tcW w:w="2409" w:type="dxa"/>
            <w:vAlign w:val="center"/>
            <w:hideMark/>
          </w:tcPr>
          <w:p w14:paraId="4C449C45" w14:textId="77777777" w:rsidR="007A4DB6" w:rsidRPr="005076E4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5076E4">
              <w:rPr>
                <w:rFonts w:ascii="Arial Narrow" w:hAnsi="Arial Narrow" w:cs="Arial"/>
                <w:sz w:val="18"/>
                <w:szCs w:val="18"/>
                <w:lang w:val="en-US"/>
              </w:rPr>
              <w:t>≥95% “agree/strongly agree” on TUQ time-saving &amp; comfort items</w:t>
            </w:r>
          </w:p>
        </w:tc>
      </w:tr>
      <w:tr w:rsidR="007A4DB6" w:rsidRPr="00252AC4" w14:paraId="123D3911" w14:textId="77777777" w:rsidTr="00EE15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51421C64" w14:textId="77777777" w:rsidR="007A4DB6" w:rsidRPr="005076E4" w:rsidRDefault="007A4DB6" w:rsidP="00EE15BE">
            <w:pPr>
              <w:spacing w:after="160" w:line="360" w:lineRule="auto"/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5076E4">
              <w:rPr>
                <w:rFonts w:ascii="Arial Narrow" w:hAnsi="Arial Narrow" w:cs="Arial"/>
                <w:sz w:val="18"/>
                <w:szCs w:val="18"/>
                <w:lang w:val="en-US"/>
              </w:rPr>
              <w:t>CFIR (Intervention characteristics)</w:t>
            </w:r>
          </w:p>
        </w:tc>
        <w:tc>
          <w:tcPr>
            <w:tcW w:w="1790" w:type="dxa"/>
            <w:vAlign w:val="center"/>
            <w:hideMark/>
          </w:tcPr>
          <w:p w14:paraId="70481067" w14:textId="77777777" w:rsidR="007A4DB6" w:rsidRPr="005076E4" w:rsidRDefault="007A4DB6" w:rsidP="00EE15BE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5076E4">
              <w:rPr>
                <w:rFonts w:ascii="Arial Narrow" w:hAnsi="Arial Narrow" w:cs="Arial"/>
                <w:sz w:val="18"/>
                <w:szCs w:val="18"/>
                <w:lang w:val="en-US"/>
              </w:rPr>
              <w:t>Complexity</w:t>
            </w:r>
          </w:p>
        </w:tc>
        <w:tc>
          <w:tcPr>
            <w:tcW w:w="2592" w:type="dxa"/>
            <w:vAlign w:val="center"/>
            <w:hideMark/>
          </w:tcPr>
          <w:p w14:paraId="17AA24B9" w14:textId="77777777" w:rsidR="007A4DB6" w:rsidRPr="005076E4" w:rsidRDefault="007A4DB6" w:rsidP="00EE15BE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5076E4">
              <w:rPr>
                <w:rFonts w:ascii="Arial Narrow" w:hAnsi="Arial Narrow" w:cs="Arial"/>
                <w:sz w:val="18"/>
                <w:szCs w:val="18"/>
                <w:lang w:val="en-US"/>
              </w:rPr>
              <w:t>TUQ 100% “easy to use” with nurse assistance; one-click join</w:t>
            </w:r>
          </w:p>
        </w:tc>
        <w:tc>
          <w:tcPr>
            <w:tcW w:w="2139" w:type="dxa"/>
            <w:vAlign w:val="center"/>
            <w:hideMark/>
          </w:tcPr>
          <w:p w14:paraId="754F96DC" w14:textId="77777777" w:rsidR="007A4DB6" w:rsidRPr="005076E4" w:rsidRDefault="007A4DB6" w:rsidP="00EE15BE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5076E4">
              <w:rPr>
                <w:rFonts w:ascii="Arial Narrow" w:hAnsi="Arial Narrow" w:cs="Arial"/>
                <w:sz w:val="18"/>
                <w:szCs w:val="18"/>
                <w:lang w:val="en-US"/>
              </w:rPr>
              <w:t>Keep workflows low-friction with assisted setup</w:t>
            </w:r>
          </w:p>
        </w:tc>
        <w:tc>
          <w:tcPr>
            <w:tcW w:w="2409" w:type="dxa"/>
            <w:vAlign w:val="center"/>
            <w:hideMark/>
          </w:tcPr>
          <w:p w14:paraId="095B64F8" w14:textId="77777777" w:rsidR="007A4DB6" w:rsidRPr="005076E4" w:rsidRDefault="007A4DB6" w:rsidP="00EE15BE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5076E4">
              <w:rPr>
                <w:rFonts w:ascii="Arial Narrow" w:hAnsi="Arial Narrow" w:cs="Arial"/>
                <w:sz w:val="18"/>
                <w:szCs w:val="18"/>
                <w:lang w:val="en-US"/>
              </w:rPr>
              <w:t>Median time-to-join ≤3 min; ≥95% first-attempt successful join</w:t>
            </w:r>
          </w:p>
        </w:tc>
      </w:tr>
      <w:tr w:rsidR="007A4DB6" w:rsidRPr="00252AC4" w14:paraId="590B6ED2" w14:textId="77777777" w:rsidTr="00EE1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51C2F2C7" w14:textId="77777777" w:rsidR="007A4DB6" w:rsidRPr="005076E4" w:rsidRDefault="007A4DB6" w:rsidP="00EE15BE">
            <w:pPr>
              <w:spacing w:after="160" w:line="360" w:lineRule="auto"/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5076E4">
              <w:rPr>
                <w:rFonts w:ascii="Arial Narrow" w:hAnsi="Arial Narrow" w:cs="Arial"/>
                <w:sz w:val="18"/>
                <w:szCs w:val="18"/>
                <w:lang w:val="en-US"/>
              </w:rPr>
              <w:t>CFIR (Intervention characteristics)</w:t>
            </w:r>
          </w:p>
        </w:tc>
        <w:tc>
          <w:tcPr>
            <w:tcW w:w="1790" w:type="dxa"/>
            <w:vAlign w:val="center"/>
            <w:hideMark/>
          </w:tcPr>
          <w:p w14:paraId="3EE89F93" w14:textId="77777777" w:rsidR="007A4DB6" w:rsidRPr="005076E4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5076E4">
              <w:rPr>
                <w:rFonts w:ascii="Arial Narrow" w:hAnsi="Arial Narrow" w:cs="Arial"/>
                <w:sz w:val="18"/>
                <w:szCs w:val="18"/>
                <w:lang w:val="en-US"/>
              </w:rPr>
              <w:t>Adaptability</w:t>
            </w:r>
          </w:p>
        </w:tc>
        <w:tc>
          <w:tcPr>
            <w:tcW w:w="2592" w:type="dxa"/>
            <w:vAlign w:val="center"/>
            <w:hideMark/>
          </w:tcPr>
          <w:p w14:paraId="7D3E97BA" w14:textId="77777777" w:rsidR="007A4DB6" w:rsidRPr="005076E4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5076E4">
              <w:rPr>
                <w:rFonts w:ascii="Arial Narrow" w:hAnsi="Arial Narrow" w:cs="Arial"/>
                <w:sz w:val="18"/>
                <w:szCs w:val="18"/>
                <w:lang w:val="en-US"/>
              </w:rPr>
              <w:t>PHC-embedded delivery with hybrid fallback</w:t>
            </w:r>
          </w:p>
        </w:tc>
        <w:tc>
          <w:tcPr>
            <w:tcW w:w="2139" w:type="dxa"/>
            <w:vAlign w:val="center"/>
            <w:hideMark/>
          </w:tcPr>
          <w:p w14:paraId="654FA5CA" w14:textId="77777777" w:rsidR="007A4DB6" w:rsidRPr="005076E4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5076E4">
              <w:rPr>
                <w:rFonts w:ascii="Arial Narrow" w:hAnsi="Arial Narrow" w:cs="Arial"/>
                <w:sz w:val="18"/>
                <w:szCs w:val="18"/>
                <w:lang w:val="en-US"/>
              </w:rPr>
              <w:t>Maintain video→phone conversion &amp; rapid rebooking</w:t>
            </w:r>
          </w:p>
        </w:tc>
        <w:tc>
          <w:tcPr>
            <w:tcW w:w="2409" w:type="dxa"/>
            <w:vAlign w:val="center"/>
            <w:hideMark/>
          </w:tcPr>
          <w:p w14:paraId="3B9833E3" w14:textId="77777777" w:rsidR="007A4DB6" w:rsidRPr="005076E4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5076E4">
              <w:rPr>
                <w:rFonts w:ascii="Arial Narrow" w:hAnsi="Arial Narrow" w:cs="Arial"/>
                <w:sz w:val="18"/>
                <w:szCs w:val="18"/>
                <w:lang w:val="en-US"/>
              </w:rPr>
              <w:t>% sessions converted to phone; ≥80% rebooked ≤7 days after failure</w:t>
            </w:r>
          </w:p>
        </w:tc>
      </w:tr>
      <w:tr w:rsidR="007A4DB6" w:rsidRPr="00252AC4" w14:paraId="67570A5E" w14:textId="77777777" w:rsidTr="00EE15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26A74296" w14:textId="77777777" w:rsidR="007A4DB6" w:rsidRPr="005076E4" w:rsidRDefault="007A4DB6" w:rsidP="00EE15BE">
            <w:pPr>
              <w:spacing w:after="160" w:line="36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076E4">
              <w:rPr>
                <w:rFonts w:ascii="Arial Narrow" w:hAnsi="Arial Narrow" w:cs="Arial"/>
                <w:sz w:val="18"/>
                <w:szCs w:val="18"/>
              </w:rPr>
              <w:t>CFIR (</w:t>
            </w:r>
            <w:proofErr w:type="spellStart"/>
            <w:r w:rsidRPr="005076E4">
              <w:rPr>
                <w:rFonts w:ascii="Arial Narrow" w:hAnsi="Arial Narrow" w:cs="Arial"/>
                <w:sz w:val="18"/>
                <w:szCs w:val="18"/>
              </w:rPr>
              <w:t>Inner</w:t>
            </w:r>
            <w:proofErr w:type="spellEnd"/>
            <w:r w:rsidRPr="005076E4">
              <w:rPr>
                <w:rFonts w:ascii="Arial Narrow" w:hAnsi="Arial Narrow" w:cs="Arial"/>
                <w:sz w:val="18"/>
                <w:szCs w:val="18"/>
              </w:rPr>
              <w:t xml:space="preserve"> setting)</w:t>
            </w:r>
          </w:p>
        </w:tc>
        <w:tc>
          <w:tcPr>
            <w:tcW w:w="1790" w:type="dxa"/>
            <w:vAlign w:val="center"/>
            <w:hideMark/>
          </w:tcPr>
          <w:p w14:paraId="79B2353A" w14:textId="77777777" w:rsidR="007A4DB6" w:rsidRPr="005076E4" w:rsidRDefault="007A4DB6" w:rsidP="00EE15BE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5076E4">
              <w:rPr>
                <w:rFonts w:ascii="Arial Narrow" w:hAnsi="Arial Narrow" w:cs="Arial"/>
                <w:sz w:val="18"/>
                <w:szCs w:val="18"/>
              </w:rPr>
              <w:t>Available</w:t>
            </w:r>
            <w:proofErr w:type="spellEnd"/>
            <w:r w:rsidRPr="005076E4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5076E4">
              <w:rPr>
                <w:rFonts w:ascii="Arial Narrow" w:hAnsi="Arial Narrow" w:cs="Arial"/>
                <w:sz w:val="18"/>
                <w:szCs w:val="18"/>
              </w:rPr>
              <w:t>resources</w:t>
            </w:r>
            <w:proofErr w:type="spellEnd"/>
          </w:p>
        </w:tc>
        <w:tc>
          <w:tcPr>
            <w:tcW w:w="2592" w:type="dxa"/>
            <w:vAlign w:val="center"/>
            <w:hideMark/>
          </w:tcPr>
          <w:p w14:paraId="44B0EFE0" w14:textId="77777777" w:rsidR="007A4DB6" w:rsidRPr="005076E4" w:rsidRDefault="007A4DB6" w:rsidP="00EE15BE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5076E4">
              <w:rPr>
                <w:rFonts w:ascii="Arial Narrow" w:hAnsi="Arial Narrow" w:cs="Arial"/>
                <w:sz w:val="18"/>
                <w:szCs w:val="18"/>
                <w:lang w:val="en-US"/>
              </w:rPr>
              <w:t>PHC tele-rooms; nurse rooming</w:t>
            </w:r>
          </w:p>
        </w:tc>
        <w:tc>
          <w:tcPr>
            <w:tcW w:w="2139" w:type="dxa"/>
            <w:vAlign w:val="center"/>
            <w:hideMark/>
          </w:tcPr>
          <w:p w14:paraId="52EF3D50" w14:textId="77777777" w:rsidR="007A4DB6" w:rsidRPr="005076E4" w:rsidRDefault="007A4DB6" w:rsidP="00EE15BE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5076E4">
              <w:rPr>
                <w:rFonts w:ascii="Arial Narrow" w:hAnsi="Arial Narrow" w:cs="Arial"/>
                <w:sz w:val="18"/>
                <w:szCs w:val="18"/>
                <w:lang w:val="en-US"/>
              </w:rPr>
              <w:t>Resource provision is equity-critical</w:t>
            </w:r>
          </w:p>
        </w:tc>
        <w:tc>
          <w:tcPr>
            <w:tcW w:w="2409" w:type="dxa"/>
            <w:vAlign w:val="center"/>
            <w:hideMark/>
          </w:tcPr>
          <w:p w14:paraId="3F101734" w14:textId="77777777" w:rsidR="007A4DB6" w:rsidRPr="005076E4" w:rsidRDefault="007A4DB6" w:rsidP="00EE15BE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5076E4">
              <w:rPr>
                <w:rFonts w:ascii="Arial Narrow" w:hAnsi="Arial Narrow" w:cs="Arial"/>
                <w:sz w:val="18"/>
                <w:szCs w:val="18"/>
                <w:lang w:val="en-US"/>
              </w:rPr>
              <w:t>Tele-room uptime ≥95%; nurse support hours per 100 visits (target ↓ over time)</w:t>
            </w:r>
          </w:p>
        </w:tc>
      </w:tr>
      <w:tr w:rsidR="007A4DB6" w:rsidRPr="00252AC4" w14:paraId="18C38771" w14:textId="77777777" w:rsidTr="00EE1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1135A83F" w14:textId="77777777" w:rsidR="007A4DB6" w:rsidRPr="005076E4" w:rsidRDefault="007A4DB6" w:rsidP="00EE15BE">
            <w:pPr>
              <w:spacing w:after="160" w:line="36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076E4">
              <w:rPr>
                <w:rFonts w:ascii="Arial Narrow" w:hAnsi="Arial Narrow" w:cs="Arial"/>
                <w:sz w:val="18"/>
                <w:szCs w:val="18"/>
              </w:rPr>
              <w:t>CFIR (</w:t>
            </w:r>
            <w:proofErr w:type="spellStart"/>
            <w:r w:rsidRPr="005076E4">
              <w:rPr>
                <w:rFonts w:ascii="Arial Narrow" w:hAnsi="Arial Narrow" w:cs="Arial"/>
                <w:sz w:val="18"/>
                <w:szCs w:val="18"/>
              </w:rPr>
              <w:t>Inner</w:t>
            </w:r>
            <w:proofErr w:type="spellEnd"/>
            <w:r w:rsidRPr="005076E4">
              <w:rPr>
                <w:rFonts w:ascii="Arial Narrow" w:hAnsi="Arial Narrow" w:cs="Arial"/>
                <w:sz w:val="18"/>
                <w:szCs w:val="18"/>
              </w:rPr>
              <w:t xml:space="preserve"> setting)</w:t>
            </w:r>
          </w:p>
        </w:tc>
        <w:tc>
          <w:tcPr>
            <w:tcW w:w="1790" w:type="dxa"/>
            <w:vAlign w:val="center"/>
            <w:hideMark/>
          </w:tcPr>
          <w:p w14:paraId="5284222C" w14:textId="77777777" w:rsidR="007A4DB6" w:rsidRPr="005076E4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5076E4">
              <w:rPr>
                <w:rFonts w:ascii="Arial Narrow" w:hAnsi="Arial Narrow" w:cs="Arial"/>
                <w:sz w:val="18"/>
                <w:szCs w:val="18"/>
              </w:rPr>
              <w:t>Implementation</w:t>
            </w:r>
            <w:proofErr w:type="spellEnd"/>
            <w:r w:rsidRPr="005076E4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5076E4">
              <w:rPr>
                <w:rFonts w:ascii="Arial Narrow" w:hAnsi="Arial Narrow" w:cs="Arial"/>
                <w:sz w:val="18"/>
                <w:szCs w:val="18"/>
              </w:rPr>
              <w:t>climate</w:t>
            </w:r>
            <w:proofErr w:type="spellEnd"/>
            <w:r w:rsidRPr="005076E4">
              <w:rPr>
                <w:rFonts w:ascii="Arial Narrow" w:hAnsi="Arial Narrow" w:cs="Arial"/>
                <w:sz w:val="18"/>
                <w:szCs w:val="18"/>
              </w:rPr>
              <w:t>/</w:t>
            </w:r>
            <w:proofErr w:type="spellStart"/>
            <w:r w:rsidRPr="005076E4">
              <w:rPr>
                <w:rFonts w:ascii="Arial Narrow" w:hAnsi="Arial Narrow" w:cs="Arial"/>
                <w:sz w:val="18"/>
                <w:szCs w:val="18"/>
              </w:rPr>
              <w:t>readiness</w:t>
            </w:r>
            <w:proofErr w:type="spellEnd"/>
          </w:p>
        </w:tc>
        <w:tc>
          <w:tcPr>
            <w:tcW w:w="2592" w:type="dxa"/>
            <w:vAlign w:val="center"/>
            <w:hideMark/>
          </w:tcPr>
          <w:p w14:paraId="321FCF0C" w14:textId="77777777" w:rsidR="007A4DB6" w:rsidRPr="005076E4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5076E4">
              <w:rPr>
                <w:rFonts w:ascii="Arial Narrow" w:hAnsi="Arial Narrow" w:cs="Arial"/>
                <w:sz w:val="18"/>
                <w:szCs w:val="18"/>
                <w:lang w:val="en-US"/>
              </w:rPr>
              <w:t>Multiple PHC sites ran clinics; SOPs implied</w:t>
            </w:r>
          </w:p>
        </w:tc>
        <w:tc>
          <w:tcPr>
            <w:tcW w:w="2139" w:type="dxa"/>
            <w:vAlign w:val="center"/>
            <w:hideMark/>
          </w:tcPr>
          <w:p w14:paraId="0956C9C4" w14:textId="77777777" w:rsidR="007A4DB6" w:rsidRPr="005076E4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5076E4">
              <w:rPr>
                <w:rFonts w:ascii="Arial Narrow" w:hAnsi="Arial Narrow" w:cs="Arial"/>
                <w:sz w:val="18"/>
                <w:szCs w:val="18"/>
                <w:lang w:val="en-US"/>
              </w:rPr>
              <w:t>Build local capacity &amp; standard operating procedures</w:t>
            </w:r>
          </w:p>
        </w:tc>
        <w:tc>
          <w:tcPr>
            <w:tcW w:w="2409" w:type="dxa"/>
            <w:vAlign w:val="center"/>
            <w:hideMark/>
          </w:tcPr>
          <w:p w14:paraId="618725D7" w14:textId="77777777" w:rsidR="007A4DB6" w:rsidRPr="005076E4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5076E4">
              <w:rPr>
                <w:rFonts w:ascii="Arial Narrow" w:hAnsi="Arial Narrow" w:cs="Arial"/>
                <w:sz w:val="18"/>
                <w:szCs w:val="18"/>
                <w:lang w:val="en-US"/>
              </w:rPr>
              <w:t>% PHC sites with ≥1 clinic/week; staff training completion ≥90%</w:t>
            </w:r>
          </w:p>
        </w:tc>
      </w:tr>
      <w:tr w:rsidR="007A4DB6" w:rsidRPr="00252AC4" w14:paraId="29E67B26" w14:textId="77777777" w:rsidTr="00EE15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202FC7D4" w14:textId="77777777" w:rsidR="007A4DB6" w:rsidRPr="005076E4" w:rsidRDefault="007A4DB6" w:rsidP="00EE15BE">
            <w:pPr>
              <w:spacing w:after="160" w:line="36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076E4">
              <w:rPr>
                <w:rFonts w:ascii="Arial Narrow" w:hAnsi="Arial Narrow" w:cs="Arial"/>
                <w:sz w:val="18"/>
                <w:szCs w:val="18"/>
              </w:rPr>
              <w:t>CFIR (</w:t>
            </w:r>
            <w:proofErr w:type="spellStart"/>
            <w:r w:rsidRPr="005076E4">
              <w:rPr>
                <w:rFonts w:ascii="Arial Narrow" w:hAnsi="Arial Narrow" w:cs="Arial"/>
                <w:sz w:val="18"/>
                <w:szCs w:val="18"/>
              </w:rPr>
              <w:t>Process</w:t>
            </w:r>
            <w:proofErr w:type="spellEnd"/>
            <w:r w:rsidRPr="005076E4">
              <w:rPr>
                <w:rFonts w:ascii="Arial Narrow" w:hAnsi="Arial Narrow" w:cs="Arial"/>
                <w:sz w:val="18"/>
                <w:szCs w:val="18"/>
              </w:rPr>
              <w:t>)</w:t>
            </w:r>
          </w:p>
        </w:tc>
        <w:tc>
          <w:tcPr>
            <w:tcW w:w="1790" w:type="dxa"/>
            <w:vAlign w:val="center"/>
            <w:hideMark/>
          </w:tcPr>
          <w:p w14:paraId="6411D852" w14:textId="77777777" w:rsidR="007A4DB6" w:rsidRPr="005076E4" w:rsidRDefault="007A4DB6" w:rsidP="00EE15BE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5076E4">
              <w:rPr>
                <w:rFonts w:ascii="Arial Narrow" w:hAnsi="Arial Narrow" w:cs="Arial"/>
                <w:sz w:val="18"/>
                <w:szCs w:val="18"/>
              </w:rPr>
              <w:t>Engaging</w:t>
            </w:r>
            <w:proofErr w:type="spellEnd"/>
            <w:r w:rsidRPr="005076E4">
              <w:rPr>
                <w:rFonts w:ascii="Arial Narrow" w:hAnsi="Arial Narrow" w:cs="Arial"/>
                <w:sz w:val="18"/>
                <w:szCs w:val="18"/>
              </w:rPr>
              <w:t xml:space="preserve"> / </w:t>
            </w:r>
            <w:proofErr w:type="spellStart"/>
            <w:r w:rsidRPr="005076E4">
              <w:rPr>
                <w:rFonts w:ascii="Arial Narrow" w:hAnsi="Arial Narrow" w:cs="Arial"/>
                <w:sz w:val="18"/>
                <w:szCs w:val="18"/>
              </w:rPr>
              <w:t>Executing</w:t>
            </w:r>
            <w:proofErr w:type="spellEnd"/>
          </w:p>
        </w:tc>
        <w:tc>
          <w:tcPr>
            <w:tcW w:w="2592" w:type="dxa"/>
            <w:vAlign w:val="center"/>
            <w:hideMark/>
          </w:tcPr>
          <w:p w14:paraId="1BA4A67F" w14:textId="77777777" w:rsidR="007A4DB6" w:rsidRPr="005076E4" w:rsidRDefault="007A4DB6" w:rsidP="00EE15BE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5076E4">
              <w:rPr>
                <w:rFonts w:ascii="Arial Narrow" w:hAnsi="Arial Narrow" w:cs="Arial"/>
                <w:sz w:val="18"/>
                <w:szCs w:val="18"/>
                <w:lang w:val="en-US"/>
              </w:rPr>
              <w:t>Nurse-assisted onboarding; SMS/voice reminders</w:t>
            </w:r>
          </w:p>
        </w:tc>
        <w:tc>
          <w:tcPr>
            <w:tcW w:w="2139" w:type="dxa"/>
            <w:vAlign w:val="center"/>
            <w:hideMark/>
          </w:tcPr>
          <w:p w14:paraId="16940E69" w14:textId="77777777" w:rsidR="007A4DB6" w:rsidRPr="005076E4" w:rsidRDefault="007A4DB6" w:rsidP="00EE15BE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5076E4">
              <w:rPr>
                <w:rFonts w:ascii="Arial Narrow" w:hAnsi="Arial Narrow" w:cs="Arial"/>
                <w:sz w:val="18"/>
                <w:szCs w:val="18"/>
                <w:lang w:val="en-US"/>
              </w:rPr>
              <w:t>Keep multimodal access and callbacks</w:t>
            </w:r>
          </w:p>
        </w:tc>
        <w:tc>
          <w:tcPr>
            <w:tcW w:w="2409" w:type="dxa"/>
            <w:vAlign w:val="center"/>
            <w:hideMark/>
          </w:tcPr>
          <w:p w14:paraId="48F9956E" w14:textId="77777777" w:rsidR="007A4DB6" w:rsidRPr="005076E4" w:rsidRDefault="007A4DB6" w:rsidP="00EE15BE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5076E4">
              <w:rPr>
                <w:rFonts w:ascii="Arial Narrow" w:hAnsi="Arial Narrow" w:cs="Arial"/>
                <w:sz w:val="18"/>
                <w:szCs w:val="18"/>
                <w:lang w:val="en-US"/>
              </w:rPr>
              <w:t>No-show rate &lt;15%; reminder coverage ≥95%</w:t>
            </w:r>
          </w:p>
        </w:tc>
      </w:tr>
      <w:tr w:rsidR="007A4DB6" w:rsidRPr="00252AC4" w14:paraId="7CCD472D" w14:textId="77777777" w:rsidTr="00EE1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0A0F20A6" w14:textId="77777777" w:rsidR="007A4DB6" w:rsidRPr="005076E4" w:rsidRDefault="007A4DB6" w:rsidP="00EE15BE">
            <w:pPr>
              <w:spacing w:after="160" w:line="36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076E4">
              <w:rPr>
                <w:rFonts w:ascii="Arial Narrow" w:hAnsi="Arial Narrow" w:cs="Arial"/>
                <w:sz w:val="18"/>
                <w:szCs w:val="18"/>
              </w:rPr>
              <w:t>RE-AIM</w:t>
            </w:r>
          </w:p>
        </w:tc>
        <w:tc>
          <w:tcPr>
            <w:tcW w:w="1790" w:type="dxa"/>
            <w:vAlign w:val="center"/>
            <w:hideMark/>
          </w:tcPr>
          <w:p w14:paraId="01642A7E" w14:textId="77777777" w:rsidR="007A4DB6" w:rsidRPr="005076E4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5076E4">
              <w:rPr>
                <w:rFonts w:ascii="Arial Narrow" w:hAnsi="Arial Narrow" w:cs="Arial"/>
                <w:sz w:val="18"/>
                <w:szCs w:val="18"/>
              </w:rPr>
              <w:t>Reach</w:t>
            </w:r>
            <w:proofErr w:type="spellEnd"/>
          </w:p>
        </w:tc>
        <w:tc>
          <w:tcPr>
            <w:tcW w:w="2592" w:type="dxa"/>
            <w:vAlign w:val="center"/>
            <w:hideMark/>
          </w:tcPr>
          <w:p w14:paraId="7ABEE15C" w14:textId="77777777" w:rsidR="007A4DB6" w:rsidRPr="005076E4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5076E4">
              <w:rPr>
                <w:rFonts w:ascii="Arial Narrow" w:hAnsi="Arial Narrow" w:cs="Arial"/>
                <w:sz w:val="18"/>
                <w:szCs w:val="18"/>
                <w:lang w:val="en-US"/>
              </w:rPr>
              <w:t>High/Moderate digital-risk users predominated</w:t>
            </w:r>
          </w:p>
        </w:tc>
        <w:tc>
          <w:tcPr>
            <w:tcW w:w="2139" w:type="dxa"/>
            <w:vAlign w:val="center"/>
            <w:hideMark/>
          </w:tcPr>
          <w:p w14:paraId="07D89278" w14:textId="77777777" w:rsidR="007A4DB6" w:rsidRPr="005076E4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5076E4">
              <w:rPr>
                <w:rFonts w:ascii="Arial Narrow" w:hAnsi="Arial Narrow" w:cs="Arial"/>
                <w:sz w:val="18"/>
                <w:szCs w:val="18"/>
                <w:lang w:val="en-US"/>
              </w:rPr>
              <w:t>Assisted design reaches vulnerable groups</w:t>
            </w:r>
          </w:p>
        </w:tc>
        <w:tc>
          <w:tcPr>
            <w:tcW w:w="2409" w:type="dxa"/>
            <w:vAlign w:val="center"/>
            <w:hideMark/>
          </w:tcPr>
          <w:p w14:paraId="1A77B0FB" w14:textId="77777777" w:rsidR="007A4DB6" w:rsidRPr="005076E4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5076E4">
              <w:rPr>
                <w:rFonts w:ascii="Arial Narrow" w:hAnsi="Arial Narrow" w:cs="Arial"/>
                <w:sz w:val="18"/>
                <w:szCs w:val="18"/>
                <w:lang w:val="en-US"/>
              </w:rPr>
              <w:t>Completion rate by stratum ≥85%; representation by stratum ~population</w:t>
            </w:r>
          </w:p>
        </w:tc>
      </w:tr>
      <w:tr w:rsidR="007A4DB6" w:rsidRPr="00252AC4" w14:paraId="3EE5AD6D" w14:textId="77777777" w:rsidTr="00EE15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6A3079D0" w14:textId="77777777" w:rsidR="007A4DB6" w:rsidRPr="005076E4" w:rsidRDefault="007A4DB6" w:rsidP="00EE15BE">
            <w:pPr>
              <w:spacing w:after="160" w:line="36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076E4">
              <w:rPr>
                <w:rFonts w:ascii="Arial Narrow" w:hAnsi="Arial Narrow" w:cs="Arial"/>
                <w:sz w:val="18"/>
                <w:szCs w:val="18"/>
              </w:rPr>
              <w:t>RE-AIM</w:t>
            </w:r>
          </w:p>
        </w:tc>
        <w:tc>
          <w:tcPr>
            <w:tcW w:w="1790" w:type="dxa"/>
            <w:vAlign w:val="center"/>
            <w:hideMark/>
          </w:tcPr>
          <w:p w14:paraId="60BE1320" w14:textId="77777777" w:rsidR="007A4DB6" w:rsidRPr="005076E4" w:rsidRDefault="007A4DB6" w:rsidP="00EE15BE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5076E4">
              <w:rPr>
                <w:rFonts w:ascii="Arial Narrow" w:hAnsi="Arial Narrow" w:cs="Arial"/>
                <w:sz w:val="18"/>
                <w:szCs w:val="18"/>
              </w:rPr>
              <w:t>Effectiveness</w:t>
            </w:r>
            <w:proofErr w:type="spellEnd"/>
          </w:p>
        </w:tc>
        <w:tc>
          <w:tcPr>
            <w:tcW w:w="2592" w:type="dxa"/>
            <w:vAlign w:val="center"/>
            <w:hideMark/>
          </w:tcPr>
          <w:p w14:paraId="76F0A869" w14:textId="77777777" w:rsidR="007A4DB6" w:rsidRPr="005076E4" w:rsidRDefault="007A4DB6" w:rsidP="00EE15BE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5076E4">
              <w:rPr>
                <w:rFonts w:ascii="Arial Narrow" w:hAnsi="Arial Narrow" w:cs="Arial"/>
                <w:sz w:val="18"/>
                <w:szCs w:val="18"/>
              </w:rPr>
              <w:t>Sleep</w:t>
            </w:r>
            <w:proofErr w:type="spellEnd"/>
            <w:r w:rsidRPr="005076E4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5076E4">
              <w:rPr>
                <w:rFonts w:ascii="Arial Narrow" w:hAnsi="Arial Narrow" w:cs="Arial"/>
                <w:sz w:val="18"/>
                <w:szCs w:val="18"/>
              </w:rPr>
              <w:t>dissatisfaction</w:t>
            </w:r>
            <w:proofErr w:type="spellEnd"/>
            <w:r w:rsidRPr="005076E4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5076E4">
              <w:rPr>
                <w:rFonts w:ascii="Arial Narrow" w:hAnsi="Arial Narrow" w:cs="Arial"/>
                <w:sz w:val="18"/>
                <w:szCs w:val="18"/>
              </w:rPr>
              <w:t>reduced</w:t>
            </w:r>
            <w:proofErr w:type="spellEnd"/>
            <w:r w:rsidRPr="005076E4">
              <w:rPr>
                <w:rFonts w:ascii="Arial Narrow" w:hAnsi="Arial Narrow" w:cs="Arial"/>
                <w:sz w:val="18"/>
                <w:szCs w:val="18"/>
              </w:rPr>
              <w:t xml:space="preserve"> (q=0.047)</w:t>
            </w:r>
          </w:p>
        </w:tc>
        <w:tc>
          <w:tcPr>
            <w:tcW w:w="2139" w:type="dxa"/>
            <w:vAlign w:val="center"/>
            <w:hideMark/>
          </w:tcPr>
          <w:p w14:paraId="0979B2AB" w14:textId="77777777" w:rsidR="007A4DB6" w:rsidRPr="005076E4" w:rsidRDefault="007A4DB6" w:rsidP="00EE15BE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5076E4">
              <w:rPr>
                <w:rFonts w:ascii="Arial Narrow" w:hAnsi="Arial Narrow" w:cs="Arial"/>
                <w:sz w:val="18"/>
                <w:szCs w:val="18"/>
                <w:lang w:val="en-US"/>
              </w:rPr>
              <w:t>Pair modality gains with behavioral supports</w:t>
            </w:r>
          </w:p>
        </w:tc>
        <w:tc>
          <w:tcPr>
            <w:tcW w:w="2409" w:type="dxa"/>
            <w:vAlign w:val="center"/>
            <w:hideMark/>
          </w:tcPr>
          <w:p w14:paraId="1CC7FA9A" w14:textId="77777777" w:rsidR="007A4DB6" w:rsidRPr="005076E4" w:rsidRDefault="007A4DB6" w:rsidP="00EE15BE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5076E4">
              <w:rPr>
                <w:rFonts w:ascii="Arial Narrow" w:hAnsi="Arial Narrow" w:cs="Arial"/>
                <w:sz w:val="18"/>
                <w:szCs w:val="18"/>
                <w:lang w:val="en-US"/>
              </w:rPr>
              <w:t>RR (tele vs in-person) for “not satisfied” in Sleep &lt;1.0; DQOL change (if available)</w:t>
            </w:r>
          </w:p>
        </w:tc>
      </w:tr>
      <w:tr w:rsidR="007A4DB6" w:rsidRPr="00252AC4" w14:paraId="00A72D09" w14:textId="77777777" w:rsidTr="00EE1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0C3B1361" w14:textId="77777777" w:rsidR="007A4DB6" w:rsidRPr="005076E4" w:rsidRDefault="007A4DB6" w:rsidP="00EE15BE">
            <w:pPr>
              <w:spacing w:after="160" w:line="36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076E4">
              <w:rPr>
                <w:rFonts w:ascii="Arial Narrow" w:hAnsi="Arial Narrow" w:cs="Arial"/>
                <w:sz w:val="18"/>
                <w:szCs w:val="18"/>
              </w:rPr>
              <w:t>RE-AIM</w:t>
            </w:r>
          </w:p>
        </w:tc>
        <w:tc>
          <w:tcPr>
            <w:tcW w:w="1790" w:type="dxa"/>
            <w:vAlign w:val="center"/>
            <w:hideMark/>
          </w:tcPr>
          <w:p w14:paraId="51632F7A" w14:textId="77777777" w:rsidR="007A4DB6" w:rsidRPr="005076E4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5076E4">
              <w:rPr>
                <w:rFonts w:ascii="Arial Narrow" w:hAnsi="Arial Narrow" w:cs="Arial"/>
                <w:sz w:val="18"/>
                <w:szCs w:val="18"/>
              </w:rPr>
              <w:t>Adoption</w:t>
            </w:r>
            <w:proofErr w:type="spellEnd"/>
          </w:p>
        </w:tc>
        <w:tc>
          <w:tcPr>
            <w:tcW w:w="2592" w:type="dxa"/>
            <w:vAlign w:val="center"/>
            <w:hideMark/>
          </w:tcPr>
          <w:p w14:paraId="652140D9" w14:textId="77777777" w:rsidR="007A4DB6" w:rsidRPr="005076E4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</w:rPr>
            </w:pPr>
            <w:r w:rsidRPr="005076E4">
              <w:rPr>
                <w:rFonts w:ascii="Arial Narrow" w:hAnsi="Arial Narrow" w:cs="Arial"/>
                <w:sz w:val="18"/>
                <w:szCs w:val="18"/>
              </w:rPr>
              <w:t>PHC-</w:t>
            </w:r>
            <w:proofErr w:type="spellStart"/>
            <w:r w:rsidRPr="005076E4">
              <w:rPr>
                <w:rFonts w:ascii="Arial Narrow" w:hAnsi="Arial Narrow" w:cs="Arial"/>
                <w:sz w:val="18"/>
                <w:szCs w:val="18"/>
              </w:rPr>
              <w:t>embedded</w:t>
            </w:r>
            <w:proofErr w:type="spellEnd"/>
            <w:r w:rsidRPr="005076E4">
              <w:rPr>
                <w:rFonts w:ascii="Arial Narrow" w:hAnsi="Arial Narrow" w:cs="Arial"/>
                <w:sz w:val="18"/>
                <w:szCs w:val="18"/>
              </w:rPr>
              <w:t xml:space="preserve"> delivery </w:t>
            </w:r>
            <w:proofErr w:type="spellStart"/>
            <w:r w:rsidRPr="005076E4">
              <w:rPr>
                <w:rFonts w:ascii="Arial Narrow" w:hAnsi="Arial Narrow" w:cs="Arial"/>
                <w:sz w:val="18"/>
                <w:szCs w:val="18"/>
              </w:rPr>
              <w:t>feasible</w:t>
            </w:r>
            <w:proofErr w:type="spellEnd"/>
          </w:p>
        </w:tc>
        <w:tc>
          <w:tcPr>
            <w:tcW w:w="2139" w:type="dxa"/>
            <w:vAlign w:val="center"/>
            <w:hideMark/>
          </w:tcPr>
          <w:p w14:paraId="47C1A364" w14:textId="77777777" w:rsidR="007A4DB6" w:rsidRPr="005076E4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5076E4">
              <w:rPr>
                <w:rFonts w:ascii="Arial Narrow" w:hAnsi="Arial Narrow" w:cs="Arial"/>
                <w:sz w:val="18"/>
                <w:szCs w:val="18"/>
              </w:rPr>
              <w:t>Expand</w:t>
            </w:r>
            <w:proofErr w:type="spellEnd"/>
            <w:r w:rsidRPr="005076E4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5076E4">
              <w:rPr>
                <w:rFonts w:ascii="Arial Narrow" w:hAnsi="Arial Narrow" w:cs="Arial"/>
                <w:sz w:val="18"/>
                <w:szCs w:val="18"/>
              </w:rPr>
              <w:t>provider</w:t>
            </w:r>
            <w:proofErr w:type="spellEnd"/>
            <w:r w:rsidRPr="005076E4">
              <w:rPr>
                <w:rFonts w:ascii="Arial Narrow" w:hAnsi="Arial Narrow" w:cs="Arial"/>
                <w:sz w:val="18"/>
                <w:szCs w:val="18"/>
              </w:rPr>
              <w:t xml:space="preserve">/site </w:t>
            </w:r>
            <w:proofErr w:type="spellStart"/>
            <w:r w:rsidRPr="005076E4">
              <w:rPr>
                <w:rFonts w:ascii="Arial Narrow" w:hAnsi="Arial Narrow" w:cs="Arial"/>
                <w:sz w:val="18"/>
                <w:szCs w:val="18"/>
              </w:rPr>
              <w:t>onboarding</w:t>
            </w:r>
            <w:proofErr w:type="spellEnd"/>
          </w:p>
        </w:tc>
        <w:tc>
          <w:tcPr>
            <w:tcW w:w="2409" w:type="dxa"/>
            <w:vAlign w:val="center"/>
            <w:hideMark/>
          </w:tcPr>
          <w:p w14:paraId="6AA61602" w14:textId="77777777" w:rsidR="007A4DB6" w:rsidRPr="005076E4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5076E4">
              <w:rPr>
                <w:rFonts w:ascii="Arial Narrow" w:hAnsi="Arial Narrow" w:cs="Arial"/>
                <w:sz w:val="18"/>
                <w:szCs w:val="18"/>
                <w:lang w:val="en-US"/>
              </w:rPr>
              <w:t>Active clinicians/month; site adoption ≥80% of eligible PHCs</w:t>
            </w:r>
          </w:p>
        </w:tc>
      </w:tr>
      <w:tr w:rsidR="007A4DB6" w:rsidRPr="00252AC4" w14:paraId="2399E30D" w14:textId="77777777" w:rsidTr="00EE15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287771BC" w14:textId="77777777" w:rsidR="007A4DB6" w:rsidRPr="005076E4" w:rsidRDefault="007A4DB6" w:rsidP="00EE15BE">
            <w:pPr>
              <w:spacing w:after="160" w:line="36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076E4">
              <w:rPr>
                <w:rFonts w:ascii="Arial Narrow" w:hAnsi="Arial Narrow" w:cs="Arial"/>
                <w:sz w:val="18"/>
                <w:szCs w:val="18"/>
              </w:rPr>
              <w:t>RE-AIM</w:t>
            </w:r>
          </w:p>
        </w:tc>
        <w:tc>
          <w:tcPr>
            <w:tcW w:w="1790" w:type="dxa"/>
            <w:vAlign w:val="center"/>
            <w:hideMark/>
          </w:tcPr>
          <w:p w14:paraId="09530D5F" w14:textId="77777777" w:rsidR="007A4DB6" w:rsidRPr="005076E4" w:rsidRDefault="007A4DB6" w:rsidP="00EE15BE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5076E4">
              <w:rPr>
                <w:rFonts w:ascii="Arial Narrow" w:hAnsi="Arial Narrow" w:cs="Arial"/>
                <w:sz w:val="18"/>
                <w:szCs w:val="18"/>
              </w:rPr>
              <w:t>Implementation</w:t>
            </w:r>
            <w:proofErr w:type="spellEnd"/>
          </w:p>
        </w:tc>
        <w:tc>
          <w:tcPr>
            <w:tcW w:w="2592" w:type="dxa"/>
            <w:vAlign w:val="center"/>
            <w:hideMark/>
          </w:tcPr>
          <w:p w14:paraId="5234ACD8" w14:textId="77777777" w:rsidR="007A4DB6" w:rsidRPr="005076E4" w:rsidRDefault="007A4DB6" w:rsidP="00EE15BE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5076E4">
              <w:rPr>
                <w:rFonts w:ascii="Arial Narrow" w:hAnsi="Arial Narrow" w:cs="Arial"/>
                <w:sz w:val="18"/>
                <w:szCs w:val="18"/>
                <w:lang w:val="en-US"/>
              </w:rPr>
              <w:t>One-click join; phone backup; rebooking</w:t>
            </w:r>
          </w:p>
        </w:tc>
        <w:tc>
          <w:tcPr>
            <w:tcW w:w="2139" w:type="dxa"/>
            <w:vAlign w:val="center"/>
            <w:hideMark/>
          </w:tcPr>
          <w:p w14:paraId="49D7CCEC" w14:textId="77777777" w:rsidR="007A4DB6" w:rsidRPr="005076E4" w:rsidRDefault="007A4DB6" w:rsidP="00EE15BE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5076E4">
              <w:rPr>
                <w:rFonts w:ascii="Arial Narrow" w:hAnsi="Arial Narrow" w:cs="Arial"/>
                <w:sz w:val="18"/>
                <w:szCs w:val="18"/>
                <w:lang w:val="en-US"/>
              </w:rPr>
              <w:t>Track fidelity as routine KPIs</w:t>
            </w:r>
          </w:p>
        </w:tc>
        <w:tc>
          <w:tcPr>
            <w:tcW w:w="2409" w:type="dxa"/>
            <w:vAlign w:val="center"/>
            <w:hideMark/>
          </w:tcPr>
          <w:p w14:paraId="76DD51D9" w14:textId="77777777" w:rsidR="007A4DB6" w:rsidRPr="005076E4" w:rsidRDefault="007A4DB6" w:rsidP="00EE15BE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5076E4">
              <w:rPr>
                <w:rFonts w:ascii="Arial Narrow" w:hAnsi="Arial Narrow" w:cs="Arial"/>
                <w:sz w:val="18"/>
                <w:szCs w:val="18"/>
                <w:lang w:val="en-US"/>
              </w:rPr>
              <w:t>Protocol adherence ≥90%; technical failure rate &lt;5%</w:t>
            </w:r>
          </w:p>
        </w:tc>
      </w:tr>
      <w:tr w:rsidR="007A4DB6" w:rsidRPr="00252AC4" w14:paraId="45601F24" w14:textId="77777777" w:rsidTr="00EE1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61A82EE1" w14:textId="77777777" w:rsidR="007A4DB6" w:rsidRPr="005076E4" w:rsidRDefault="007A4DB6" w:rsidP="00EE15BE">
            <w:pPr>
              <w:spacing w:after="160" w:line="36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076E4">
              <w:rPr>
                <w:rFonts w:ascii="Arial Narrow" w:hAnsi="Arial Narrow" w:cs="Arial"/>
                <w:sz w:val="18"/>
                <w:szCs w:val="18"/>
              </w:rPr>
              <w:t>RE-AIM</w:t>
            </w:r>
          </w:p>
        </w:tc>
        <w:tc>
          <w:tcPr>
            <w:tcW w:w="1790" w:type="dxa"/>
            <w:vAlign w:val="center"/>
            <w:hideMark/>
          </w:tcPr>
          <w:p w14:paraId="0C1B60AF" w14:textId="77777777" w:rsidR="007A4DB6" w:rsidRPr="005076E4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5076E4">
              <w:rPr>
                <w:rFonts w:ascii="Arial Narrow" w:hAnsi="Arial Narrow" w:cs="Arial"/>
                <w:sz w:val="18"/>
                <w:szCs w:val="18"/>
              </w:rPr>
              <w:t>Maintenance</w:t>
            </w:r>
            <w:proofErr w:type="spellEnd"/>
          </w:p>
        </w:tc>
        <w:tc>
          <w:tcPr>
            <w:tcW w:w="2592" w:type="dxa"/>
            <w:vAlign w:val="center"/>
            <w:hideMark/>
          </w:tcPr>
          <w:p w14:paraId="1158BF1E" w14:textId="77777777" w:rsidR="007A4DB6" w:rsidRPr="005076E4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</w:rPr>
            </w:pPr>
            <w:r w:rsidRPr="005076E4">
              <w:rPr>
                <w:rFonts w:ascii="Arial Narrow" w:hAnsi="Arial Narrow" w:cs="Arial"/>
                <w:sz w:val="18"/>
                <w:szCs w:val="18"/>
              </w:rPr>
              <w:t>6-</w:t>
            </w:r>
            <w:proofErr w:type="gramStart"/>
            <w:r w:rsidRPr="005076E4">
              <w:rPr>
                <w:rFonts w:ascii="Arial Narrow" w:hAnsi="Arial Narrow" w:cs="Arial"/>
                <w:sz w:val="18"/>
                <w:szCs w:val="18"/>
              </w:rPr>
              <w:t>month</w:t>
            </w:r>
            <w:proofErr w:type="gramEnd"/>
            <w:r w:rsidRPr="005076E4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5076E4">
              <w:rPr>
                <w:rFonts w:ascii="Arial Narrow" w:hAnsi="Arial Narrow" w:cs="Arial"/>
                <w:sz w:val="18"/>
                <w:szCs w:val="18"/>
              </w:rPr>
              <w:t>window</w:t>
            </w:r>
            <w:proofErr w:type="spellEnd"/>
            <w:r w:rsidRPr="005076E4">
              <w:rPr>
                <w:rFonts w:ascii="Arial Narrow" w:hAnsi="Arial Narrow" w:cs="Arial"/>
                <w:sz w:val="18"/>
                <w:szCs w:val="18"/>
              </w:rPr>
              <w:t xml:space="preserve"> (short)</w:t>
            </w:r>
          </w:p>
        </w:tc>
        <w:tc>
          <w:tcPr>
            <w:tcW w:w="2139" w:type="dxa"/>
            <w:vAlign w:val="center"/>
            <w:hideMark/>
          </w:tcPr>
          <w:p w14:paraId="14A89574" w14:textId="77777777" w:rsidR="007A4DB6" w:rsidRPr="005076E4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5076E4">
              <w:rPr>
                <w:rFonts w:ascii="Arial Narrow" w:hAnsi="Arial Narrow" w:cs="Arial"/>
                <w:sz w:val="18"/>
                <w:szCs w:val="18"/>
                <w:lang w:val="en-US"/>
              </w:rPr>
              <w:t>Plan financing &amp; digital-literacy supports</w:t>
            </w:r>
          </w:p>
        </w:tc>
        <w:tc>
          <w:tcPr>
            <w:tcW w:w="2409" w:type="dxa"/>
            <w:vAlign w:val="center"/>
            <w:hideMark/>
          </w:tcPr>
          <w:p w14:paraId="227A356B" w14:textId="77777777" w:rsidR="007A4DB6" w:rsidRPr="005076E4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5076E4">
              <w:rPr>
                <w:rFonts w:ascii="Arial Narrow" w:hAnsi="Arial Narrow" w:cs="Arial"/>
                <w:sz w:val="18"/>
                <w:szCs w:val="18"/>
                <w:lang w:val="en-US"/>
              </w:rPr>
              <w:t>12-mo retention ≥80%; cost per completed visit (local benchmark)</w:t>
            </w:r>
          </w:p>
        </w:tc>
      </w:tr>
    </w:tbl>
    <w:p w14:paraId="139776AE" w14:textId="77777777" w:rsidR="007A4DB6" w:rsidRPr="000D59D5" w:rsidRDefault="007A4DB6" w:rsidP="007A4DB6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0D59D5">
        <w:rPr>
          <w:rFonts w:ascii="Arial" w:hAnsi="Arial" w:cs="Arial"/>
          <w:b/>
          <w:bCs/>
          <w:i/>
          <w:iCs/>
          <w:sz w:val="16"/>
          <w:szCs w:val="16"/>
          <w:lang w:val="en-US"/>
        </w:rPr>
        <w:t>Legend.</w:t>
      </w:r>
      <w:r w:rsidRPr="000D59D5">
        <w:rPr>
          <w:rFonts w:ascii="Arial" w:hAnsi="Arial" w:cs="Arial"/>
          <w:i/>
          <w:iCs/>
          <w:sz w:val="16"/>
          <w:szCs w:val="16"/>
          <w:lang w:val="en-US"/>
        </w:rPr>
        <w:t xml:space="preserve"> CFIR = Consolidated Framework for Implementation Research; RE-AIM = Reach, Effectiveness, Adoption, Implementation, Maintenance; PHC = primary healthcare; TUQ = Telehealth Usability Questionnaire; SOP = standard operating procedures. KPIs should be stratified by digital risk stratum and monitored with FDR adjustment for multiple comparisons, where applicable.</w:t>
      </w:r>
    </w:p>
    <w:p w14:paraId="34B0B971" w14:textId="77777777" w:rsidR="007A4DB6" w:rsidRPr="000D59D5" w:rsidRDefault="007A4DB6" w:rsidP="007A4DB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AC701C8" w14:textId="77777777" w:rsidR="007A4DB6" w:rsidRPr="000D59D5" w:rsidRDefault="007A4DB6" w:rsidP="007A4DB6">
      <w:pPr>
        <w:pStyle w:val="Legenda"/>
        <w:keepNext/>
        <w:spacing w:line="360" w:lineRule="auto"/>
        <w:jc w:val="both"/>
        <w:rPr>
          <w:rFonts w:ascii="Arial" w:hAnsi="Arial" w:cs="Arial"/>
          <w:b/>
          <w:bCs/>
          <w:i w:val="0"/>
          <w:iCs w:val="0"/>
          <w:color w:val="auto"/>
          <w:lang w:val="en-US"/>
        </w:rPr>
      </w:pPr>
      <w:r w:rsidRPr="000D59D5">
        <w:rPr>
          <w:rFonts w:ascii="Arial" w:hAnsi="Arial" w:cs="Arial"/>
          <w:b/>
          <w:bCs/>
          <w:i w:val="0"/>
          <w:iCs w:val="0"/>
          <w:color w:val="auto"/>
          <w:lang w:val="en-US"/>
        </w:rPr>
        <w:lastRenderedPageBreak/>
        <w:t>Table S4: Patient-reported quality of life by arm (domain-specific counts)</w:t>
      </w:r>
    </w:p>
    <w:tbl>
      <w:tblPr>
        <w:tblStyle w:val="TabelaSimples4"/>
        <w:tblW w:w="11199" w:type="dxa"/>
        <w:tblInd w:w="-1418" w:type="dxa"/>
        <w:tblLook w:val="04A0" w:firstRow="1" w:lastRow="0" w:firstColumn="1" w:lastColumn="0" w:noHBand="0" w:noVBand="1"/>
      </w:tblPr>
      <w:tblGrid>
        <w:gridCol w:w="1347"/>
        <w:gridCol w:w="988"/>
        <w:gridCol w:w="1230"/>
        <w:gridCol w:w="1265"/>
        <w:gridCol w:w="1131"/>
        <w:gridCol w:w="1138"/>
        <w:gridCol w:w="1126"/>
        <w:gridCol w:w="1545"/>
        <w:gridCol w:w="1429"/>
      </w:tblGrid>
      <w:tr w:rsidR="007A4DB6" w:rsidRPr="005076E4" w14:paraId="73F23993" w14:textId="77777777" w:rsidTr="00EE15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  <w:vAlign w:val="center"/>
            <w:hideMark/>
          </w:tcPr>
          <w:p w14:paraId="3F9C5EC6" w14:textId="77777777" w:rsidR="007A4DB6" w:rsidRPr="005076E4" w:rsidRDefault="007A4DB6" w:rsidP="00EE15BE">
            <w:pPr>
              <w:spacing w:after="16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076E4">
              <w:rPr>
                <w:rFonts w:ascii="Arial Narrow" w:hAnsi="Arial Narrow" w:cs="Arial"/>
                <w:sz w:val="20"/>
                <w:szCs w:val="20"/>
              </w:rPr>
              <w:t>Domain</w:t>
            </w:r>
          </w:p>
        </w:tc>
        <w:tc>
          <w:tcPr>
            <w:tcW w:w="990" w:type="dxa"/>
            <w:vAlign w:val="center"/>
            <w:hideMark/>
          </w:tcPr>
          <w:p w14:paraId="6CECBB5A" w14:textId="77777777" w:rsidR="007A4DB6" w:rsidRPr="005076E4" w:rsidRDefault="007A4DB6" w:rsidP="00EE15BE">
            <w:pPr>
              <w:spacing w:after="16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5076E4">
              <w:rPr>
                <w:rFonts w:ascii="Arial Narrow" w:hAnsi="Arial Narrow" w:cs="Arial"/>
                <w:sz w:val="20"/>
                <w:szCs w:val="20"/>
              </w:rPr>
              <w:t>In-person</w:t>
            </w:r>
            <w:proofErr w:type="spellEnd"/>
            <w:r w:rsidRPr="005076E4">
              <w:rPr>
                <w:rFonts w:ascii="Arial Narrow" w:hAnsi="Arial Narrow" w:cs="Arial"/>
                <w:sz w:val="20"/>
                <w:szCs w:val="20"/>
              </w:rPr>
              <w:t xml:space="preserve"> n</w:t>
            </w:r>
          </w:p>
        </w:tc>
        <w:tc>
          <w:tcPr>
            <w:tcW w:w="1233" w:type="dxa"/>
            <w:vAlign w:val="center"/>
            <w:hideMark/>
          </w:tcPr>
          <w:p w14:paraId="50DC5B56" w14:textId="77777777" w:rsidR="007A4DB6" w:rsidRPr="005076E4" w:rsidRDefault="007A4DB6" w:rsidP="00EE15BE">
            <w:pPr>
              <w:spacing w:after="16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5076E4">
              <w:rPr>
                <w:rFonts w:ascii="Arial Narrow" w:hAnsi="Arial Narrow" w:cs="Arial"/>
                <w:sz w:val="20"/>
                <w:szCs w:val="20"/>
              </w:rPr>
              <w:t>Very</w:t>
            </w:r>
            <w:proofErr w:type="spellEnd"/>
            <w:r w:rsidRPr="005076E4">
              <w:rPr>
                <w:rFonts w:ascii="Arial Narrow" w:hAnsi="Arial Narrow" w:cs="Arial"/>
                <w:sz w:val="20"/>
                <w:szCs w:val="20"/>
              </w:rPr>
              <w:t xml:space="preserve"> sat n (%)</w:t>
            </w:r>
          </w:p>
        </w:tc>
        <w:tc>
          <w:tcPr>
            <w:tcW w:w="1269" w:type="dxa"/>
            <w:vAlign w:val="center"/>
            <w:hideMark/>
          </w:tcPr>
          <w:p w14:paraId="30A8E4F5" w14:textId="77777777" w:rsidR="007A4DB6" w:rsidRPr="005076E4" w:rsidRDefault="007A4DB6" w:rsidP="00EE15BE">
            <w:pPr>
              <w:spacing w:after="16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5076E4">
              <w:rPr>
                <w:rFonts w:ascii="Arial Narrow" w:hAnsi="Arial Narrow" w:cs="Arial"/>
                <w:sz w:val="20"/>
                <w:szCs w:val="20"/>
              </w:rPr>
              <w:t>Quite sat n (%)</w:t>
            </w:r>
          </w:p>
        </w:tc>
        <w:tc>
          <w:tcPr>
            <w:tcW w:w="1132" w:type="dxa"/>
            <w:vAlign w:val="center"/>
            <w:hideMark/>
          </w:tcPr>
          <w:p w14:paraId="5A64685D" w14:textId="77777777" w:rsidR="007A4DB6" w:rsidRPr="005076E4" w:rsidRDefault="007A4DB6" w:rsidP="00EE15BE">
            <w:pPr>
              <w:spacing w:after="16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5076E4">
              <w:rPr>
                <w:rFonts w:ascii="Arial Narrow" w:hAnsi="Arial Narrow" w:cs="Arial"/>
                <w:sz w:val="20"/>
                <w:szCs w:val="20"/>
              </w:rPr>
              <w:t>Not</w:t>
            </w:r>
            <w:proofErr w:type="spellEnd"/>
            <w:r w:rsidRPr="005076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076E4">
              <w:rPr>
                <w:rFonts w:ascii="Arial Narrow" w:hAnsi="Arial Narrow" w:cs="Arial"/>
                <w:sz w:val="20"/>
                <w:szCs w:val="20"/>
              </w:rPr>
              <w:t>satisfied</w:t>
            </w:r>
            <w:proofErr w:type="spellEnd"/>
            <w:r w:rsidRPr="005076E4">
              <w:rPr>
                <w:rFonts w:ascii="Arial Narrow" w:hAnsi="Arial Narrow" w:cs="Arial"/>
                <w:sz w:val="20"/>
                <w:szCs w:val="20"/>
              </w:rPr>
              <w:t xml:space="preserve"> n (%)</w:t>
            </w:r>
          </w:p>
        </w:tc>
        <w:tc>
          <w:tcPr>
            <w:tcW w:w="1142" w:type="dxa"/>
            <w:vAlign w:val="center"/>
            <w:hideMark/>
          </w:tcPr>
          <w:p w14:paraId="59049E10" w14:textId="77777777" w:rsidR="007A4DB6" w:rsidRPr="005076E4" w:rsidRDefault="007A4DB6" w:rsidP="00EE15BE">
            <w:pPr>
              <w:spacing w:after="16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5076E4">
              <w:rPr>
                <w:rFonts w:ascii="Arial Narrow" w:hAnsi="Arial Narrow" w:cs="Arial"/>
                <w:sz w:val="20"/>
                <w:szCs w:val="20"/>
              </w:rPr>
              <w:t>Tele n</w:t>
            </w:r>
          </w:p>
        </w:tc>
        <w:tc>
          <w:tcPr>
            <w:tcW w:w="1129" w:type="dxa"/>
            <w:vAlign w:val="center"/>
            <w:hideMark/>
          </w:tcPr>
          <w:p w14:paraId="2130A355" w14:textId="77777777" w:rsidR="007A4DB6" w:rsidRPr="005076E4" w:rsidRDefault="007A4DB6" w:rsidP="00EE15BE">
            <w:pPr>
              <w:spacing w:after="16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5076E4">
              <w:rPr>
                <w:rFonts w:ascii="Arial Narrow" w:hAnsi="Arial Narrow" w:cs="Arial"/>
                <w:sz w:val="20"/>
                <w:szCs w:val="20"/>
              </w:rPr>
              <w:t>Very</w:t>
            </w:r>
            <w:proofErr w:type="spellEnd"/>
            <w:r w:rsidRPr="005076E4">
              <w:rPr>
                <w:rFonts w:ascii="Arial Narrow" w:hAnsi="Arial Narrow" w:cs="Arial"/>
                <w:sz w:val="20"/>
                <w:szCs w:val="20"/>
              </w:rPr>
              <w:t xml:space="preserve"> sat n (%)</w:t>
            </w:r>
          </w:p>
        </w:tc>
        <w:tc>
          <w:tcPr>
            <w:tcW w:w="1550" w:type="dxa"/>
            <w:vAlign w:val="center"/>
            <w:hideMark/>
          </w:tcPr>
          <w:p w14:paraId="61F6AD59" w14:textId="77777777" w:rsidR="007A4DB6" w:rsidRPr="005076E4" w:rsidRDefault="007A4DB6" w:rsidP="00EE15BE">
            <w:pPr>
              <w:spacing w:after="16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5076E4">
              <w:rPr>
                <w:rFonts w:ascii="Arial Narrow" w:hAnsi="Arial Narrow" w:cs="Arial"/>
                <w:sz w:val="20"/>
                <w:szCs w:val="20"/>
              </w:rPr>
              <w:t>Quite sat n (%)</w:t>
            </w:r>
          </w:p>
        </w:tc>
        <w:tc>
          <w:tcPr>
            <w:tcW w:w="1432" w:type="dxa"/>
            <w:vAlign w:val="center"/>
            <w:hideMark/>
          </w:tcPr>
          <w:p w14:paraId="4F651562" w14:textId="77777777" w:rsidR="007A4DB6" w:rsidRPr="005076E4" w:rsidRDefault="007A4DB6" w:rsidP="00EE15BE">
            <w:pPr>
              <w:spacing w:after="16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5076E4">
              <w:rPr>
                <w:rFonts w:ascii="Arial Narrow" w:hAnsi="Arial Narrow" w:cs="Arial"/>
                <w:sz w:val="20"/>
                <w:szCs w:val="20"/>
              </w:rPr>
              <w:t>Not</w:t>
            </w:r>
            <w:proofErr w:type="spellEnd"/>
            <w:r w:rsidRPr="005076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076E4">
              <w:rPr>
                <w:rFonts w:ascii="Arial Narrow" w:hAnsi="Arial Narrow" w:cs="Arial"/>
                <w:sz w:val="20"/>
                <w:szCs w:val="20"/>
              </w:rPr>
              <w:t>satisfied</w:t>
            </w:r>
            <w:proofErr w:type="spellEnd"/>
            <w:r w:rsidRPr="005076E4">
              <w:rPr>
                <w:rFonts w:ascii="Arial Narrow" w:hAnsi="Arial Narrow" w:cs="Arial"/>
                <w:sz w:val="20"/>
                <w:szCs w:val="20"/>
              </w:rPr>
              <w:t xml:space="preserve"> n (%)</w:t>
            </w:r>
          </w:p>
        </w:tc>
      </w:tr>
      <w:tr w:rsidR="007A4DB6" w:rsidRPr="005076E4" w14:paraId="0E690536" w14:textId="77777777" w:rsidTr="00EE1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  <w:vAlign w:val="center"/>
            <w:hideMark/>
          </w:tcPr>
          <w:p w14:paraId="2E97A89A" w14:textId="77777777" w:rsidR="007A4DB6" w:rsidRPr="005076E4" w:rsidRDefault="007A4DB6" w:rsidP="00EE15BE">
            <w:pPr>
              <w:spacing w:after="16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076E4">
              <w:rPr>
                <w:rFonts w:ascii="Arial Narrow" w:hAnsi="Arial Narrow" w:cs="Arial"/>
                <w:sz w:val="20"/>
                <w:szCs w:val="20"/>
              </w:rPr>
              <w:t xml:space="preserve">Overall </w:t>
            </w:r>
            <w:proofErr w:type="spellStart"/>
            <w:r w:rsidRPr="005076E4">
              <w:rPr>
                <w:rFonts w:ascii="Arial Narrow" w:hAnsi="Arial Narrow" w:cs="Arial"/>
                <w:sz w:val="20"/>
                <w:szCs w:val="20"/>
              </w:rPr>
              <w:t>satisfaction</w:t>
            </w:r>
            <w:proofErr w:type="spellEnd"/>
          </w:p>
        </w:tc>
        <w:tc>
          <w:tcPr>
            <w:tcW w:w="990" w:type="dxa"/>
            <w:vAlign w:val="center"/>
            <w:hideMark/>
          </w:tcPr>
          <w:p w14:paraId="0B2BDA84" w14:textId="77777777" w:rsidR="007A4DB6" w:rsidRPr="005076E4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5076E4">
              <w:rPr>
                <w:rFonts w:ascii="Arial Narrow" w:hAnsi="Arial Narrow" w:cs="Arial"/>
                <w:sz w:val="20"/>
                <w:szCs w:val="20"/>
              </w:rPr>
              <w:t>136</w:t>
            </w:r>
          </w:p>
        </w:tc>
        <w:tc>
          <w:tcPr>
            <w:tcW w:w="1233" w:type="dxa"/>
            <w:vAlign w:val="center"/>
            <w:hideMark/>
          </w:tcPr>
          <w:p w14:paraId="2C6AA0C4" w14:textId="77777777" w:rsidR="007A4DB6" w:rsidRPr="005076E4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5076E4">
              <w:rPr>
                <w:rFonts w:ascii="Arial Narrow" w:hAnsi="Arial Narrow" w:cs="Arial"/>
                <w:sz w:val="20"/>
                <w:szCs w:val="20"/>
              </w:rPr>
              <w:t>35 (25.7)</w:t>
            </w:r>
          </w:p>
        </w:tc>
        <w:tc>
          <w:tcPr>
            <w:tcW w:w="1269" w:type="dxa"/>
            <w:vAlign w:val="center"/>
            <w:hideMark/>
          </w:tcPr>
          <w:p w14:paraId="11A65C7E" w14:textId="77777777" w:rsidR="007A4DB6" w:rsidRPr="005076E4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5076E4">
              <w:rPr>
                <w:rFonts w:ascii="Arial Narrow" w:hAnsi="Arial Narrow" w:cs="Arial"/>
                <w:sz w:val="20"/>
                <w:szCs w:val="20"/>
              </w:rPr>
              <w:t>39 (28.7)</w:t>
            </w:r>
          </w:p>
        </w:tc>
        <w:tc>
          <w:tcPr>
            <w:tcW w:w="1132" w:type="dxa"/>
            <w:vAlign w:val="center"/>
            <w:hideMark/>
          </w:tcPr>
          <w:p w14:paraId="363706B8" w14:textId="77777777" w:rsidR="007A4DB6" w:rsidRPr="005076E4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5076E4">
              <w:rPr>
                <w:rFonts w:ascii="Arial Narrow" w:hAnsi="Arial Narrow" w:cs="Arial"/>
                <w:sz w:val="20"/>
                <w:szCs w:val="20"/>
              </w:rPr>
              <w:t>14 (10.3)</w:t>
            </w:r>
          </w:p>
        </w:tc>
        <w:tc>
          <w:tcPr>
            <w:tcW w:w="1142" w:type="dxa"/>
            <w:vAlign w:val="center"/>
            <w:hideMark/>
          </w:tcPr>
          <w:p w14:paraId="78099C7A" w14:textId="77777777" w:rsidR="007A4DB6" w:rsidRPr="005076E4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5076E4">
              <w:rPr>
                <w:rFonts w:ascii="Arial Narrow" w:hAnsi="Arial Narrow" w:cs="Arial"/>
                <w:sz w:val="20"/>
                <w:szCs w:val="20"/>
              </w:rPr>
              <w:t>139</w:t>
            </w:r>
          </w:p>
        </w:tc>
        <w:tc>
          <w:tcPr>
            <w:tcW w:w="1129" w:type="dxa"/>
            <w:vAlign w:val="center"/>
            <w:hideMark/>
          </w:tcPr>
          <w:p w14:paraId="23C4FA25" w14:textId="77777777" w:rsidR="007A4DB6" w:rsidRPr="005076E4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5076E4">
              <w:rPr>
                <w:rFonts w:ascii="Arial Narrow" w:hAnsi="Arial Narrow" w:cs="Arial"/>
                <w:sz w:val="20"/>
                <w:szCs w:val="20"/>
              </w:rPr>
              <w:t>28 (20.1)</w:t>
            </w:r>
          </w:p>
        </w:tc>
        <w:tc>
          <w:tcPr>
            <w:tcW w:w="1550" w:type="dxa"/>
            <w:vAlign w:val="center"/>
            <w:hideMark/>
          </w:tcPr>
          <w:p w14:paraId="56BD20CD" w14:textId="77777777" w:rsidR="007A4DB6" w:rsidRPr="005076E4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5076E4">
              <w:rPr>
                <w:rFonts w:ascii="Arial Narrow" w:hAnsi="Arial Narrow" w:cs="Arial"/>
                <w:sz w:val="20"/>
                <w:szCs w:val="20"/>
              </w:rPr>
              <w:t>49 (35.3)</w:t>
            </w:r>
          </w:p>
        </w:tc>
        <w:tc>
          <w:tcPr>
            <w:tcW w:w="1432" w:type="dxa"/>
            <w:vAlign w:val="center"/>
            <w:hideMark/>
          </w:tcPr>
          <w:p w14:paraId="30A03DA1" w14:textId="77777777" w:rsidR="007A4DB6" w:rsidRPr="005076E4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5076E4">
              <w:rPr>
                <w:rFonts w:ascii="Arial Narrow" w:hAnsi="Arial Narrow" w:cs="Arial"/>
                <w:sz w:val="20"/>
                <w:szCs w:val="20"/>
              </w:rPr>
              <w:t>7 (5.0)</w:t>
            </w:r>
          </w:p>
        </w:tc>
      </w:tr>
      <w:tr w:rsidR="007A4DB6" w:rsidRPr="005076E4" w14:paraId="1CED9EC0" w14:textId="77777777" w:rsidTr="00EE15BE">
        <w:trPr>
          <w:trHeight w:val="9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  <w:vAlign w:val="center"/>
            <w:hideMark/>
          </w:tcPr>
          <w:p w14:paraId="6DF9932D" w14:textId="77777777" w:rsidR="007A4DB6" w:rsidRPr="005076E4" w:rsidRDefault="007A4DB6" w:rsidP="00EE15BE">
            <w:pPr>
              <w:spacing w:after="160" w:line="360" w:lineRule="auto"/>
              <w:jc w:val="center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</w:p>
          <w:p w14:paraId="1A9005C8" w14:textId="77777777" w:rsidR="007A4DB6" w:rsidRPr="005076E4" w:rsidRDefault="007A4DB6" w:rsidP="00EE15BE">
            <w:pPr>
              <w:spacing w:after="16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5076E4">
              <w:rPr>
                <w:rFonts w:ascii="Arial Narrow" w:hAnsi="Arial Narrow" w:cs="Arial"/>
                <w:sz w:val="20"/>
                <w:szCs w:val="20"/>
              </w:rPr>
              <w:t>Sleep</w:t>
            </w:r>
            <w:proofErr w:type="spellEnd"/>
          </w:p>
        </w:tc>
        <w:tc>
          <w:tcPr>
            <w:tcW w:w="990" w:type="dxa"/>
            <w:vAlign w:val="center"/>
            <w:hideMark/>
          </w:tcPr>
          <w:p w14:paraId="223A9ACE" w14:textId="77777777" w:rsidR="007A4DB6" w:rsidRPr="005076E4" w:rsidRDefault="007A4DB6" w:rsidP="00EE15BE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5076E4">
              <w:rPr>
                <w:rFonts w:ascii="Arial Narrow" w:hAnsi="Arial Narrow" w:cs="Arial"/>
                <w:sz w:val="20"/>
                <w:szCs w:val="20"/>
              </w:rPr>
              <w:t>136</w:t>
            </w:r>
          </w:p>
        </w:tc>
        <w:tc>
          <w:tcPr>
            <w:tcW w:w="1233" w:type="dxa"/>
            <w:vAlign w:val="center"/>
            <w:hideMark/>
          </w:tcPr>
          <w:p w14:paraId="3D519FD0" w14:textId="77777777" w:rsidR="007A4DB6" w:rsidRPr="005076E4" w:rsidRDefault="007A4DB6" w:rsidP="00EE15BE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5076E4">
              <w:rPr>
                <w:rFonts w:ascii="Arial Narrow" w:hAnsi="Arial Narrow" w:cs="Arial"/>
                <w:sz w:val="20"/>
                <w:szCs w:val="20"/>
              </w:rPr>
              <w:t>27 (19.9)</w:t>
            </w:r>
          </w:p>
        </w:tc>
        <w:tc>
          <w:tcPr>
            <w:tcW w:w="1269" w:type="dxa"/>
            <w:vAlign w:val="center"/>
            <w:hideMark/>
          </w:tcPr>
          <w:p w14:paraId="7F6CB345" w14:textId="77777777" w:rsidR="007A4DB6" w:rsidRPr="005076E4" w:rsidRDefault="007A4DB6" w:rsidP="00EE15BE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5076E4">
              <w:rPr>
                <w:rFonts w:ascii="Arial Narrow" w:hAnsi="Arial Narrow" w:cs="Arial"/>
                <w:sz w:val="20"/>
                <w:szCs w:val="20"/>
              </w:rPr>
              <w:t>21 (15.4)</w:t>
            </w:r>
          </w:p>
        </w:tc>
        <w:tc>
          <w:tcPr>
            <w:tcW w:w="1132" w:type="dxa"/>
            <w:vAlign w:val="center"/>
            <w:hideMark/>
          </w:tcPr>
          <w:p w14:paraId="08264D90" w14:textId="77777777" w:rsidR="007A4DB6" w:rsidRPr="005076E4" w:rsidRDefault="007A4DB6" w:rsidP="00EE15BE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5076E4">
              <w:rPr>
                <w:rFonts w:ascii="Arial Narrow" w:hAnsi="Arial Narrow" w:cs="Arial"/>
                <w:sz w:val="20"/>
                <w:szCs w:val="20"/>
              </w:rPr>
              <w:t>37 (27.2)</w:t>
            </w:r>
          </w:p>
        </w:tc>
        <w:tc>
          <w:tcPr>
            <w:tcW w:w="1142" w:type="dxa"/>
            <w:vAlign w:val="center"/>
            <w:hideMark/>
          </w:tcPr>
          <w:p w14:paraId="407A4B94" w14:textId="77777777" w:rsidR="007A4DB6" w:rsidRPr="005076E4" w:rsidRDefault="007A4DB6" w:rsidP="00EE15BE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5076E4">
              <w:rPr>
                <w:rFonts w:ascii="Arial Narrow" w:hAnsi="Arial Narrow" w:cs="Arial"/>
                <w:sz w:val="20"/>
                <w:szCs w:val="20"/>
              </w:rPr>
              <w:t>141</w:t>
            </w:r>
          </w:p>
        </w:tc>
        <w:tc>
          <w:tcPr>
            <w:tcW w:w="1129" w:type="dxa"/>
            <w:vAlign w:val="center"/>
            <w:hideMark/>
          </w:tcPr>
          <w:p w14:paraId="2EB2446F" w14:textId="77777777" w:rsidR="007A4DB6" w:rsidRPr="005076E4" w:rsidRDefault="007A4DB6" w:rsidP="00EE15BE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5076E4">
              <w:rPr>
                <w:rFonts w:ascii="Arial Narrow" w:hAnsi="Arial Narrow" w:cs="Arial"/>
                <w:sz w:val="20"/>
                <w:szCs w:val="20"/>
              </w:rPr>
              <w:t>37 (26.3)</w:t>
            </w:r>
          </w:p>
        </w:tc>
        <w:tc>
          <w:tcPr>
            <w:tcW w:w="1550" w:type="dxa"/>
            <w:vAlign w:val="center"/>
            <w:hideMark/>
          </w:tcPr>
          <w:p w14:paraId="07F81DBC" w14:textId="77777777" w:rsidR="007A4DB6" w:rsidRPr="005076E4" w:rsidRDefault="007A4DB6" w:rsidP="00EE15BE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5076E4">
              <w:rPr>
                <w:rFonts w:ascii="Arial Narrow" w:hAnsi="Arial Narrow" w:cs="Arial"/>
                <w:sz w:val="20"/>
                <w:szCs w:val="20"/>
              </w:rPr>
              <w:t>32 (22.6)</w:t>
            </w:r>
          </w:p>
        </w:tc>
        <w:tc>
          <w:tcPr>
            <w:tcW w:w="1432" w:type="dxa"/>
            <w:vAlign w:val="center"/>
            <w:hideMark/>
          </w:tcPr>
          <w:p w14:paraId="54996CBE" w14:textId="77777777" w:rsidR="007A4DB6" w:rsidRPr="005076E4" w:rsidRDefault="007A4DB6" w:rsidP="00EE15BE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5076E4">
              <w:rPr>
                <w:rFonts w:ascii="Arial Narrow" w:hAnsi="Arial Narrow" w:cs="Arial"/>
                <w:sz w:val="20"/>
                <w:szCs w:val="20"/>
              </w:rPr>
              <w:t>20 (14.2)</w:t>
            </w:r>
          </w:p>
        </w:tc>
      </w:tr>
      <w:tr w:rsidR="007A4DB6" w:rsidRPr="005076E4" w14:paraId="41A3678E" w14:textId="77777777" w:rsidTr="00EE1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  <w:vAlign w:val="center"/>
            <w:hideMark/>
          </w:tcPr>
          <w:p w14:paraId="62EFEA8A" w14:textId="77777777" w:rsidR="007A4DB6" w:rsidRPr="005076E4" w:rsidRDefault="007A4DB6" w:rsidP="00EE15BE">
            <w:pPr>
              <w:spacing w:after="160" w:line="360" w:lineRule="auto"/>
              <w:jc w:val="center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</w:p>
          <w:p w14:paraId="29059237" w14:textId="77777777" w:rsidR="007A4DB6" w:rsidRPr="005076E4" w:rsidRDefault="007A4DB6" w:rsidP="00EE15BE">
            <w:pPr>
              <w:spacing w:after="16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076E4">
              <w:rPr>
                <w:rFonts w:ascii="Arial Narrow" w:hAnsi="Arial Narrow" w:cs="Arial"/>
                <w:sz w:val="20"/>
                <w:szCs w:val="20"/>
              </w:rPr>
              <w:t xml:space="preserve">Social </w:t>
            </w:r>
            <w:proofErr w:type="spellStart"/>
            <w:r w:rsidRPr="005076E4">
              <w:rPr>
                <w:rFonts w:ascii="Arial Narrow" w:hAnsi="Arial Narrow" w:cs="Arial"/>
                <w:sz w:val="20"/>
                <w:szCs w:val="20"/>
              </w:rPr>
              <w:t>life</w:t>
            </w:r>
            <w:proofErr w:type="spellEnd"/>
          </w:p>
        </w:tc>
        <w:tc>
          <w:tcPr>
            <w:tcW w:w="990" w:type="dxa"/>
            <w:vAlign w:val="center"/>
            <w:hideMark/>
          </w:tcPr>
          <w:p w14:paraId="55C718E7" w14:textId="77777777" w:rsidR="007A4DB6" w:rsidRPr="005076E4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5076E4">
              <w:rPr>
                <w:rFonts w:ascii="Arial Narrow" w:hAnsi="Arial Narrow" w:cs="Arial"/>
                <w:sz w:val="20"/>
                <w:szCs w:val="20"/>
              </w:rPr>
              <w:t>134</w:t>
            </w:r>
          </w:p>
        </w:tc>
        <w:tc>
          <w:tcPr>
            <w:tcW w:w="1233" w:type="dxa"/>
            <w:vAlign w:val="center"/>
            <w:hideMark/>
          </w:tcPr>
          <w:p w14:paraId="5213365A" w14:textId="77777777" w:rsidR="007A4DB6" w:rsidRPr="005076E4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5076E4">
              <w:rPr>
                <w:rFonts w:ascii="Arial Narrow" w:hAnsi="Arial Narrow" w:cs="Arial"/>
                <w:sz w:val="20"/>
                <w:szCs w:val="20"/>
              </w:rPr>
              <w:t>53 (39.6)</w:t>
            </w:r>
          </w:p>
        </w:tc>
        <w:tc>
          <w:tcPr>
            <w:tcW w:w="1269" w:type="dxa"/>
            <w:vAlign w:val="center"/>
            <w:hideMark/>
          </w:tcPr>
          <w:p w14:paraId="4618EBC5" w14:textId="77777777" w:rsidR="007A4DB6" w:rsidRPr="005076E4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5076E4">
              <w:rPr>
                <w:rFonts w:ascii="Arial Narrow" w:hAnsi="Arial Narrow" w:cs="Arial"/>
                <w:sz w:val="20"/>
                <w:szCs w:val="20"/>
              </w:rPr>
              <w:t>35 (26.1)</w:t>
            </w:r>
          </w:p>
        </w:tc>
        <w:tc>
          <w:tcPr>
            <w:tcW w:w="1132" w:type="dxa"/>
            <w:vAlign w:val="center"/>
            <w:hideMark/>
          </w:tcPr>
          <w:p w14:paraId="4519AC93" w14:textId="77777777" w:rsidR="007A4DB6" w:rsidRPr="005076E4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5076E4">
              <w:rPr>
                <w:rFonts w:ascii="Arial Narrow" w:hAnsi="Arial Narrow" w:cs="Arial"/>
                <w:sz w:val="20"/>
                <w:szCs w:val="20"/>
              </w:rPr>
              <w:t>8 (6.0)</w:t>
            </w:r>
          </w:p>
        </w:tc>
        <w:tc>
          <w:tcPr>
            <w:tcW w:w="1142" w:type="dxa"/>
            <w:vAlign w:val="center"/>
            <w:hideMark/>
          </w:tcPr>
          <w:p w14:paraId="04FE4C3D" w14:textId="77777777" w:rsidR="007A4DB6" w:rsidRPr="005076E4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5076E4">
              <w:rPr>
                <w:rFonts w:ascii="Arial Narrow" w:hAnsi="Arial Narrow" w:cs="Arial"/>
                <w:sz w:val="20"/>
                <w:szCs w:val="20"/>
              </w:rPr>
              <w:t>137</w:t>
            </w:r>
          </w:p>
        </w:tc>
        <w:tc>
          <w:tcPr>
            <w:tcW w:w="1129" w:type="dxa"/>
            <w:vAlign w:val="center"/>
            <w:hideMark/>
          </w:tcPr>
          <w:p w14:paraId="2ABF628E" w14:textId="77777777" w:rsidR="007A4DB6" w:rsidRPr="005076E4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5076E4">
              <w:rPr>
                <w:rFonts w:ascii="Arial Narrow" w:hAnsi="Arial Narrow" w:cs="Arial"/>
                <w:sz w:val="20"/>
                <w:szCs w:val="20"/>
              </w:rPr>
              <w:t>45 (32.8)</w:t>
            </w:r>
          </w:p>
        </w:tc>
        <w:tc>
          <w:tcPr>
            <w:tcW w:w="1550" w:type="dxa"/>
            <w:vAlign w:val="center"/>
            <w:hideMark/>
          </w:tcPr>
          <w:p w14:paraId="0B34A360" w14:textId="77777777" w:rsidR="007A4DB6" w:rsidRPr="005076E4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5076E4">
              <w:rPr>
                <w:rFonts w:ascii="Arial Narrow" w:hAnsi="Arial Narrow" w:cs="Arial"/>
                <w:sz w:val="20"/>
                <w:szCs w:val="20"/>
              </w:rPr>
              <w:t>45 (32.8)</w:t>
            </w:r>
          </w:p>
        </w:tc>
        <w:tc>
          <w:tcPr>
            <w:tcW w:w="1432" w:type="dxa"/>
            <w:vAlign w:val="center"/>
            <w:hideMark/>
          </w:tcPr>
          <w:p w14:paraId="7D6C5FC8" w14:textId="77777777" w:rsidR="007A4DB6" w:rsidRPr="005076E4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5076E4">
              <w:rPr>
                <w:rFonts w:ascii="Arial Narrow" w:hAnsi="Arial Narrow" w:cs="Arial"/>
                <w:sz w:val="20"/>
                <w:szCs w:val="20"/>
              </w:rPr>
              <w:t>8 (5.8)</w:t>
            </w:r>
          </w:p>
        </w:tc>
      </w:tr>
      <w:tr w:rsidR="007A4DB6" w:rsidRPr="005076E4" w14:paraId="51DCBF73" w14:textId="77777777" w:rsidTr="00EE15BE">
        <w:trPr>
          <w:trHeight w:val="9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  <w:vAlign w:val="center"/>
            <w:hideMark/>
          </w:tcPr>
          <w:p w14:paraId="34C87BA4" w14:textId="77777777" w:rsidR="007A4DB6" w:rsidRPr="005076E4" w:rsidRDefault="007A4DB6" w:rsidP="00EE15BE">
            <w:pPr>
              <w:spacing w:after="160" w:line="360" w:lineRule="auto"/>
              <w:jc w:val="center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</w:p>
          <w:p w14:paraId="0A3C203E" w14:textId="77777777" w:rsidR="007A4DB6" w:rsidRPr="005076E4" w:rsidRDefault="007A4DB6" w:rsidP="00EE15BE">
            <w:pPr>
              <w:spacing w:after="16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076E4">
              <w:rPr>
                <w:rFonts w:ascii="Arial Narrow" w:hAnsi="Arial Narrow" w:cs="Arial"/>
                <w:sz w:val="20"/>
                <w:szCs w:val="20"/>
              </w:rPr>
              <w:t xml:space="preserve">Sexual </w:t>
            </w:r>
            <w:proofErr w:type="spellStart"/>
            <w:r w:rsidRPr="005076E4">
              <w:rPr>
                <w:rFonts w:ascii="Arial Narrow" w:hAnsi="Arial Narrow" w:cs="Arial"/>
                <w:sz w:val="20"/>
                <w:szCs w:val="20"/>
              </w:rPr>
              <w:t>life</w:t>
            </w:r>
            <w:proofErr w:type="spellEnd"/>
          </w:p>
        </w:tc>
        <w:tc>
          <w:tcPr>
            <w:tcW w:w="990" w:type="dxa"/>
            <w:vAlign w:val="center"/>
            <w:hideMark/>
          </w:tcPr>
          <w:p w14:paraId="3FAD9FF3" w14:textId="77777777" w:rsidR="007A4DB6" w:rsidRPr="005076E4" w:rsidRDefault="007A4DB6" w:rsidP="00EE15BE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5076E4">
              <w:rPr>
                <w:rFonts w:ascii="Arial Narrow" w:hAnsi="Arial Narrow" w:cs="Arial"/>
                <w:sz w:val="20"/>
                <w:szCs w:val="20"/>
              </w:rPr>
              <w:t>135</w:t>
            </w:r>
          </w:p>
        </w:tc>
        <w:tc>
          <w:tcPr>
            <w:tcW w:w="1233" w:type="dxa"/>
            <w:vAlign w:val="center"/>
            <w:hideMark/>
          </w:tcPr>
          <w:p w14:paraId="02DDF450" w14:textId="77777777" w:rsidR="007A4DB6" w:rsidRPr="005076E4" w:rsidRDefault="007A4DB6" w:rsidP="00EE15BE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5076E4">
              <w:rPr>
                <w:rFonts w:ascii="Arial Narrow" w:hAnsi="Arial Narrow" w:cs="Arial"/>
                <w:sz w:val="20"/>
                <w:szCs w:val="20"/>
              </w:rPr>
              <w:t>25 (18.5)</w:t>
            </w:r>
          </w:p>
        </w:tc>
        <w:tc>
          <w:tcPr>
            <w:tcW w:w="1269" w:type="dxa"/>
            <w:vAlign w:val="center"/>
            <w:hideMark/>
          </w:tcPr>
          <w:p w14:paraId="17F25C09" w14:textId="77777777" w:rsidR="007A4DB6" w:rsidRPr="005076E4" w:rsidRDefault="007A4DB6" w:rsidP="00EE15BE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5076E4">
              <w:rPr>
                <w:rFonts w:ascii="Arial Narrow" w:hAnsi="Arial Narrow" w:cs="Arial"/>
                <w:sz w:val="20"/>
                <w:szCs w:val="20"/>
              </w:rPr>
              <w:t>25 (18.5)</w:t>
            </w:r>
          </w:p>
        </w:tc>
        <w:tc>
          <w:tcPr>
            <w:tcW w:w="1132" w:type="dxa"/>
            <w:vAlign w:val="center"/>
            <w:hideMark/>
          </w:tcPr>
          <w:p w14:paraId="47C176E0" w14:textId="77777777" w:rsidR="007A4DB6" w:rsidRPr="005076E4" w:rsidRDefault="007A4DB6" w:rsidP="00EE15BE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5076E4">
              <w:rPr>
                <w:rFonts w:ascii="Arial Narrow" w:hAnsi="Arial Narrow" w:cs="Arial"/>
                <w:sz w:val="20"/>
                <w:szCs w:val="20"/>
              </w:rPr>
              <w:t>39 (28.9)</w:t>
            </w:r>
          </w:p>
        </w:tc>
        <w:tc>
          <w:tcPr>
            <w:tcW w:w="1142" w:type="dxa"/>
            <w:vAlign w:val="center"/>
            <w:hideMark/>
          </w:tcPr>
          <w:p w14:paraId="63FA434B" w14:textId="77777777" w:rsidR="007A4DB6" w:rsidRPr="005076E4" w:rsidRDefault="007A4DB6" w:rsidP="00EE15BE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5076E4">
              <w:rPr>
                <w:rFonts w:ascii="Arial Narrow" w:hAnsi="Arial Narrow" w:cs="Arial"/>
                <w:sz w:val="20"/>
                <w:szCs w:val="20"/>
              </w:rPr>
              <w:t>137</w:t>
            </w:r>
          </w:p>
        </w:tc>
        <w:tc>
          <w:tcPr>
            <w:tcW w:w="1129" w:type="dxa"/>
            <w:vAlign w:val="center"/>
            <w:hideMark/>
          </w:tcPr>
          <w:p w14:paraId="12F47EDF" w14:textId="77777777" w:rsidR="007A4DB6" w:rsidRPr="005076E4" w:rsidRDefault="007A4DB6" w:rsidP="00EE15BE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5076E4">
              <w:rPr>
                <w:rFonts w:ascii="Arial Narrow" w:hAnsi="Arial Narrow" w:cs="Arial"/>
                <w:sz w:val="20"/>
                <w:szCs w:val="20"/>
              </w:rPr>
              <w:t>23 (16.9)</w:t>
            </w:r>
          </w:p>
        </w:tc>
        <w:tc>
          <w:tcPr>
            <w:tcW w:w="1550" w:type="dxa"/>
            <w:vAlign w:val="center"/>
            <w:hideMark/>
          </w:tcPr>
          <w:p w14:paraId="48B3F6B2" w14:textId="77777777" w:rsidR="007A4DB6" w:rsidRPr="005076E4" w:rsidRDefault="007A4DB6" w:rsidP="00EE15BE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5076E4">
              <w:rPr>
                <w:rFonts w:ascii="Arial Narrow" w:hAnsi="Arial Narrow" w:cs="Arial"/>
                <w:sz w:val="20"/>
                <w:szCs w:val="20"/>
              </w:rPr>
              <w:t>25 (18.4)</w:t>
            </w:r>
          </w:p>
        </w:tc>
        <w:tc>
          <w:tcPr>
            <w:tcW w:w="1432" w:type="dxa"/>
            <w:vAlign w:val="center"/>
            <w:hideMark/>
          </w:tcPr>
          <w:p w14:paraId="3B0BE1A8" w14:textId="77777777" w:rsidR="007A4DB6" w:rsidRPr="005076E4" w:rsidRDefault="007A4DB6" w:rsidP="00EE15BE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5076E4">
              <w:rPr>
                <w:rFonts w:ascii="Arial Narrow" w:hAnsi="Arial Narrow" w:cs="Arial"/>
                <w:sz w:val="20"/>
                <w:szCs w:val="20"/>
              </w:rPr>
              <w:t>39 (28.5)</w:t>
            </w:r>
          </w:p>
        </w:tc>
      </w:tr>
      <w:tr w:rsidR="007A4DB6" w:rsidRPr="005076E4" w14:paraId="2AAECAF1" w14:textId="77777777" w:rsidTr="00EE1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  <w:vAlign w:val="center"/>
            <w:hideMark/>
          </w:tcPr>
          <w:p w14:paraId="1CA97B51" w14:textId="77777777" w:rsidR="007A4DB6" w:rsidRPr="005076E4" w:rsidRDefault="007A4DB6" w:rsidP="00EE15BE">
            <w:pPr>
              <w:spacing w:after="16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076E4">
              <w:rPr>
                <w:rFonts w:ascii="Arial Narrow" w:hAnsi="Arial Narrow" w:cs="Arial"/>
                <w:sz w:val="20"/>
                <w:szCs w:val="20"/>
              </w:rPr>
              <w:t xml:space="preserve">Daily </w:t>
            </w:r>
            <w:proofErr w:type="spellStart"/>
            <w:r w:rsidRPr="005076E4">
              <w:rPr>
                <w:rFonts w:ascii="Arial Narrow" w:hAnsi="Arial Narrow" w:cs="Arial"/>
                <w:sz w:val="20"/>
                <w:szCs w:val="20"/>
              </w:rPr>
              <w:t>activities</w:t>
            </w:r>
            <w:proofErr w:type="spellEnd"/>
            <w:r w:rsidRPr="005076E4">
              <w:rPr>
                <w:rFonts w:ascii="Arial Narrow" w:hAnsi="Arial Narrow" w:cs="Arial"/>
                <w:sz w:val="20"/>
                <w:szCs w:val="20"/>
              </w:rPr>
              <w:t>/</w:t>
            </w:r>
            <w:proofErr w:type="spellStart"/>
            <w:r w:rsidRPr="005076E4">
              <w:rPr>
                <w:rFonts w:ascii="Arial Narrow" w:hAnsi="Arial Narrow" w:cs="Arial"/>
                <w:sz w:val="20"/>
                <w:szCs w:val="20"/>
              </w:rPr>
              <w:t>work</w:t>
            </w:r>
            <w:proofErr w:type="spellEnd"/>
          </w:p>
        </w:tc>
        <w:tc>
          <w:tcPr>
            <w:tcW w:w="990" w:type="dxa"/>
            <w:vAlign w:val="center"/>
            <w:hideMark/>
          </w:tcPr>
          <w:p w14:paraId="2CEC926B" w14:textId="77777777" w:rsidR="007A4DB6" w:rsidRPr="005076E4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5076E4">
              <w:rPr>
                <w:rFonts w:ascii="Arial Narrow" w:hAnsi="Arial Narrow" w:cs="Arial"/>
                <w:sz w:val="20"/>
                <w:szCs w:val="20"/>
              </w:rPr>
              <w:t>136</w:t>
            </w:r>
          </w:p>
        </w:tc>
        <w:tc>
          <w:tcPr>
            <w:tcW w:w="1233" w:type="dxa"/>
            <w:vAlign w:val="center"/>
            <w:hideMark/>
          </w:tcPr>
          <w:p w14:paraId="0AB9CAFF" w14:textId="77777777" w:rsidR="007A4DB6" w:rsidRPr="005076E4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5076E4">
              <w:rPr>
                <w:rFonts w:ascii="Arial Narrow" w:hAnsi="Arial Narrow" w:cs="Arial"/>
                <w:sz w:val="20"/>
                <w:szCs w:val="20"/>
              </w:rPr>
              <w:t>39 (28.7)</w:t>
            </w:r>
          </w:p>
        </w:tc>
        <w:tc>
          <w:tcPr>
            <w:tcW w:w="1269" w:type="dxa"/>
            <w:vAlign w:val="center"/>
            <w:hideMark/>
          </w:tcPr>
          <w:p w14:paraId="14AD4DFD" w14:textId="77777777" w:rsidR="007A4DB6" w:rsidRPr="005076E4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5076E4">
              <w:rPr>
                <w:rFonts w:ascii="Arial Narrow" w:hAnsi="Arial Narrow" w:cs="Arial"/>
                <w:sz w:val="20"/>
                <w:szCs w:val="20"/>
              </w:rPr>
              <w:t>40 (29.4)</w:t>
            </w:r>
          </w:p>
        </w:tc>
        <w:tc>
          <w:tcPr>
            <w:tcW w:w="1132" w:type="dxa"/>
            <w:vAlign w:val="center"/>
            <w:hideMark/>
          </w:tcPr>
          <w:p w14:paraId="5795A2F9" w14:textId="77777777" w:rsidR="007A4DB6" w:rsidRPr="005076E4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5076E4">
              <w:rPr>
                <w:rFonts w:ascii="Arial Narrow" w:hAnsi="Arial Narrow" w:cs="Arial"/>
                <w:sz w:val="20"/>
                <w:szCs w:val="20"/>
              </w:rPr>
              <w:t>19 (14.0)</w:t>
            </w:r>
          </w:p>
        </w:tc>
        <w:tc>
          <w:tcPr>
            <w:tcW w:w="1142" w:type="dxa"/>
            <w:vAlign w:val="center"/>
            <w:hideMark/>
          </w:tcPr>
          <w:p w14:paraId="229A0FE9" w14:textId="77777777" w:rsidR="007A4DB6" w:rsidRPr="005076E4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5076E4">
              <w:rPr>
                <w:rFonts w:ascii="Arial Narrow" w:hAnsi="Arial Narrow" w:cs="Arial"/>
                <w:sz w:val="20"/>
                <w:szCs w:val="20"/>
              </w:rPr>
              <w:t>133</w:t>
            </w:r>
          </w:p>
        </w:tc>
        <w:tc>
          <w:tcPr>
            <w:tcW w:w="1129" w:type="dxa"/>
            <w:vAlign w:val="center"/>
            <w:hideMark/>
          </w:tcPr>
          <w:p w14:paraId="0B61353D" w14:textId="77777777" w:rsidR="007A4DB6" w:rsidRPr="005076E4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5076E4">
              <w:rPr>
                <w:rFonts w:ascii="Arial Narrow" w:hAnsi="Arial Narrow" w:cs="Arial"/>
                <w:sz w:val="20"/>
                <w:szCs w:val="20"/>
              </w:rPr>
              <w:t>35 (26.3)</w:t>
            </w:r>
          </w:p>
        </w:tc>
        <w:tc>
          <w:tcPr>
            <w:tcW w:w="1550" w:type="dxa"/>
            <w:vAlign w:val="center"/>
            <w:hideMark/>
          </w:tcPr>
          <w:p w14:paraId="2B44259A" w14:textId="77777777" w:rsidR="007A4DB6" w:rsidRPr="005076E4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5076E4">
              <w:rPr>
                <w:rFonts w:ascii="Arial Narrow" w:hAnsi="Arial Narrow" w:cs="Arial"/>
                <w:sz w:val="20"/>
                <w:szCs w:val="20"/>
              </w:rPr>
              <w:t>33 (24.8)</w:t>
            </w:r>
          </w:p>
        </w:tc>
        <w:tc>
          <w:tcPr>
            <w:tcW w:w="1432" w:type="dxa"/>
            <w:vAlign w:val="center"/>
            <w:hideMark/>
          </w:tcPr>
          <w:p w14:paraId="70634083" w14:textId="77777777" w:rsidR="007A4DB6" w:rsidRPr="005076E4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5076E4">
              <w:rPr>
                <w:rFonts w:ascii="Arial Narrow" w:hAnsi="Arial Narrow" w:cs="Arial"/>
                <w:sz w:val="20"/>
                <w:szCs w:val="20"/>
              </w:rPr>
              <w:t>17 (12.8)</w:t>
            </w:r>
          </w:p>
        </w:tc>
      </w:tr>
      <w:tr w:rsidR="007A4DB6" w:rsidRPr="005076E4" w14:paraId="58FE9EB7" w14:textId="77777777" w:rsidTr="00EE15BE">
        <w:trPr>
          <w:trHeight w:val="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  <w:vAlign w:val="center"/>
            <w:hideMark/>
          </w:tcPr>
          <w:p w14:paraId="0EAC4204" w14:textId="77777777" w:rsidR="007A4DB6" w:rsidRPr="005076E4" w:rsidRDefault="007A4DB6" w:rsidP="00EE15BE">
            <w:pPr>
              <w:spacing w:after="160" w:line="360" w:lineRule="auto"/>
              <w:jc w:val="center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</w:p>
          <w:p w14:paraId="016D4B5B" w14:textId="77777777" w:rsidR="007A4DB6" w:rsidRPr="005076E4" w:rsidRDefault="007A4DB6" w:rsidP="00EE15BE">
            <w:pPr>
              <w:spacing w:after="16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076E4">
              <w:rPr>
                <w:rFonts w:ascii="Arial Narrow" w:hAnsi="Arial Narrow" w:cs="Arial"/>
                <w:sz w:val="20"/>
                <w:szCs w:val="20"/>
              </w:rPr>
              <w:t xml:space="preserve">Body </w:t>
            </w:r>
            <w:proofErr w:type="spellStart"/>
            <w:r w:rsidRPr="005076E4">
              <w:rPr>
                <w:rFonts w:ascii="Arial Narrow" w:hAnsi="Arial Narrow" w:cs="Arial"/>
                <w:sz w:val="20"/>
                <w:szCs w:val="20"/>
              </w:rPr>
              <w:t>image</w:t>
            </w:r>
            <w:proofErr w:type="spellEnd"/>
          </w:p>
        </w:tc>
        <w:tc>
          <w:tcPr>
            <w:tcW w:w="990" w:type="dxa"/>
            <w:vAlign w:val="center"/>
            <w:hideMark/>
          </w:tcPr>
          <w:p w14:paraId="58F08280" w14:textId="77777777" w:rsidR="007A4DB6" w:rsidRPr="005076E4" w:rsidRDefault="007A4DB6" w:rsidP="00EE15BE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5076E4">
              <w:rPr>
                <w:rFonts w:ascii="Arial Narrow" w:hAnsi="Arial Narrow" w:cs="Arial"/>
                <w:sz w:val="20"/>
                <w:szCs w:val="20"/>
              </w:rPr>
              <w:t>137</w:t>
            </w:r>
          </w:p>
        </w:tc>
        <w:tc>
          <w:tcPr>
            <w:tcW w:w="1233" w:type="dxa"/>
            <w:vAlign w:val="center"/>
            <w:hideMark/>
          </w:tcPr>
          <w:p w14:paraId="1DCB5B4B" w14:textId="77777777" w:rsidR="007A4DB6" w:rsidRPr="005076E4" w:rsidRDefault="007A4DB6" w:rsidP="00EE15BE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5076E4">
              <w:rPr>
                <w:rFonts w:ascii="Arial Narrow" w:hAnsi="Arial Narrow" w:cs="Arial"/>
                <w:sz w:val="20"/>
                <w:szCs w:val="20"/>
              </w:rPr>
              <w:t>22 (16.3)</w:t>
            </w:r>
          </w:p>
        </w:tc>
        <w:tc>
          <w:tcPr>
            <w:tcW w:w="1269" w:type="dxa"/>
            <w:vAlign w:val="center"/>
            <w:hideMark/>
          </w:tcPr>
          <w:p w14:paraId="1D7A15AE" w14:textId="77777777" w:rsidR="007A4DB6" w:rsidRPr="005076E4" w:rsidRDefault="007A4DB6" w:rsidP="00EE15BE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5076E4">
              <w:rPr>
                <w:rFonts w:ascii="Arial Narrow" w:hAnsi="Arial Narrow" w:cs="Arial"/>
                <w:sz w:val="20"/>
                <w:szCs w:val="20"/>
              </w:rPr>
              <w:t>18 (13.3)</w:t>
            </w:r>
          </w:p>
        </w:tc>
        <w:tc>
          <w:tcPr>
            <w:tcW w:w="1132" w:type="dxa"/>
            <w:vAlign w:val="center"/>
            <w:hideMark/>
          </w:tcPr>
          <w:p w14:paraId="6F9E67FC" w14:textId="77777777" w:rsidR="007A4DB6" w:rsidRPr="005076E4" w:rsidRDefault="007A4DB6" w:rsidP="00EE15BE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5076E4">
              <w:rPr>
                <w:rFonts w:ascii="Arial Narrow" w:hAnsi="Arial Narrow" w:cs="Arial"/>
                <w:sz w:val="20"/>
                <w:szCs w:val="20"/>
              </w:rPr>
              <w:t>29 (21.2)</w:t>
            </w:r>
          </w:p>
        </w:tc>
        <w:tc>
          <w:tcPr>
            <w:tcW w:w="1142" w:type="dxa"/>
            <w:vAlign w:val="center"/>
            <w:hideMark/>
          </w:tcPr>
          <w:p w14:paraId="2B081C18" w14:textId="77777777" w:rsidR="007A4DB6" w:rsidRPr="005076E4" w:rsidRDefault="007A4DB6" w:rsidP="00EE15BE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5076E4">
              <w:rPr>
                <w:rFonts w:ascii="Arial Narrow" w:hAnsi="Arial Narrow" w:cs="Arial"/>
                <w:sz w:val="20"/>
                <w:szCs w:val="20"/>
              </w:rPr>
              <w:t>132</w:t>
            </w:r>
          </w:p>
        </w:tc>
        <w:tc>
          <w:tcPr>
            <w:tcW w:w="1129" w:type="dxa"/>
            <w:vAlign w:val="center"/>
            <w:hideMark/>
          </w:tcPr>
          <w:p w14:paraId="712A8DC5" w14:textId="77777777" w:rsidR="007A4DB6" w:rsidRPr="005076E4" w:rsidRDefault="007A4DB6" w:rsidP="00EE15BE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5076E4">
              <w:rPr>
                <w:rFonts w:ascii="Arial Narrow" w:hAnsi="Arial Narrow" w:cs="Arial"/>
                <w:sz w:val="20"/>
                <w:szCs w:val="20"/>
              </w:rPr>
              <w:t>20 (15.2)</w:t>
            </w:r>
          </w:p>
        </w:tc>
        <w:tc>
          <w:tcPr>
            <w:tcW w:w="1550" w:type="dxa"/>
            <w:vAlign w:val="center"/>
            <w:hideMark/>
          </w:tcPr>
          <w:p w14:paraId="088DC298" w14:textId="77777777" w:rsidR="007A4DB6" w:rsidRPr="005076E4" w:rsidRDefault="007A4DB6" w:rsidP="00EE15BE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5076E4">
              <w:rPr>
                <w:rFonts w:ascii="Arial Narrow" w:hAnsi="Arial Narrow" w:cs="Arial"/>
                <w:sz w:val="20"/>
                <w:szCs w:val="20"/>
              </w:rPr>
              <w:t>27 (20.3)</w:t>
            </w:r>
          </w:p>
        </w:tc>
        <w:tc>
          <w:tcPr>
            <w:tcW w:w="1432" w:type="dxa"/>
            <w:vAlign w:val="center"/>
            <w:hideMark/>
          </w:tcPr>
          <w:p w14:paraId="416EF6CB" w14:textId="77777777" w:rsidR="007A4DB6" w:rsidRPr="005076E4" w:rsidRDefault="007A4DB6" w:rsidP="00EE15BE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5076E4">
              <w:rPr>
                <w:rFonts w:ascii="Arial Narrow" w:hAnsi="Arial Narrow" w:cs="Arial"/>
                <w:sz w:val="20"/>
                <w:szCs w:val="20"/>
              </w:rPr>
              <w:t>25 (18.9)</w:t>
            </w:r>
          </w:p>
        </w:tc>
      </w:tr>
      <w:tr w:rsidR="007A4DB6" w:rsidRPr="005076E4" w14:paraId="22CA2831" w14:textId="77777777" w:rsidTr="00EE1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  <w:vAlign w:val="center"/>
            <w:hideMark/>
          </w:tcPr>
          <w:p w14:paraId="3B1BAB92" w14:textId="77777777" w:rsidR="007A4DB6" w:rsidRPr="005076E4" w:rsidRDefault="007A4DB6" w:rsidP="00EE15BE">
            <w:pPr>
              <w:spacing w:after="160" w:line="360" w:lineRule="auto"/>
              <w:jc w:val="center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</w:p>
          <w:p w14:paraId="2F91D8C1" w14:textId="77777777" w:rsidR="007A4DB6" w:rsidRPr="005076E4" w:rsidRDefault="007A4DB6" w:rsidP="00EE15BE">
            <w:pPr>
              <w:spacing w:after="16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5076E4">
              <w:rPr>
                <w:rFonts w:ascii="Arial Narrow" w:hAnsi="Arial Narrow" w:cs="Arial"/>
                <w:sz w:val="20"/>
                <w:szCs w:val="20"/>
              </w:rPr>
              <w:t>Physical</w:t>
            </w:r>
            <w:proofErr w:type="spellEnd"/>
            <w:r w:rsidRPr="005076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076E4">
              <w:rPr>
                <w:rFonts w:ascii="Arial Narrow" w:hAnsi="Arial Narrow" w:cs="Arial"/>
                <w:sz w:val="20"/>
                <w:szCs w:val="20"/>
              </w:rPr>
              <w:t>exercise</w:t>
            </w:r>
            <w:proofErr w:type="spellEnd"/>
          </w:p>
        </w:tc>
        <w:tc>
          <w:tcPr>
            <w:tcW w:w="990" w:type="dxa"/>
            <w:vAlign w:val="center"/>
            <w:hideMark/>
          </w:tcPr>
          <w:p w14:paraId="0935405B" w14:textId="77777777" w:rsidR="007A4DB6" w:rsidRPr="005076E4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5076E4">
              <w:rPr>
                <w:rFonts w:ascii="Arial Narrow" w:hAnsi="Arial Narrow" w:cs="Arial"/>
                <w:sz w:val="20"/>
                <w:szCs w:val="20"/>
              </w:rPr>
              <w:t>134</w:t>
            </w:r>
          </w:p>
        </w:tc>
        <w:tc>
          <w:tcPr>
            <w:tcW w:w="1233" w:type="dxa"/>
            <w:vAlign w:val="center"/>
            <w:hideMark/>
          </w:tcPr>
          <w:p w14:paraId="5AF2872C" w14:textId="77777777" w:rsidR="007A4DB6" w:rsidRPr="005076E4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5076E4">
              <w:rPr>
                <w:rFonts w:ascii="Arial Narrow" w:hAnsi="Arial Narrow" w:cs="Arial"/>
                <w:sz w:val="20"/>
                <w:szCs w:val="20"/>
              </w:rPr>
              <w:t>13 (9.7)</w:t>
            </w:r>
          </w:p>
        </w:tc>
        <w:tc>
          <w:tcPr>
            <w:tcW w:w="1269" w:type="dxa"/>
            <w:vAlign w:val="center"/>
            <w:hideMark/>
          </w:tcPr>
          <w:p w14:paraId="253891F5" w14:textId="77777777" w:rsidR="007A4DB6" w:rsidRPr="005076E4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5076E4">
              <w:rPr>
                <w:rFonts w:ascii="Arial Narrow" w:hAnsi="Arial Narrow" w:cs="Arial"/>
                <w:sz w:val="20"/>
                <w:szCs w:val="20"/>
              </w:rPr>
              <w:t>23 (17.2)</w:t>
            </w:r>
          </w:p>
        </w:tc>
        <w:tc>
          <w:tcPr>
            <w:tcW w:w="1132" w:type="dxa"/>
            <w:vAlign w:val="center"/>
            <w:hideMark/>
          </w:tcPr>
          <w:p w14:paraId="064417DC" w14:textId="77777777" w:rsidR="007A4DB6" w:rsidRPr="005076E4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5076E4">
              <w:rPr>
                <w:rFonts w:ascii="Arial Narrow" w:hAnsi="Arial Narrow" w:cs="Arial"/>
                <w:sz w:val="20"/>
                <w:szCs w:val="20"/>
              </w:rPr>
              <w:t>42 (31.3)</w:t>
            </w:r>
          </w:p>
        </w:tc>
        <w:tc>
          <w:tcPr>
            <w:tcW w:w="1142" w:type="dxa"/>
            <w:vAlign w:val="center"/>
            <w:hideMark/>
          </w:tcPr>
          <w:p w14:paraId="7D53FAB5" w14:textId="77777777" w:rsidR="007A4DB6" w:rsidRPr="005076E4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5076E4">
              <w:rPr>
                <w:rFonts w:ascii="Arial Narrow" w:hAnsi="Arial Narrow" w:cs="Arial"/>
                <w:sz w:val="20"/>
                <w:szCs w:val="20"/>
              </w:rPr>
              <w:t>138</w:t>
            </w:r>
          </w:p>
        </w:tc>
        <w:tc>
          <w:tcPr>
            <w:tcW w:w="1129" w:type="dxa"/>
            <w:vAlign w:val="center"/>
            <w:hideMark/>
          </w:tcPr>
          <w:p w14:paraId="19C5DCE7" w14:textId="77777777" w:rsidR="007A4DB6" w:rsidRPr="005076E4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5076E4">
              <w:rPr>
                <w:rFonts w:ascii="Arial Narrow" w:hAnsi="Arial Narrow" w:cs="Arial"/>
                <w:sz w:val="20"/>
                <w:szCs w:val="20"/>
              </w:rPr>
              <w:t>16 (11.6)</w:t>
            </w:r>
          </w:p>
        </w:tc>
        <w:tc>
          <w:tcPr>
            <w:tcW w:w="1550" w:type="dxa"/>
            <w:vAlign w:val="center"/>
            <w:hideMark/>
          </w:tcPr>
          <w:p w14:paraId="56B85A2A" w14:textId="77777777" w:rsidR="007A4DB6" w:rsidRPr="005076E4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5076E4">
              <w:rPr>
                <w:rFonts w:ascii="Arial Narrow" w:hAnsi="Arial Narrow" w:cs="Arial"/>
                <w:sz w:val="20"/>
                <w:szCs w:val="20"/>
              </w:rPr>
              <w:t>17 (12.3)</w:t>
            </w:r>
          </w:p>
        </w:tc>
        <w:tc>
          <w:tcPr>
            <w:tcW w:w="1432" w:type="dxa"/>
            <w:vAlign w:val="center"/>
            <w:hideMark/>
          </w:tcPr>
          <w:p w14:paraId="7967EBB3" w14:textId="77777777" w:rsidR="007A4DB6" w:rsidRPr="005076E4" w:rsidRDefault="007A4DB6" w:rsidP="00EE15BE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  <w:r w:rsidRPr="005076E4">
              <w:rPr>
                <w:rFonts w:ascii="Arial Narrow" w:hAnsi="Arial Narrow" w:cs="Arial"/>
                <w:sz w:val="20"/>
                <w:szCs w:val="20"/>
              </w:rPr>
              <w:t>41 (29.7)</w:t>
            </w:r>
          </w:p>
        </w:tc>
      </w:tr>
    </w:tbl>
    <w:p w14:paraId="4074A483" w14:textId="77777777" w:rsidR="007A4DB6" w:rsidRPr="000D59D5" w:rsidRDefault="007A4DB6" w:rsidP="007A4DB6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  <w:lang w:val="en-US"/>
        </w:rPr>
      </w:pPr>
      <w:r w:rsidRPr="000D59D5">
        <w:rPr>
          <w:rFonts w:ascii="Arial" w:hAnsi="Arial" w:cs="Arial"/>
          <w:b/>
          <w:bCs/>
          <w:i/>
          <w:iCs/>
          <w:sz w:val="16"/>
          <w:szCs w:val="16"/>
          <w:lang w:val="en-US"/>
        </w:rPr>
        <w:t xml:space="preserve">Legend. </w:t>
      </w:r>
      <w:r w:rsidRPr="000D59D5">
        <w:rPr>
          <w:rFonts w:ascii="Arial" w:hAnsi="Arial" w:cs="Arial"/>
          <w:i/>
          <w:iCs/>
          <w:sz w:val="16"/>
          <w:szCs w:val="16"/>
          <w:lang w:val="en-US"/>
        </w:rPr>
        <w:t xml:space="preserve">sat = satisfaction; tele = teleconsultation; n = number of respondents for that domain/arm. "Not satisfied" corresponds to "Not satisfied at all" on the 5-point Likert scale. Percentages are within-arm, within-domain. Domain-specific denominators vary due to item nonresponse. Multiplicity control applied using Benjamini-Hochberg FDR (q=0.05). </w:t>
      </w:r>
    </w:p>
    <w:p w14:paraId="55D7FEB8" w14:textId="77777777" w:rsidR="007A4DB6" w:rsidRPr="000D59D5" w:rsidRDefault="007A4DB6" w:rsidP="007A4DB6">
      <w:pPr>
        <w:rPr>
          <w:b/>
          <w:bCs/>
          <w:sz w:val="20"/>
          <w:szCs w:val="20"/>
          <w:lang w:val="en-US"/>
        </w:rPr>
      </w:pPr>
    </w:p>
    <w:p w14:paraId="0D23F3AB" w14:textId="77777777" w:rsidR="00305196" w:rsidRDefault="00305196"/>
    <w:sectPr w:rsidR="00305196" w:rsidSect="007A4DB6">
      <w:headerReference w:type="default" r:id="rId5"/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7853397"/>
      <w:docPartObj>
        <w:docPartGallery w:val="Page Numbers (Top of Page)"/>
        <w:docPartUnique/>
      </w:docPartObj>
    </w:sdtPr>
    <w:sdtContent>
      <w:p w14:paraId="5A53BD79" w14:textId="77777777" w:rsidR="00000000" w:rsidRDefault="00000000" w:rsidP="00D75908">
        <w:pPr>
          <w:pStyle w:val="Cabealho"/>
          <w:ind w:left="720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PT"/>
          </w:rPr>
          <w:t>2</w:t>
        </w:r>
        <w:r>
          <w:fldChar w:fldCharType="end"/>
        </w:r>
      </w:p>
    </w:sdtContent>
  </w:sdt>
  <w:p w14:paraId="5998A29F" w14:textId="77777777" w:rsidR="00000000" w:rsidRDefault="000000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B729B"/>
    <w:multiLevelType w:val="multilevel"/>
    <w:tmpl w:val="EE722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EB6CAC"/>
    <w:multiLevelType w:val="multilevel"/>
    <w:tmpl w:val="C4DCD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F218CF"/>
    <w:multiLevelType w:val="multilevel"/>
    <w:tmpl w:val="D28CD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9445037">
    <w:abstractNumId w:val="0"/>
  </w:num>
  <w:num w:numId="2" w16cid:durableId="1454203751">
    <w:abstractNumId w:val="2"/>
  </w:num>
  <w:num w:numId="3" w16cid:durableId="1028794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DB6"/>
    <w:rsid w:val="00305196"/>
    <w:rsid w:val="004E7AE7"/>
    <w:rsid w:val="005A3A6D"/>
    <w:rsid w:val="00665635"/>
    <w:rsid w:val="007A4DB6"/>
    <w:rsid w:val="007F6462"/>
    <w:rsid w:val="00921A90"/>
    <w:rsid w:val="009567C5"/>
    <w:rsid w:val="00DF5A63"/>
    <w:rsid w:val="00E3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B9AF97"/>
  <w15:chartTrackingRefBased/>
  <w15:docId w15:val="{EF55FABF-5CE6-4174-B1AC-35560355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DB6"/>
  </w:style>
  <w:style w:type="paragraph" w:styleId="Ttulo1">
    <w:name w:val="heading 1"/>
    <w:basedOn w:val="Normal"/>
    <w:next w:val="Normal"/>
    <w:link w:val="Ttulo1Char"/>
    <w:uiPriority w:val="9"/>
    <w:qFormat/>
    <w:rsid w:val="007A4D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A4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4D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4D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A4D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A4D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4D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4D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4D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4D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A4D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A4D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A4D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A4DB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A4D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A4DB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A4D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A4D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A4D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A4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4D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A4D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A4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A4DB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A4DB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A4DB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4D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4DB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A4DB6"/>
    <w:rPr>
      <w:b/>
      <w:bCs/>
      <w:smallCaps/>
      <w:color w:val="0F4761" w:themeColor="accent1" w:themeShade="BF"/>
      <w:spacing w:val="5"/>
    </w:rPr>
  </w:style>
  <w:style w:type="table" w:styleId="SimplesTabela1">
    <w:name w:val="Plain Table 1"/>
    <w:basedOn w:val="Tabelanormal"/>
    <w:uiPriority w:val="41"/>
    <w:rsid w:val="007A4DB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7A4DB6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elaSimples4">
    <w:name w:val="Plain Table 4"/>
    <w:basedOn w:val="Tabelanormal"/>
    <w:uiPriority w:val="44"/>
    <w:rsid w:val="007A4DB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bealho">
    <w:name w:val="header"/>
    <w:basedOn w:val="Normal"/>
    <w:link w:val="CabealhoChar"/>
    <w:uiPriority w:val="99"/>
    <w:unhideWhenUsed/>
    <w:rsid w:val="007A4D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4DB6"/>
  </w:style>
  <w:style w:type="character" w:styleId="Nmerodelinha">
    <w:name w:val="line number"/>
    <w:basedOn w:val="Fontepargpadro"/>
    <w:uiPriority w:val="99"/>
    <w:semiHidden/>
    <w:unhideWhenUsed/>
    <w:rsid w:val="007A4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1312</Words>
  <Characters>8205</Characters>
  <Application>Microsoft Office Word</Application>
  <DocSecurity>0</DocSecurity>
  <Lines>170</Lines>
  <Paragraphs>79</Paragraphs>
  <ScaleCrop>false</ScaleCrop>
  <Company/>
  <LinksUpToDate>false</LinksUpToDate>
  <CharactersWithSpaces>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Laranja Gomes Rodrigues</dc:creator>
  <cp:keywords/>
  <dc:description/>
  <cp:lastModifiedBy>Daniela Laranja Gomes Rodrigues</cp:lastModifiedBy>
  <cp:revision>1</cp:revision>
  <dcterms:created xsi:type="dcterms:W3CDTF">2025-11-10T15:14:00Z</dcterms:created>
  <dcterms:modified xsi:type="dcterms:W3CDTF">2025-11-10T15:14:00Z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b8a66cc9-e960-4678-b57c-dae6fc4bb40f</vt:lpwstr>
  </property>
</Properties>
</file>