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B4069" w14:textId="77777777" w:rsidR="007D3066" w:rsidRPr="00934A31" w:rsidRDefault="007D3066" w:rsidP="007D3066">
      <w:pPr>
        <w:spacing w:before="100" w:beforeAutospacing="1" w:after="100" w:afterAutospacing="1" w:line="480" w:lineRule="auto"/>
        <w:ind w:firstLine="36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val="en-US" w:eastAsia="pt-BR"/>
          <w14:ligatures w14:val="none"/>
        </w:rPr>
      </w:pPr>
      <w:r w:rsidRPr="00934A31">
        <w:rPr>
          <w:rFonts w:ascii="Arial" w:eastAsia="Times New Roman" w:hAnsi="Arial" w:cs="Arial"/>
          <w:b/>
          <w:bCs/>
          <w:kern w:val="0"/>
          <w:sz w:val="20"/>
          <w:szCs w:val="20"/>
          <w:lang w:val="en-US" w:eastAsia="pt-BR"/>
          <w14:ligatures w14:val="none"/>
        </w:rPr>
        <w:t>Table 2. Patient-reported satisfaction outcomes by treatment arm</w:t>
      </w:r>
    </w:p>
    <w:tbl>
      <w:tblPr>
        <w:tblStyle w:val="SimplesTabela1"/>
        <w:tblW w:w="10626" w:type="dxa"/>
        <w:tblInd w:w="-998" w:type="dxa"/>
        <w:tblLook w:val="04A0" w:firstRow="1" w:lastRow="0" w:firstColumn="1" w:lastColumn="0" w:noHBand="0" w:noVBand="1"/>
      </w:tblPr>
      <w:tblGrid>
        <w:gridCol w:w="1734"/>
        <w:gridCol w:w="2089"/>
        <w:gridCol w:w="2126"/>
        <w:gridCol w:w="1843"/>
        <w:gridCol w:w="1417"/>
        <w:gridCol w:w="1417"/>
      </w:tblGrid>
      <w:tr w:rsidR="007D3066" w:rsidRPr="00830BEC" w14:paraId="0053F838" w14:textId="77777777" w:rsidTr="00EE1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</w:tcPr>
          <w:p w14:paraId="60C2FD9E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US" w:eastAsia="pt-BR"/>
              </w:rPr>
            </w:pPr>
            <w:r w:rsidRPr="00830BEC">
              <w:rPr>
                <w:rFonts w:ascii="Arial" w:hAnsi="Arial" w:cs="Arial"/>
                <w:sz w:val="20"/>
                <w:szCs w:val="20"/>
                <w:lang w:val="en-US" w:eastAsia="pt-BR"/>
              </w:rPr>
              <w:t>Domain</w:t>
            </w:r>
          </w:p>
        </w:tc>
        <w:tc>
          <w:tcPr>
            <w:tcW w:w="2089" w:type="dxa"/>
          </w:tcPr>
          <w:p w14:paraId="338891CE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en-US" w:eastAsia="pt-BR"/>
              </w:rPr>
            </w:pPr>
            <w:r w:rsidRPr="00830BEC">
              <w:rPr>
                <w:rFonts w:ascii="Arial" w:hAnsi="Arial" w:cs="Arial"/>
                <w:sz w:val="20"/>
                <w:szCs w:val="20"/>
                <w:lang w:val="en-US" w:eastAsia="pt-BR"/>
              </w:rPr>
              <w:t>In-person</w:t>
            </w:r>
          </w:p>
          <w:p w14:paraId="194E6BE6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en-US" w:eastAsia="pt-BR"/>
              </w:rPr>
            </w:pPr>
            <w:r w:rsidRPr="00830BEC">
              <w:rPr>
                <w:rFonts w:ascii="Arial" w:hAnsi="Arial" w:cs="Arial"/>
                <w:sz w:val="20"/>
                <w:szCs w:val="20"/>
                <w:lang w:val="en-US" w:eastAsia="pt-BR"/>
              </w:rPr>
              <w:t>Not sat n (%)</w:t>
            </w:r>
          </w:p>
        </w:tc>
        <w:tc>
          <w:tcPr>
            <w:tcW w:w="2126" w:type="dxa"/>
          </w:tcPr>
          <w:p w14:paraId="708E04C8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en-US" w:eastAsia="pt-BR"/>
              </w:rPr>
            </w:pPr>
            <w:r w:rsidRPr="00830BEC">
              <w:rPr>
                <w:rFonts w:ascii="Arial" w:hAnsi="Arial" w:cs="Arial"/>
                <w:sz w:val="20"/>
                <w:szCs w:val="20"/>
                <w:lang w:val="en-US" w:eastAsia="pt-BR"/>
              </w:rPr>
              <w:t>Teleconsultation</w:t>
            </w:r>
          </w:p>
          <w:p w14:paraId="135A6FA2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en-US" w:eastAsia="pt-BR"/>
              </w:rPr>
            </w:pPr>
            <w:r w:rsidRPr="00830BEC">
              <w:rPr>
                <w:rFonts w:ascii="Arial" w:hAnsi="Arial" w:cs="Arial"/>
                <w:sz w:val="20"/>
                <w:szCs w:val="20"/>
                <w:lang w:val="en-US" w:eastAsia="pt-BR"/>
              </w:rPr>
              <w:t>Not sat n (%)</w:t>
            </w:r>
          </w:p>
        </w:tc>
        <w:tc>
          <w:tcPr>
            <w:tcW w:w="1843" w:type="dxa"/>
          </w:tcPr>
          <w:p w14:paraId="0F7960D0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en-US" w:eastAsia="pt-BR"/>
              </w:rPr>
            </w:pPr>
            <w:r w:rsidRPr="00830BEC">
              <w:rPr>
                <w:rFonts w:ascii="Arial" w:hAnsi="Arial" w:cs="Arial"/>
                <w:sz w:val="20"/>
                <w:szCs w:val="20"/>
                <w:lang w:val="en-US" w:eastAsia="pt-BR"/>
              </w:rPr>
              <w:t>Risk Ratio</w:t>
            </w:r>
          </w:p>
          <w:p w14:paraId="3E83BF90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en-US" w:eastAsia="pt-BR"/>
              </w:rPr>
            </w:pPr>
            <w:r w:rsidRPr="00830BEC">
              <w:rPr>
                <w:rFonts w:ascii="Arial" w:hAnsi="Arial" w:cs="Arial"/>
                <w:sz w:val="20"/>
                <w:szCs w:val="20"/>
                <w:lang w:val="en-US" w:eastAsia="pt-BR"/>
              </w:rPr>
              <w:t>(95% CI)</w:t>
            </w:r>
          </w:p>
        </w:tc>
        <w:tc>
          <w:tcPr>
            <w:tcW w:w="1417" w:type="dxa"/>
          </w:tcPr>
          <w:p w14:paraId="5F58D366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en-US" w:eastAsia="pt-BR"/>
              </w:rPr>
            </w:pPr>
            <w:r w:rsidRPr="00830BEC">
              <w:rPr>
                <w:rFonts w:ascii="Arial" w:hAnsi="Arial" w:cs="Arial"/>
                <w:sz w:val="20"/>
                <w:szCs w:val="20"/>
                <w:lang w:val="en-US" w:eastAsia="pt-BR"/>
              </w:rPr>
              <w:t>p-value</w:t>
            </w:r>
          </w:p>
        </w:tc>
        <w:tc>
          <w:tcPr>
            <w:tcW w:w="1417" w:type="dxa"/>
          </w:tcPr>
          <w:p w14:paraId="6DB2D2F5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en-US" w:eastAsia="pt-BR"/>
              </w:rPr>
            </w:pPr>
            <w:r w:rsidRPr="00830BEC">
              <w:rPr>
                <w:rFonts w:ascii="Arial" w:hAnsi="Arial" w:cs="Arial"/>
                <w:sz w:val="20"/>
                <w:szCs w:val="20"/>
                <w:lang w:val="en-US" w:eastAsia="pt-BR"/>
              </w:rPr>
              <w:t>q-value†</w:t>
            </w:r>
          </w:p>
        </w:tc>
      </w:tr>
      <w:tr w:rsidR="007D3066" w:rsidRPr="00830BEC" w14:paraId="6F5361BD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</w:tcPr>
          <w:p w14:paraId="30662F85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  <w:t>Overall satisfaction</w:t>
            </w:r>
          </w:p>
          <w:p w14:paraId="5B39DD7A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</w:tc>
        <w:tc>
          <w:tcPr>
            <w:tcW w:w="2089" w:type="dxa"/>
          </w:tcPr>
          <w:p w14:paraId="55F28994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  <w:t>14/136 (10.3)</w:t>
            </w:r>
          </w:p>
        </w:tc>
        <w:tc>
          <w:tcPr>
            <w:tcW w:w="2126" w:type="dxa"/>
          </w:tcPr>
          <w:p w14:paraId="5494E10F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  <w:t>7/139 (5.0)</w:t>
            </w:r>
          </w:p>
        </w:tc>
        <w:tc>
          <w:tcPr>
            <w:tcW w:w="1843" w:type="dxa"/>
          </w:tcPr>
          <w:p w14:paraId="6E8AE4AC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  <w:t>0.49</w:t>
            </w:r>
          </w:p>
          <w:p w14:paraId="61738DB9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  <w:t>(0.20-1.21)</w:t>
            </w:r>
          </w:p>
        </w:tc>
        <w:tc>
          <w:tcPr>
            <w:tcW w:w="1417" w:type="dxa"/>
          </w:tcPr>
          <w:p w14:paraId="2910DA22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  <w:t>0.15</w:t>
            </w:r>
          </w:p>
        </w:tc>
        <w:tc>
          <w:tcPr>
            <w:tcW w:w="1417" w:type="dxa"/>
          </w:tcPr>
          <w:p w14:paraId="068D21B9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0.347</w:t>
            </w:r>
          </w:p>
        </w:tc>
      </w:tr>
      <w:tr w:rsidR="007D3066" w:rsidRPr="00830BEC" w14:paraId="7A12D72F" w14:textId="77777777" w:rsidTr="00EE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</w:tcPr>
          <w:p w14:paraId="6CD97DF4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  <w:t>Sleep</w:t>
            </w:r>
          </w:p>
          <w:p w14:paraId="6EC1E1DD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</w:tc>
        <w:tc>
          <w:tcPr>
            <w:tcW w:w="2089" w:type="dxa"/>
          </w:tcPr>
          <w:p w14:paraId="1F02CE9A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  <w:t>37/136 (27.2)</w:t>
            </w:r>
          </w:p>
        </w:tc>
        <w:tc>
          <w:tcPr>
            <w:tcW w:w="2126" w:type="dxa"/>
          </w:tcPr>
          <w:p w14:paraId="49BCB267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  <w:t>20/141 (14.2)</w:t>
            </w:r>
          </w:p>
        </w:tc>
        <w:tc>
          <w:tcPr>
            <w:tcW w:w="1843" w:type="dxa"/>
          </w:tcPr>
          <w:p w14:paraId="6714E5B1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  <w:t>0.52(0.32-0.85)</w:t>
            </w:r>
          </w:p>
        </w:tc>
        <w:tc>
          <w:tcPr>
            <w:tcW w:w="1417" w:type="dxa"/>
          </w:tcPr>
          <w:p w14:paraId="27BCB40F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  <w:t>0.008</w:t>
            </w:r>
          </w:p>
        </w:tc>
        <w:tc>
          <w:tcPr>
            <w:tcW w:w="1417" w:type="dxa"/>
          </w:tcPr>
          <w:p w14:paraId="0D54677D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  <w:t>0.047*</w:t>
            </w:r>
          </w:p>
        </w:tc>
      </w:tr>
      <w:tr w:rsidR="007D3066" w:rsidRPr="00830BEC" w14:paraId="61C183C5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</w:tcPr>
          <w:p w14:paraId="3FD62FCB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  <w:t>Social life</w:t>
            </w:r>
          </w:p>
          <w:p w14:paraId="16F45331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</w:tc>
        <w:tc>
          <w:tcPr>
            <w:tcW w:w="2089" w:type="dxa"/>
          </w:tcPr>
          <w:p w14:paraId="36284D7A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  <w:t>8/134 (6.0)</w:t>
            </w:r>
          </w:p>
        </w:tc>
        <w:tc>
          <w:tcPr>
            <w:tcW w:w="2126" w:type="dxa"/>
          </w:tcPr>
          <w:p w14:paraId="43311085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  <w:t>8/137 (5.8)</w:t>
            </w:r>
          </w:p>
        </w:tc>
        <w:tc>
          <w:tcPr>
            <w:tcW w:w="1843" w:type="dxa"/>
          </w:tcPr>
          <w:p w14:paraId="4C5397EE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  <w:t>0.98(0.38-2.50)</w:t>
            </w:r>
          </w:p>
        </w:tc>
        <w:tc>
          <w:tcPr>
            <w:tcW w:w="1417" w:type="dxa"/>
          </w:tcPr>
          <w:p w14:paraId="3DF86897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  <w:t>0.99</w:t>
            </w:r>
          </w:p>
        </w:tc>
        <w:tc>
          <w:tcPr>
            <w:tcW w:w="1417" w:type="dxa"/>
          </w:tcPr>
          <w:p w14:paraId="7DD14E9B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  <w:t>0.99</w:t>
            </w:r>
          </w:p>
        </w:tc>
      </w:tr>
      <w:tr w:rsidR="007D3066" w:rsidRPr="00830BEC" w14:paraId="4C866324" w14:textId="77777777" w:rsidTr="00EE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</w:tcPr>
          <w:p w14:paraId="57E91952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Sexual </w:t>
            </w:r>
            <w:proofErr w:type="spellStart"/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life</w:t>
            </w:r>
            <w:proofErr w:type="spellEnd"/>
          </w:p>
          <w:p w14:paraId="247D4930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</w:tc>
        <w:tc>
          <w:tcPr>
            <w:tcW w:w="2089" w:type="dxa"/>
          </w:tcPr>
          <w:p w14:paraId="756D8D93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39/135 (28.9)</w:t>
            </w:r>
          </w:p>
        </w:tc>
        <w:tc>
          <w:tcPr>
            <w:tcW w:w="2126" w:type="dxa"/>
          </w:tcPr>
          <w:p w14:paraId="06DD4A20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39/137 (28.5)</w:t>
            </w:r>
          </w:p>
        </w:tc>
        <w:tc>
          <w:tcPr>
            <w:tcW w:w="1843" w:type="dxa"/>
          </w:tcPr>
          <w:p w14:paraId="72715BB4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0.99</w:t>
            </w:r>
          </w:p>
          <w:p w14:paraId="01D7FD6F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(0.69-1.43)</w:t>
            </w:r>
          </w:p>
        </w:tc>
        <w:tc>
          <w:tcPr>
            <w:tcW w:w="1417" w:type="dxa"/>
          </w:tcPr>
          <w:p w14:paraId="5622344F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0.94</w:t>
            </w:r>
          </w:p>
        </w:tc>
        <w:tc>
          <w:tcPr>
            <w:tcW w:w="1417" w:type="dxa"/>
          </w:tcPr>
          <w:p w14:paraId="793DA240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0.99</w:t>
            </w:r>
          </w:p>
        </w:tc>
      </w:tr>
      <w:tr w:rsidR="007D3066" w:rsidRPr="00830BEC" w14:paraId="4E5C4ACF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</w:tcPr>
          <w:p w14:paraId="5A963983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Daily </w:t>
            </w:r>
            <w:proofErr w:type="spellStart"/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activities</w:t>
            </w:r>
            <w:proofErr w:type="spellEnd"/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/</w:t>
            </w:r>
            <w:proofErr w:type="spellStart"/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work</w:t>
            </w:r>
            <w:proofErr w:type="spellEnd"/>
          </w:p>
          <w:p w14:paraId="502943D6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</w:p>
        </w:tc>
        <w:tc>
          <w:tcPr>
            <w:tcW w:w="2089" w:type="dxa"/>
          </w:tcPr>
          <w:p w14:paraId="5A1C3C23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19/136 (14.0)</w:t>
            </w:r>
          </w:p>
        </w:tc>
        <w:tc>
          <w:tcPr>
            <w:tcW w:w="2126" w:type="dxa"/>
          </w:tcPr>
          <w:p w14:paraId="083BEAED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17/133 (12.8)</w:t>
            </w:r>
          </w:p>
        </w:tc>
        <w:tc>
          <w:tcPr>
            <w:tcW w:w="1843" w:type="dxa"/>
          </w:tcPr>
          <w:p w14:paraId="7DB04243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0.91(0.49-1.70)</w:t>
            </w:r>
          </w:p>
        </w:tc>
        <w:tc>
          <w:tcPr>
            <w:tcW w:w="1417" w:type="dxa"/>
          </w:tcPr>
          <w:p w14:paraId="6DEAFF12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0.80</w:t>
            </w:r>
          </w:p>
        </w:tc>
        <w:tc>
          <w:tcPr>
            <w:tcW w:w="1417" w:type="dxa"/>
          </w:tcPr>
          <w:p w14:paraId="6B4843C2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0.93</w:t>
            </w:r>
          </w:p>
        </w:tc>
      </w:tr>
      <w:tr w:rsidR="007D3066" w:rsidRPr="00830BEC" w14:paraId="02A64CF7" w14:textId="77777777" w:rsidTr="00EE1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</w:tcPr>
          <w:p w14:paraId="45AEBF3D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Body </w:t>
            </w:r>
            <w:proofErr w:type="spellStart"/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image</w:t>
            </w:r>
            <w:proofErr w:type="spellEnd"/>
          </w:p>
          <w:p w14:paraId="5BEB7168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089" w:type="dxa"/>
          </w:tcPr>
          <w:p w14:paraId="726A9259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29/137 (21.2)</w:t>
            </w:r>
          </w:p>
        </w:tc>
        <w:tc>
          <w:tcPr>
            <w:tcW w:w="2126" w:type="dxa"/>
          </w:tcPr>
          <w:p w14:paraId="7D7D4BED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25/132 (18.9)</w:t>
            </w:r>
          </w:p>
        </w:tc>
        <w:tc>
          <w:tcPr>
            <w:tcW w:w="1843" w:type="dxa"/>
          </w:tcPr>
          <w:p w14:paraId="4AD6BD01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0.89 (0.55-1.45)</w:t>
            </w:r>
          </w:p>
        </w:tc>
        <w:tc>
          <w:tcPr>
            <w:tcW w:w="1417" w:type="dxa"/>
          </w:tcPr>
          <w:p w14:paraId="2B1DBD96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0.65</w:t>
            </w:r>
          </w:p>
        </w:tc>
        <w:tc>
          <w:tcPr>
            <w:tcW w:w="1417" w:type="dxa"/>
          </w:tcPr>
          <w:p w14:paraId="2EFEDE63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0.91</w:t>
            </w:r>
          </w:p>
        </w:tc>
      </w:tr>
      <w:tr w:rsidR="007D3066" w:rsidRPr="00830BEC" w14:paraId="561E926D" w14:textId="77777777" w:rsidTr="00EE1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</w:tcPr>
          <w:p w14:paraId="40E360C5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Physical</w:t>
            </w:r>
            <w:proofErr w:type="spellEnd"/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proofErr w:type="spellStart"/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exercise</w:t>
            </w:r>
            <w:proofErr w:type="spellEnd"/>
          </w:p>
          <w:p w14:paraId="6E043285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089" w:type="dxa"/>
          </w:tcPr>
          <w:p w14:paraId="3212F7B4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42/134 (31.3)</w:t>
            </w:r>
          </w:p>
        </w:tc>
        <w:tc>
          <w:tcPr>
            <w:tcW w:w="2126" w:type="dxa"/>
          </w:tcPr>
          <w:p w14:paraId="1CB570B6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41/138 (29.7)</w:t>
            </w:r>
          </w:p>
        </w:tc>
        <w:tc>
          <w:tcPr>
            <w:tcW w:w="1843" w:type="dxa"/>
          </w:tcPr>
          <w:p w14:paraId="77B1B20F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0.95 (0.66-1.36)</w:t>
            </w:r>
          </w:p>
        </w:tc>
        <w:tc>
          <w:tcPr>
            <w:tcW w:w="1417" w:type="dxa"/>
          </w:tcPr>
          <w:p w14:paraId="7708CF46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0.77</w:t>
            </w:r>
          </w:p>
        </w:tc>
        <w:tc>
          <w:tcPr>
            <w:tcW w:w="1417" w:type="dxa"/>
          </w:tcPr>
          <w:p w14:paraId="2804AAF0" w14:textId="77777777" w:rsidR="007D3066" w:rsidRPr="00830BEC" w:rsidRDefault="007D3066" w:rsidP="00EE15BE">
            <w:pPr>
              <w:pStyle w:val="SemEspaamento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30BE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0.91</w:t>
            </w:r>
          </w:p>
        </w:tc>
      </w:tr>
    </w:tbl>
    <w:p w14:paraId="6DE4463F" w14:textId="77777777" w:rsidR="007D3066" w:rsidRPr="00F314DB" w:rsidRDefault="007D3066" w:rsidP="007D3066">
      <w:pPr>
        <w:spacing w:before="100" w:beforeAutospacing="1" w:after="100" w:afterAutospacing="1" w:line="480" w:lineRule="auto"/>
        <w:ind w:right="-1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val="en-US" w:eastAsia="pt-BR"/>
          <w14:ligatures w14:val="none"/>
        </w:rPr>
      </w:pPr>
      <w:r w:rsidRPr="00F314DB">
        <w:rPr>
          <w:rFonts w:ascii="Arial" w:eastAsia="Times New Roman" w:hAnsi="Arial" w:cs="Arial"/>
          <w:i/>
          <w:iCs/>
          <w:kern w:val="0"/>
          <w:sz w:val="20"/>
          <w:szCs w:val="20"/>
          <w:lang w:val="en-US" w:eastAsia="pt-BR"/>
          <w14:ligatures w14:val="none"/>
        </w:rPr>
        <w:t xml:space="preserve">†Benjamini-Hochberg false discovery rate adjustment (q=0.05) applied across 7 domains. *Statistically significant after FDR correction (q&lt;0.05). "Not satisfied" = "Not satisfied at all" on a 5-point Likert scale. Risk ratios &lt;1.0 favor teleconsultation (lower dissatisfaction). Denominators vary by domain due to item-level nonresponse (range: 1.4%-4.3%). Raw p-values from Fisher's exact test. </w:t>
      </w:r>
      <w:bookmarkStart w:id="0" w:name="_Hlk212453345"/>
      <w:r w:rsidRPr="00F314DB">
        <w:rPr>
          <w:rFonts w:ascii="Arial" w:eastAsia="Times New Roman" w:hAnsi="Arial" w:cs="Arial"/>
          <w:i/>
          <w:iCs/>
          <w:kern w:val="0"/>
          <w:sz w:val="20"/>
          <w:szCs w:val="20"/>
          <w:lang w:val="en-US" w:eastAsia="pt-BR"/>
          <w14:ligatures w14:val="none"/>
        </w:rPr>
        <w:t>Complete response distribution (Very satisfied/Quite satisfied/Neither/Quite dissatisfied/ Not at all) available in Supplementary Table S4.</w:t>
      </w:r>
    </w:p>
    <w:bookmarkEnd w:id="0"/>
    <w:p w14:paraId="205F93E7" w14:textId="2A74D61E" w:rsidR="00305196" w:rsidRPr="007D3066" w:rsidRDefault="007D3066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en-US"/>
        </w:rPr>
        <w:br w:type="page"/>
      </w:r>
    </w:p>
    <w:sectPr w:rsidR="00305196" w:rsidRPr="007D30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66"/>
    <w:rsid w:val="00305196"/>
    <w:rsid w:val="004E7AE7"/>
    <w:rsid w:val="005A3A6D"/>
    <w:rsid w:val="00665635"/>
    <w:rsid w:val="007D3066"/>
    <w:rsid w:val="007F6462"/>
    <w:rsid w:val="00921A90"/>
    <w:rsid w:val="009567C5"/>
    <w:rsid w:val="00DF5A63"/>
    <w:rsid w:val="00E3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A7A10"/>
  <w15:chartTrackingRefBased/>
  <w15:docId w15:val="{8222F678-E6E0-4B03-8FD8-5705D9E0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066"/>
  </w:style>
  <w:style w:type="paragraph" w:styleId="Ttulo1">
    <w:name w:val="heading 1"/>
    <w:basedOn w:val="Normal"/>
    <w:next w:val="Normal"/>
    <w:link w:val="Ttulo1Char"/>
    <w:uiPriority w:val="9"/>
    <w:qFormat/>
    <w:rsid w:val="007D3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3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3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3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3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3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3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3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3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3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3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3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30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306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30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30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30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30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3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3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3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3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3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30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30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306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3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306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3066"/>
    <w:rPr>
      <w:b/>
      <w:bCs/>
      <w:smallCaps/>
      <w:color w:val="0F4761" w:themeColor="accent1" w:themeShade="BF"/>
      <w:spacing w:val="5"/>
    </w:rPr>
  </w:style>
  <w:style w:type="table" w:styleId="SimplesTabela1">
    <w:name w:val="Plain Table 1"/>
    <w:basedOn w:val="Tabelanormal"/>
    <w:uiPriority w:val="41"/>
    <w:rsid w:val="007D306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7D30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1039</Characters>
  <Application>Microsoft Office Word</Application>
  <DocSecurity>0</DocSecurity>
  <Lines>74</Lines>
  <Paragraphs>63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Laranja Gomes Rodrigues</dc:creator>
  <cp:keywords/>
  <dc:description/>
  <cp:lastModifiedBy>Daniela Laranja Gomes Rodrigues</cp:lastModifiedBy>
  <cp:revision>1</cp:revision>
  <dcterms:created xsi:type="dcterms:W3CDTF">2025-11-10T15:12:00Z</dcterms:created>
  <dcterms:modified xsi:type="dcterms:W3CDTF">2025-11-10T15:12:00Z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d322f2c6-2415-4c45-b9e3-c2823efbfedd</vt:lpwstr>
  </property>
</Properties>
</file>