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992" w:rsidRDefault="00172992">
      <w:pPr>
        <w:rPr>
          <w:lang w:val="en-US"/>
        </w:rPr>
      </w:pPr>
      <w:r w:rsidRPr="000B5263">
        <w:rPr>
          <w:b/>
          <w:lang w:val="en-US"/>
        </w:rPr>
        <w:t xml:space="preserve">Table </w:t>
      </w:r>
      <w:r w:rsidR="00A74D8A" w:rsidRPr="000B5263">
        <w:rPr>
          <w:b/>
          <w:lang w:val="en-US"/>
        </w:rPr>
        <w:t>4</w:t>
      </w:r>
      <w:r w:rsidRPr="000B5263">
        <w:rPr>
          <w:lang w:val="en-US"/>
        </w:rPr>
        <w:t xml:space="preserve"> </w:t>
      </w:r>
      <w:r w:rsidR="00C93570" w:rsidRPr="000B5263">
        <w:rPr>
          <w:lang w:val="en-US"/>
        </w:rPr>
        <w:t xml:space="preserve">Genome parameters of </w:t>
      </w:r>
      <w:r w:rsidR="00C93570" w:rsidRPr="000B5263">
        <w:rPr>
          <w:i/>
          <w:lang w:val="en-US"/>
        </w:rPr>
        <w:t>Saxifraga</w:t>
      </w:r>
      <w:r w:rsidR="00C93570" w:rsidRPr="000B5263">
        <w:rPr>
          <w:lang w:val="en-US"/>
        </w:rPr>
        <w:t xml:space="preserve"> and other Saxifragaceae genera</w:t>
      </w:r>
      <w:r w:rsidR="000B5263" w:rsidRPr="000B5263">
        <w:rPr>
          <w:lang w:val="en-US"/>
        </w:rPr>
        <w:t>, including a s</w:t>
      </w:r>
      <w:r w:rsidRPr="000B5263">
        <w:rPr>
          <w:lang w:val="en-US"/>
        </w:rPr>
        <w:t xml:space="preserve">ummary of genome sizes (holoploid 2C and monoploid 1Cx values), mean chromosome DNA content (MC) and </w:t>
      </w:r>
      <w:r w:rsidR="00C93570" w:rsidRPr="000B5263">
        <w:rPr>
          <w:lang w:val="en-US"/>
        </w:rPr>
        <w:t>p</w:t>
      </w:r>
      <w:r w:rsidR="00A1148D" w:rsidRPr="000B5263">
        <w:rPr>
          <w:lang w:val="en-US"/>
        </w:rPr>
        <w:t>robable</w:t>
      </w:r>
      <w:r w:rsidRPr="000B5263">
        <w:rPr>
          <w:lang w:val="en-US"/>
        </w:rPr>
        <w:t xml:space="preserve"> chromosome base numbers of the </w:t>
      </w:r>
      <w:r w:rsidR="00C93570" w:rsidRPr="000B5263">
        <w:rPr>
          <w:lang w:val="en-US"/>
        </w:rPr>
        <w:t>studied taxa.</w:t>
      </w:r>
      <w:r w:rsidRPr="000B5263">
        <w:rPr>
          <w:lang w:val="en-US"/>
        </w:rPr>
        <w:t xml:space="preserve"> The 1Cx values and MCs in square brackets indicate estimated data based on the 2C values and available chromosome counts for related species of the same section or subsection (Table </w:t>
      </w:r>
      <w:r w:rsidR="00A1148D" w:rsidRPr="000B5263">
        <w:rPr>
          <w:lang w:val="en-US"/>
        </w:rPr>
        <w:t>2</w:t>
      </w:r>
      <w:r w:rsidRPr="000B5263">
        <w:rPr>
          <w:lang w:val="en-US"/>
        </w:rPr>
        <w:t xml:space="preserve"> and Online Resource 1). To represent the </w:t>
      </w:r>
      <w:r w:rsidR="006F592E">
        <w:rPr>
          <w:lang w:val="en-US"/>
        </w:rPr>
        <w:t xml:space="preserve">total </w:t>
      </w:r>
      <w:r w:rsidRPr="000B5263">
        <w:rPr>
          <w:lang w:val="en-US"/>
        </w:rPr>
        <w:t xml:space="preserve">range of </w:t>
      </w:r>
      <w:r w:rsidR="006F592E" w:rsidRPr="000B5263">
        <w:rPr>
          <w:lang w:val="en-US"/>
        </w:rPr>
        <w:t>current</w:t>
      </w:r>
      <w:r w:rsidR="006F592E">
        <w:rPr>
          <w:lang w:val="en-US"/>
        </w:rPr>
        <w:t xml:space="preserve">ly </w:t>
      </w:r>
      <w:r w:rsidRPr="000B5263">
        <w:rPr>
          <w:lang w:val="en-US"/>
        </w:rPr>
        <w:t xml:space="preserve">known 2C genome sizes, 2C values estimated in previous studies </w:t>
      </w:r>
      <w:r w:rsidR="006F592E" w:rsidRPr="000B5263">
        <w:rPr>
          <w:lang w:val="en-US"/>
        </w:rPr>
        <w:t>(Table 3)</w:t>
      </w:r>
      <w:r w:rsidR="006F592E">
        <w:rPr>
          <w:lang w:val="en-US"/>
        </w:rPr>
        <w:t xml:space="preserve"> </w:t>
      </w:r>
      <w:r w:rsidRPr="000B5263">
        <w:rPr>
          <w:lang w:val="en-US"/>
        </w:rPr>
        <w:t xml:space="preserve">are provided in parentheses. </w:t>
      </w:r>
      <w:r w:rsidR="00552C78" w:rsidRPr="000B5263">
        <w:rPr>
          <w:lang w:val="en-US"/>
        </w:rPr>
        <w:t xml:space="preserve">Sections and subsections according to </w:t>
      </w:r>
      <w:r w:rsidR="00A1148D" w:rsidRPr="000B5263">
        <w:rPr>
          <w:lang w:val="en-US"/>
        </w:rPr>
        <w:t xml:space="preserve">Table 1 and </w:t>
      </w:r>
      <w:r w:rsidR="00552C78" w:rsidRPr="000B5263">
        <w:rPr>
          <w:lang w:val="en-US"/>
        </w:rPr>
        <w:t xml:space="preserve">Tkach et al. </w:t>
      </w:r>
      <w:r w:rsidR="00A1148D" w:rsidRPr="000B5263">
        <w:rPr>
          <w:lang w:val="en-US"/>
        </w:rPr>
        <w:t>(</w:t>
      </w:r>
      <w:r w:rsidR="00552C78" w:rsidRPr="000B5263">
        <w:rPr>
          <w:lang w:val="en-US"/>
        </w:rPr>
        <w:t>2015</w:t>
      </w:r>
      <w:r w:rsidR="00A1148D" w:rsidRPr="000B5263">
        <w:rPr>
          <w:lang w:val="en-US"/>
        </w:rPr>
        <w:t>b).</w:t>
      </w:r>
      <w:r w:rsidR="00552C78" w:rsidRPr="000B5263">
        <w:rPr>
          <w:lang w:val="en-US"/>
        </w:rPr>
        <w:t xml:space="preserve"> </w:t>
      </w:r>
      <w:r w:rsidRPr="000B5263">
        <w:rPr>
          <w:i/>
          <w:lang w:val="en-US"/>
        </w:rPr>
        <w:t>N/A</w:t>
      </w:r>
      <w:r w:rsidRPr="000B5263">
        <w:rPr>
          <w:lang w:val="en-US"/>
        </w:rPr>
        <w:t xml:space="preserve"> not available</w:t>
      </w:r>
    </w:p>
    <w:p w:rsidR="00172992" w:rsidRPr="00A76041" w:rsidRDefault="00172992">
      <w:pPr>
        <w:rPr>
          <w:rFonts w:cs="Times New Roman"/>
          <w:lang w:val="en-US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"/>
        <w:gridCol w:w="236"/>
        <w:gridCol w:w="3064"/>
        <w:gridCol w:w="2127"/>
        <w:gridCol w:w="1843"/>
        <w:gridCol w:w="1841"/>
      </w:tblGrid>
      <w:tr w:rsidR="004B22E0" w:rsidRPr="00A76041" w:rsidTr="00A76041">
        <w:tc>
          <w:tcPr>
            <w:tcW w:w="1894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sz w:val="18"/>
                <w:szCs w:val="18"/>
                <w:lang w:val="en-US"/>
              </w:rPr>
              <w:t xml:space="preserve">Taxon </w:t>
            </w:r>
          </w:p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sz w:val="18"/>
                <w:szCs w:val="18"/>
                <w:lang w:val="en-US"/>
              </w:rPr>
              <w:t>2C value [pg]</w:t>
            </w:r>
          </w:p>
        </w:tc>
        <w:tc>
          <w:tcPr>
            <w:tcW w:w="985" w:type="pct"/>
            <w:tcBorders>
              <w:top w:val="single" w:sz="4" w:space="0" w:color="auto"/>
              <w:bottom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sz w:val="18"/>
                <w:szCs w:val="18"/>
                <w:lang w:val="en-US"/>
              </w:rPr>
              <w:t>1Cx value [pg]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b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sz w:val="18"/>
                <w:szCs w:val="18"/>
                <w:lang w:val="en-US"/>
              </w:rPr>
              <w:t>MC [pg]</w:t>
            </w:r>
          </w:p>
        </w:tc>
      </w:tr>
      <w:tr w:rsidR="004B22E0" w:rsidRPr="00A76041" w:rsidTr="00A76041">
        <w:tc>
          <w:tcPr>
            <w:tcW w:w="1894" w:type="pct"/>
            <w:gridSpan w:val="3"/>
            <w:tcBorders>
              <w:top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i/>
                <w:sz w:val="18"/>
                <w:szCs w:val="18"/>
                <w:lang w:val="en-US"/>
              </w:rPr>
              <w:t>Saxifraga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7" w:type="pct"/>
            <w:tcBorders>
              <w:top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0.87–14.87</w:t>
            </w:r>
          </w:p>
        </w:tc>
        <w:tc>
          <w:tcPr>
            <w:tcW w:w="985" w:type="pct"/>
            <w:tcBorders>
              <w:top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[0.14]–2.</w:t>
            </w:r>
            <w:r w:rsidR="00467E43" w:rsidRPr="00A76041">
              <w:rPr>
                <w:rFonts w:cs="Times New Roman"/>
                <w:sz w:val="18"/>
                <w:szCs w:val="18"/>
                <w:lang w:val="en-US"/>
              </w:rPr>
              <w:t>1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984" w:type="pct"/>
            <w:tcBorders>
              <w:top w:val="single" w:sz="4" w:space="0" w:color="auto"/>
            </w:tcBorders>
          </w:tcPr>
          <w:p w:rsidR="009A5DC7" w:rsidRPr="00A76041" w:rsidRDefault="009A5DC7" w:rsidP="00552116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0.01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≤0.26]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Irregulares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8, 9, 10, 11)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1.83–12.36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0.92 and N/A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0.08 and N/A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Bronchiales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2.24–7.56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[0.95]–1.32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[0.07]–0.10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Ciliatae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8) 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(1.88–)2.63–14.87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[1.15]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≤2.10]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[0.15]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≤0.26]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Clade 1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8) 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(2.03–)2.63–12.61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[1.15]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≤2.10]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[0.15]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≤0.26]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Clade 2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8) 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(2.70–)3.74–9.82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[1.47]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2.01]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[0.18]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0.25]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Hirculoideae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(Clade 3)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8) 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(1.88–)3.53–14.87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[1.39]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1.96]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[0.17]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0.24]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Cymbalaria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9)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1.42–1.93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0.71–0.97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0.08–0.11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Mesogyne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 ?)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(0.94–)0.99–1.04(–2.04)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0.50–0.52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0.04</w:t>
            </w:r>
          </w:p>
        </w:tc>
      </w:tr>
      <w:tr w:rsidR="00FC569C" w:rsidRPr="00A76041" w:rsidTr="00A76041">
        <w:tc>
          <w:tcPr>
            <w:tcW w:w="130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Saxifraga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11, 13)</w:t>
            </w:r>
          </w:p>
        </w:tc>
        <w:tc>
          <w:tcPr>
            <w:tcW w:w="1137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0.87–5.90(–7.52)</w:t>
            </w:r>
          </w:p>
        </w:tc>
        <w:tc>
          <w:tcPr>
            <w:tcW w:w="985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[0.14]–0.68</w:t>
            </w:r>
          </w:p>
        </w:tc>
        <w:tc>
          <w:tcPr>
            <w:tcW w:w="984" w:type="pct"/>
          </w:tcPr>
          <w:p w:rsidR="00FC569C" w:rsidRPr="00A76041" w:rsidRDefault="00FC569C" w:rsidP="00FC569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0.01–0.06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Irriguae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2.40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0.60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0.05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Androsaceae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1.46–1.56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N/A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Tridactylites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(1.15–)1.36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0.68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0.06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Arachnoideae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0.87–1.01(–3.35)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[0.14]–0.17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0.01–0.02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Saxifraga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11, 13)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(1.15–)1.27–5.90(–7.52)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[0.21]–0.63 and N/A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[0.02]–0.05 and N/A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Cotylea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(3.28–)3.36–4.62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[1.54]–1.84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[0.14]–0.17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Gymnopera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14)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(3.21)3.42–4.14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1.71–2.07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0.12–0.15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Ligulatae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14)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(2.81–)3.13–4.21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1.57–2.11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0.11–0.15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Trachyphyllum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3.00–3.52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1.50–1.76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0.12–0.14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Porphyrion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(1.36–)1.43–3.86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[0.71]–1.93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[0.05]–0.15</w:t>
            </w:r>
          </w:p>
        </w:tc>
      </w:tr>
      <w:tr w:rsidR="00D90AFC" w:rsidRPr="00A76041" w:rsidTr="009852F1">
        <w:tc>
          <w:tcPr>
            <w:tcW w:w="130" w:type="pct"/>
          </w:tcPr>
          <w:p w:rsidR="00D90AFC" w:rsidRPr="00A76041" w:rsidRDefault="00D90AFC" w:rsidP="009852F1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9852F1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9852F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Kabschia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D90AFC" w:rsidRPr="00A76041" w:rsidRDefault="00D90AFC" w:rsidP="009852F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1.43–3.70</w:t>
            </w:r>
          </w:p>
        </w:tc>
        <w:tc>
          <w:tcPr>
            <w:tcW w:w="985" w:type="pct"/>
          </w:tcPr>
          <w:p w:rsidR="00D90AFC" w:rsidRPr="00A76041" w:rsidRDefault="00D90AFC" w:rsidP="009852F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[0.71]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1.85]</w:t>
            </w:r>
          </w:p>
        </w:tc>
        <w:tc>
          <w:tcPr>
            <w:tcW w:w="984" w:type="pct"/>
          </w:tcPr>
          <w:p w:rsidR="00D90AFC" w:rsidRPr="00A76041" w:rsidRDefault="00D90AFC" w:rsidP="009852F1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[0.05]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0.13]</w:t>
            </w:r>
          </w:p>
        </w:tc>
      </w:tr>
      <w:tr w:rsidR="00D90AFC" w:rsidRPr="00A76041" w:rsidTr="00DC3273">
        <w:tc>
          <w:tcPr>
            <w:tcW w:w="130" w:type="pct"/>
          </w:tcPr>
          <w:p w:rsidR="00D90AFC" w:rsidRPr="00A76041" w:rsidRDefault="00D90AFC" w:rsidP="00DC3273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C3273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C3273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Oppositifoliae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D90AFC" w:rsidRPr="00A76041" w:rsidRDefault="00D90AFC" w:rsidP="00DC3273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2.50–3.41</w:t>
            </w:r>
          </w:p>
        </w:tc>
        <w:tc>
          <w:tcPr>
            <w:tcW w:w="985" w:type="pct"/>
          </w:tcPr>
          <w:p w:rsidR="00D90AFC" w:rsidRPr="00A76041" w:rsidRDefault="00D90AFC" w:rsidP="00DC3273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1.25–1.70</w:t>
            </w:r>
          </w:p>
        </w:tc>
        <w:tc>
          <w:tcPr>
            <w:tcW w:w="984" w:type="pct"/>
          </w:tcPr>
          <w:p w:rsidR="00D90AFC" w:rsidRPr="00A76041" w:rsidRDefault="00D90AFC" w:rsidP="00DC3273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0.10–0.13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Mutatae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(1.36–)3.05–3.84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1.52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1.92]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0.12–0.15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26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638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subsect.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Squarrosae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13)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3.28–3.86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1.64–1.93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0.13–0.15</w:t>
            </w: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bookmarkStart w:id="0" w:name="_GoBack"/>
            <w:bookmarkEnd w:id="0"/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i/>
                <w:sz w:val="18"/>
                <w:szCs w:val="18"/>
                <w:lang w:val="en-US"/>
              </w:rPr>
              <w:t>Chrysosplenium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6–13?)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(0.93–)1.94–7.50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[1.88] and N/A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[0.21] and N/A</w:t>
            </w: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i/>
                <w:sz w:val="18"/>
                <w:szCs w:val="18"/>
                <w:lang w:val="en-US"/>
              </w:rPr>
              <w:t>Heuchera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7)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(1.19–)1.68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0.84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0.06</w:t>
            </w: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proofErr w:type="spellStart"/>
            <w:r w:rsidRPr="00A76041">
              <w:rPr>
                <w:rFonts w:cs="Times New Roman"/>
                <w:b/>
                <w:i/>
                <w:sz w:val="18"/>
                <w:szCs w:val="18"/>
                <w:lang w:val="en-US"/>
              </w:rPr>
              <w:t>Micranthes</w:t>
            </w:r>
            <w:proofErr w:type="spellEnd"/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10–15?)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(0.73–)1.33–25.31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[0.67]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≤1.54]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[0.07]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0.14]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proofErr w:type="spellStart"/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Stellares</w:t>
            </w:r>
            <w:proofErr w:type="spellEnd"/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?)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(0.73–)1.33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[0.67]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N/A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proofErr w:type="spellStart"/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Melanocentrae</w:t>
            </w:r>
            <w:proofErr w:type="spellEnd"/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1.53–9.26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[0.7]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≤1.54]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[0.07]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0.14]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proofErr w:type="spellStart"/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Rotundifoliatae</w:t>
            </w:r>
            <w:proofErr w:type="spellEnd"/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?)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1.64–4.40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[0.82]</w:t>
            </w:r>
            <w:proofErr w:type="gramStart"/>
            <w:r w:rsidRPr="00A76041">
              <w:rPr>
                <w:rFonts w:cs="Times New Roman"/>
                <w:sz w:val="18"/>
                <w:szCs w:val="18"/>
                <w:lang w:val="en-US"/>
              </w:rPr>
              <w:t>–[</w:t>
            </w:r>
            <w:proofErr w:type="gramEnd"/>
            <w:r w:rsidRPr="00A76041">
              <w:rPr>
                <w:rFonts w:cs="Times New Roman"/>
                <w:sz w:val="18"/>
                <w:szCs w:val="18"/>
                <w:lang w:val="en-US"/>
              </w:rPr>
              <w:t>1.10]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N/A</w:t>
            </w:r>
          </w:p>
        </w:tc>
      </w:tr>
      <w:tr w:rsidR="00D90AFC" w:rsidRPr="00A76041" w:rsidTr="00A76041">
        <w:tc>
          <w:tcPr>
            <w:tcW w:w="130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1764" w:type="pct"/>
            <w:gridSpan w:val="2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sect. 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Micranthes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11, ?)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3.07–25.31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[1.53] and N/A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[0.14] and N/A</w:t>
            </w: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i/>
                <w:sz w:val="18"/>
                <w:szCs w:val="18"/>
                <w:lang w:val="en-US"/>
              </w:rPr>
              <w:t>Mitella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7)</w:t>
            </w: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(1.10)</w:t>
            </w: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N/A</w:t>
            </w: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N/A</w:t>
            </w:r>
          </w:p>
        </w:tc>
      </w:tr>
      <w:tr w:rsidR="00D90AFC" w:rsidRPr="00A76041" w:rsidTr="00A76041">
        <w:tc>
          <w:tcPr>
            <w:tcW w:w="1894" w:type="pct"/>
            <w:gridSpan w:val="3"/>
          </w:tcPr>
          <w:p w:rsidR="00D90AFC" w:rsidRPr="00A76041" w:rsidRDefault="00D90AFC" w:rsidP="00D90AFC">
            <w:pPr>
              <w:rPr>
                <w:rFonts w:cs="Times New Roman"/>
                <w:b/>
                <w:i/>
                <w:sz w:val="18"/>
                <w:szCs w:val="18"/>
                <w:lang w:val="en-US"/>
              </w:rPr>
            </w:pPr>
          </w:p>
        </w:tc>
        <w:tc>
          <w:tcPr>
            <w:tcW w:w="1137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5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  <w:tc>
          <w:tcPr>
            <w:tcW w:w="984" w:type="pct"/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</w:p>
        </w:tc>
      </w:tr>
      <w:tr w:rsidR="00D90AFC" w:rsidRPr="00A76041" w:rsidTr="00A76041">
        <w:tc>
          <w:tcPr>
            <w:tcW w:w="1894" w:type="pct"/>
            <w:gridSpan w:val="3"/>
            <w:tcBorders>
              <w:bottom w:val="single" w:sz="4" w:space="0" w:color="auto"/>
            </w:tcBorders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b/>
                <w:i/>
                <w:sz w:val="18"/>
                <w:szCs w:val="18"/>
                <w:lang w:val="en-US"/>
              </w:rPr>
              <w:t>Ozomelis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(</w:t>
            </w:r>
            <w:r w:rsidRPr="00A76041">
              <w:rPr>
                <w:rFonts w:cs="Times New Roman"/>
                <w:i/>
                <w:sz w:val="18"/>
                <w:szCs w:val="18"/>
                <w:lang w:val="en-US"/>
              </w:rPr>
              <w:t>x</w:t>
            </w:r>
            <w:r w:rsidRPr="00A76041">
              <w:rPr>
                <w:rFonts w:cs="Times New Roman"/>
                <w:sz w:val="18"/>
                <w:szCs w:val="18"/>
                <w:lang w:val="en-US"/>
              </w:rPr>
              <w:t xml:space="preserve"> = 7)</w:t>
            </w:r>
          </w:p>
        </w:tc>
        <w:tc>
          <w:tcPr>
            <w:tcW w:w="1137" w:type="pct"/>
            <w:tcBorders>
              <w:bottom w:val="single" w:sz="4" w:space="0" w:color="auto"/>
            </w:tcBorders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0.55</w:t>
            </w:r>
          </w:p>
        </w:tc>
        <w:tc>
          <w:tcPr>
            <w:tcW w:w="985" w:type="pct"/>
            <w:tcBorders>
              <w:bottom w:val="single" w:sz="4" w:space="0" w:color="auto"/>
            </w:tcBorders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0.28</w:t>
            </w:r>
          </w:p>
        </w:tc>
        <w:tc>
          <w:tcPr>
            <w:tcW w:w="984" w:type="pct"/>
            <w:tcBorders>
              <w:bottom w:val="single" w:sz="4" w:space="0" w:color="auto"/>
            </w:tcBorders>
          </w:tcPr>
          <w:p w:rsidR="00D90AFC" w:rsidRPr="00A76041" w:rsidRDefault="00D90AFC" w:rsidP="00D90AFC">
            <w:pPr>
              <w:rPr>
                <w:rFonts w:cs="Times New Roman"/>
                <w:sz w:val="18"/>
                <w:szCs w:val="18"/>
                <w:lang w:val="en-US"/>
              </w:rPr>
            </w:pPr>
            <w:r w:rsidRPr="00A76041">
              <w:rPr>
                <w:rFonts w:cs="Times New Roman"/>
                <w:sz w:val="18"/>
                <w:szCs w:val="18"/>
                <w:lang w:val="en-US"/>
              </w:rPr>
              <w:t>0.04</w:t>
            </w:r>
          </w:p>
        </w:tc>
      </w:tr>
    </w:tbl>
    <w:p w:rsidR="00172992" w:rsidRPr="00A76041" w:rsidRDefault="00172992">
      <w:pPr>
        <w:rPr>
          <w:rFonts w:cs="Times New Roman"/>
          <w:lang w:val="en-US"/>
        </w:rPr>
      </w:pPr>
    </w:p>
    <w:p w:rsidR="00172992" w:rsidRPr="00172992" w:rsidRDefault="00172992">
      <w:pPr>
        <w:rPr>
          <w:lang w:val="en-US"/>
        </w:rPr>
      </w:pPr>
    </w:p>
    <w:sectPr w:rsidR="00172992" w:rsidRPr="00172992" w:rsidSect="004B22E0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992"/>
    <w:rsid w:val="0007737F"/>
    <w:rsid w:val="000B03B7"/>
    <w:rsid w:val="000B5263"/>
    <w:rsid w:val="00172992"/>
    <w:rsid w:val="00197FA3"/>
    <w:rsid w:val="001E3E0A"/>
    <w:rsid w:val="002C5406"/>
    <w:rsid w:val="002F7058"/>
    <w:rsid w:val="003E4CD5"/>
    <w:rsid w:val="004500C4"/>
    <w:rsid w:val="00467E43"/>
    <w:rsid w:val="004855E1"/>
    <w:rsid w:val="004B22E0"/>
    <w:rsid w:val="005260F0"/>
    <w:rsid w:val="00552C78"/>
    <w:rsid w:val="005838F6"/>
    <w:rsid w:val="00594A4E"/>
    <w:rsid w:val="006151F0"/>
    <w:rsid w:val="00644393"/>
    <w:rsid w:val="006E2119"/>
    <w:rsid w:val="006F592E"/>
    <w:rsid w:val="007346A6"/>
    <w:rsid w:val="007F5788"/>
    <w:rsid w:val="009208A2"/>
    <w:rsid w:val="009A5DC7"/>
    <w:rsid w:val="009D5B5D"/>
    <w:rsid w:val="00A1148D"/>
    <w:rsid w:val="00A74D8A"/>
    <w:rsid w:val="00A76041"/>
    <w:rsid w:val="00AC44BB"/>
    <w:rsid w:val="00C93570"/>
    <w:rsid w:val="00D90AFC"/>
    <w:rsid w:val="00E0263F"/>
    <w:rsid w:val="00F122BC"/>
    <w:rsid w:val="00FC569C"/>
    <w:rsid w:val="00FD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68F2D-1613-4789-97BE-BCB675F61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Segoe UI"/>
        <w:sz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7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</dc:creator>
  <cp:keywords/>
  <dc:description/>
  <cp:lastModifiedBy>Martin Röser</cp:lastModifiedBy>
  <cp:revision>3</cp:revision>
  <cp:lastPrinted>2025-09-30T08:04:00Z</cp:lastPrinted>
  <dcterms:created xsi:type="dcterms:W3CDTF">2025-10-25T21:33:00Z</dcterms:created>
  <dcterms:modified xsi:type="dcterms:W3CDTF">2025-10-25T21:36:00Z</dcterms:modified>
</cp:coreProperties>
</file>