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21" w:rsidRDefault="00A211AF" w:rsidP="002A56A3">
      <w:pPr>
        <w:spacing w:after="0" w:line="240" w:lineRule="auto"/>
        <w:rPr>
          <w:rFonts w:ascii="Times New Roman" w:hAnsi="Times New Roman" w:cs="Times New Roman"/>
          <w:b/>
          <w:sz w:val="24"/>
          <w:szCs w:val="24"/>
        </w:rPr>
      </w:pPr>
      <w:r w:rsidRPr="00A211AF">
        <w:rPr>
          <w:rFonts w:ascii="Times New Roman" w:hAnsi="Times New Roman" w:cs="Times New Roman"/>
          <w:b/>
          <w:sz w:val="24"/>
          <w:szCs w:val="24"/>
        </w:rPr>
        <w:t>Supple</w:t>
      </w:r>
      <w:r w:rsidR="00746C57">
        <w:rPr>
          <w:rFonts w:ascii="Times New Roman" w:hAnsi="Times New Roman" w:cs="Times New Roman"/>
          <w:b/>
          <w:sz w:val="24"/>
          <w:szCs w:val="24"/>
        </w:rPr>
        <w:t xml:space="preserve">mentary </w:t>
      </w:r>
      <w:proofErr w:type="spellStart"/>
      <w:r w:rsidR="00746C57">
        <w:rPr>
          <w:rFonts w:ascii="Times New Roman" w:hAnsi="Times New Roman" w:cs="Times New Roman"/>
          <w:b/>
          <w:sz w:val="24"/>
          <w:szCs w:val="24"/>
        </w:rPr>
        <w:t>webappendix</w:t>
      </w:r>
      <w:proofErr w:type="spellEnd"/>
      <w:r w:rsidR="00746C57">
        <w:rPr>
          <w:rFonts w:ascii="Times New Roman" w:hAnsi="Times New Roman" w:cs="Times New Roman"/>
          <w:b/>
          <w:sz w:val="24"/>
          <w:szCs w:val="24"/>
        </w:rPr>
        <w:t>: Assessing healthy longevity in low- and middle-income c</w:t>
      </w:r>
      <w:r w:rsidRPr="00A211AF">
        <w:rPr>
          <w:rFonts w:ascii="Times New Roman" w:hAnsi="Times New Roman" w:cs="Times New Roman"/>
          <w:b/>
          <w:sz w:val="24"/>
          <w:szCs w:val="24"/>
        </w:rPr>
        <w:t>ountries: A</w:t>
      </w:r>
      <w:r w:rsidR="00E3702D">
        <w:rPr>
          <w:rFonts w:ascii="Times New Roman" w:hAnsi="Times New Roman" w:cs="Times New Roman"/>
          <w:b/>
          <w:sz w:val="24"/>
          <w:szCs w:val="24"/>
        </w:rPr>
        <w:t>n</w:t>
      </w:r>
      <w:r w:rsidR="00746C57">
        <w:rPr>
          <w:rFonts w:ascii="Times New Roman" w:hAnsi="Times New Roman" w:cs="Times New Roman"/>
          <w:b/>
          <w:sz w:val="24"/>
          <w:szCs w:val="24"/>
        </w:rPr>
        <w:t xml:space="preserve"> applied performance d</w:t>
      </w:r>
      <w:r w:rsidRPr="00A211AF">
        <w:rPr>
          <w:rFonts w:ascii="Times New Roman" w:hAnsi="Times New Roman" w:cs="Times New Roman"/>
          <w:b/>
          <w:sz w:val="24"/>
          <w:szCs w:val="24"/>
        </w:rPr>
        <w:t>ashboard for India</w:t>
      </w:r>
    </w:p>
    <w:p w:rsidR="002A56A3" w:rsidRDefault="002A56A3" w:rsidP="002A56A3">
      <w:pPr>
        <w:spacing w:after="0" w:line="360" w:lineRule="auto"/>
        <w:rPr>
          <w:rFonts w:ascii="Times New Roman" w:hAnsi="Times New Roman" w:cs="Times New Roman"/>
          <w:b/>
          <w:sz w:val="24"/>
          <w:szCs w:val="24"/>
        </w:rPr>
      </w:pPr>
    </w:p>
    <w:sdt>
      <w:sdtPr>
        <w:id w:val="-1769379557"/>
        <w:docPartObj>
          <w:docPartGallery w:val="Table of Contents"/>
          <w:docPartUnique/>
        </w:docPartObj>
      </w:sdtPr>
      <w:sdtEndPr>
        <w:rPr>
          <w:b/>
          <w:bCs/>
          <w:noProof/>
        </w:rPr>
      </w:sdtEndPr>
      <w:sdtContent>
        <w:p w:rsidR="002A56A3" w:rsidRPr="002A56A3" w:rsidRDefault="00270A21">
          <w:pPr>
            <w:pStyle w:val="TOC1"/>
            <w:tabs>
              <w:tab w:val="right" w:leader="dot" w:pos="9350"/>
            </w:tabs>
            <w:rPr>
              <w:rFonts w:ascii="Times New Roman" w:eastAsiaTheme="minorEastAsia" w:hAnsi="Times New Roman" w:cs="Times New Roman"/>
              <w:noProof/>
            </w:rPr>
          </w:pPr>
          <w:r>
            <w:fldChar w:fldCharType="begin"/>
          </w:r>
          <w:r>
            <w:instrText xml:space="preserve"> TOC \o "1-3" \h \z \u </w:instrText>
          </w:r>
          <w:r>
            <w:fldChar w:fldCharType="separate"/>
          </w:r>
          <w:hyperlink w:anchor="_Toc161397057" w:history="1">
            <w:r w:rsidR="002A56A3" w:rsidRPr="002A56A3">
              <w:rPr>
                <w:rStyle w:val="Hyperlink"/>
                <w:rFonts w:ascii="Times New Roman" w:hAnsi="Times New Roman" w:cs="Times New Roman"/>
                <w:b/>
                <w:noProof/>
              </w:rPr>
              <w:t>Calculation of performance score based on the percentile rank approach</w:t>
            </w:r>
            <w:r w:rsidR="002A56A3" w:rsidRPr="002A56A3">
              <w:rPr>
                <w:rFonts w:ascii="Times New Roman" w:hAnsi="Times New Roman" w:cs="Times New Roman"/>
                <w:noProof/>
                <w:webHidden/>
              </w:rPr>
              <w:tab/>
            </w:r>
            <w:r w:rsidR="002A56A3" w:rsidRPr="002A56A3">
              <w:rPr>
                <w:rFonts w:ascii="Times New Roman" w:hAnsi="Times New Roman" w:cs="Times New Roman"/>
                <w:noProof/>
                <w:webHidden/>
              </w:rPr>
              <w:fldChar w:fldCharType="begin"/>
            </w:r>
            <w:r w:rsidR="002A56A3" w:rsidRPr="002A56A3">
              <w:rPr>
                <w:rFonts w:ascii="Times New Roman" w:hAnsi="Times New Roman" w:cs="Times New Roman"/>
                <w:noProof/>
                <w:webHidden/>
              </w:rPr>
              <w:instrText xml:space="preserve"> PAGEREF _Toc161397057 \h </w:instrText>
            </w:r>
            <w:r w:rsidR="002A56A3" w:rsidRPr="002A56A3">
              <w:rPr>
                <w:rFonts w:ascii="Times New Roman" w:hAnsi="Times New Roman" w:cs="Times New Roman"/>
                <w:noProof/>
                <w:webHidden/>
              </w:rPr>
            </w:r>
            <w:r w:rsidR="002A56A3" w:rsidRPr="002A56A3">
              <w:rPr>
                <w:rFonts w:ascii="Times New Roman" w:hAnsi="Times New Roman" w:cs="Times New Roman"/>
                <w:noProof/>
                <w:webHidden/>
              </w:rPr>
              <w:fldChar w:fldCharType="separate"/>
            </w:r>
            <w:r w:rsidR="002715EA">
              <w:rPr>
                <w:rFonts w:ascii="Times New Roman" w:hAnsi="Times New Roman" w:cs="Times New Roman"/>
                <w:noProof/>
                <w:webHidden/>
              </w:rPr>
              <w:t>2</w:t>
            </w:r>
            <w:r w:rsidR="002A56A3" w:rsidRPr="002A56A3">
              <w:rPr>
                <w:rFonts w:ascii="Times New Roman" w:hAnsi="Times New Roman" w:cs="Times New Roman"/>
                <w:noProof/>
                <w:webHidden/>
              </w:rPr>
              <w:fldChar w:fldCharType="end"/>
            </w:r>
          </w:hyperlink>
        </w:p>
        <w:p w:rsidR="002A56A3" w:rsidRPr="002A56A3" w:rsidRDefault="002715EA">
          <w:pPr>
            <w:pStyle w:val="TOC1"/>
            <w:tabs>
              <w:tab w:val="right" w:leader="dot" w:pos="9350"/>
            </w:tabs>
            <w:rPr>
              <w:rFonts w:ascii="Times New Roman" w:eastAsiaTheme="minorEastAsia" w:hAnsi="Times New Roman" w:cs="Times New Roman"/>
              <w:noProof/>
            </w:rPr>
          </w:pPr>
          <w:hyperlink w:anchor="_Toc161397058" w:history="1">
            <w:r w:rsidR="002A56A3" w:rsidRPr="002A56A3">
              <w:rPr>
                <w:rStyle w:val="Hyperlink"/>
                <w:rFonts w:ascii="Times New Roman" w:hAnsi="Times New Roman" w:cs="Times New Roman"/>
                <w:b/>
                <w:noProof/>
              </w:rPr>
              <w:t>Calculation of performance score based on the Z-score approach</w:t>
            </w:r>
            <w:r w:rsidR="002A56A3" w:rsidRPr="002A56A3">
              <w:rPr>
                <w:rFonts w:ascii="Times New Roman" w:hAnsi="Times New Roman" w:cs="Times New Roman"/>
                <w:noProof/>
                <w:webHidden/>
              </w:rPr>
              <w:tab/>
            </w:r>
            <w:r w:rsidR="002A56A3" w:rsidRPr="002A56A3">
              <w:rPr>
                <w:rFonts w:ascii="Times New Roman" w:hAnsi="Times New Roman" w:cs="Times New Roman"/>
                <w:noProof/>
                <w:webHidden/>
              </w:rPr>
              <w:fldChar w:fldCharType="begin"/>
            </w:r>
            <w:r w:rsidR="002A56A3" w:rsidRPr="002A56A3">
              <w:rPr>
                <w:rFonts w:ascii="Times New Roman" w:hAnsi="Times New Roman" w:cs="Times New Roman"/>
                <w:noProof/>
                <w:webHidden/>
              </w:rPr>
              <w:instrText xml:space="preserve"> PAGEREF _Toc161397058 \h </w:instrText>
            </w:r>
            <w:r w:rsidR="002A56A3" w:rsidRPr="002A56A3">
              <w:rPr>
                <w:rFonts w:ascii="Times New Roman" w:hAnsi="Times New Roman" w:cs="Times New Roman"/>
                <w:noProof/>
                <w:webHidden/>
              </w:rPr>
            </w:r>
            <w:r w:rsidR="002A56A3" w:rsidRPr="002A56A3">
              <w:rPr>
                <w:rFonts w:ascii="Times New Roman" w:hAnsi="Times New Roman" w:cs="Times New Roman"/>
                <w:noProof/>
                <w:webHidden/>
              </w:rPr>
              <w:fldChar w:fldCharType="separate"/>
            </w:r>
            <w:r>
              <w:rPr>
                <w:rFonts w:ascii="Times New Roman" w:hAnsi="Times New Roman" w:cs="Times New Roman"/>
                <w:noProof/>
                <w:webHidden/>
              </w:rPr>
              <w:t>2</w:t>
            </w:r>
            <w:r w:rsidR="002A56A3" w:rsidRPr="002A56A3">
              <w:rPr>
                <w:rFonts w:ascii="Times New Roman" w:hAnsi="Times New Roman" w:cs="Times New Roman"/>
                <w:noProof/>
                <w:webHidden/>
              </w:rPr>
              <w:fldChar w:fldCharType="end"/>
            </w:r>
          </w:hyperlink>
        </w:p>
        <w:p w:rsidR="002A56A3" w:rsidRPr="002A56A3" w:rsidRDefault="002715EA">
          <w:pPr>
            <w:pStyle w:val="TOC1"/>
            <w:tabs>
              <w:tab w:val="right" w:leader="dot" w:pos="9350"/>
            </w:tabs>
            <w:rPr>
              <w:rFonts w:ascii="Times New Roman" w:eastAsiaTheme="minorEastAsia" w:hAnsi="Times New Roman" w:cs="Times New Roman"/>
              <w:noProof/>
            </w:rPr>
          </w:pPr>
          <w:hyperlink w:anchor="_Toc161397059" w:history="1">
            <w:r w:rsidR="002A56A3" w:rsidRPr="002A56A3">
              <w:rPr>
                <w:rStyle w:val="Hyperlink"/>
                <w:rFonts w:ascii="Times New Roman" w:hAnsi="Times New Roman" w:cs="Times New Roman"/>
                <w:b/>
                <w:noProof/>
              </w:rPr>
              <w:t>Supplementary Tables</w:t>
            </w:r>
            <w:r w:rsidR="002A56A3" w:rsidRPr="002A56A3">
              <w:rPr>
                <w:rFonts w:ascii="Times New Roman" w:hAnsi="Times New Roman" w:cs="Times New Roman"/>
                <w:noProof/>
                <w:webHidden/>
              </w:rPr>
              <w:tab/>
            </w:r>
            <w:r w:rsidR="002A56A3" w:rsidRPr="002A56A3">
              <w:rPr>
                <w:rFonts w:ascii="Times New Roman" w:hAnsi="Times New Roman" w:cs="Times New Roman"/>
                <w:noProof/>
                <w:webHidden/>
              </w:rPr>
              <w:fldChar w:fldCharType="begin"/>
            </w:r>
            <w:r w:rsidR="002A56A3" w:rsidRPr="002A56A3">
              <w:rPr>
                <w:rFonts w:ascii="Times New Roman" w:hAnsi="Times New Roman" w:cs="Times New Roman"/>
                <w:noProof/>
                <w:webHidden/>
              </w:rPr>
              <w:instrText xml:space="preserve"> PAGEREF _Toc161397059 \h </w:instrText>
            </w:r>
            <w:r w:rsidR="002A56A3" w:rsidRPr="002A56A3">
              <w:rPr>
                <w:rFonts w:ascii="Times New Roman" w:hAnsi="Times New Roman" w:cs="Times New Roman"/>
                <w:noProof/>
                <w:webHidden/>
              </w:rPr>
            </w:r>
            <w:r w:rsidR="002A56A3" w:rsidRPr="002A56A3">
              <w:rPr>
                <w:rFonts w:ascii="Times New Roman" w:hAnsi="Times New Roman" w:cs="Times New Roman"/>
                <w:noProof/>
                <w:webHidden/>
              </w:rPr>
              <w:fldChar w:fldCharType="separate"/>
            </w:r>
            <w:r>
              <w:rPr>
                <w:rFonts w:ascii="Times New Roman" w:hAnsi="Times New Roman" w:cs="Times New Roman"/>
                <w:noProof/>
                <w:webHidden/>
              </w:rPr>
              <w:t>3</w:t>
            </w:r>
            <w:r w:rsidR="002A56A3" w:rsidRPr="002A56A3">
              <w:rPr>
                <w:rFonts w:ascii="Times New Roman" w:hAnsi="Times New Roman" w:cs="Times New Roman"/>
                <w:noProof/>
                <w:webHidden/>
              </w:rPr>
              <w:fldChar w:fldCharType="end"/>
            </w:r>
          </w:hyperlink>
        </w:p>
        <w:p w:rsidR="002A56A3" w:rsidRPr="002A56A3" w:rsidRDefault="002715EA">
          <w:pPr>
            <w:pStyle w:val="TOC2"/>
            <w:tabs>
              <w:tab w:val="right" w:leader="dot" w:pos="9350"/>
            </w:tabs>
            <w:rPr>
              <w:rFonts w:ascii="Times New Roman" w:eastAsiaTheme="minorEastAsia" w:hAnsi="Times New Roman" w:cs="Times New Roman"/>
              <w:noProof/>
            </w:rPr>
          </w:pPr>
          <w:hyperlink w:anchor="_Toc161397060" w:history="1">
            <w:r w:rsidR="002A56A3" w:rsidRPr="002A56A3">
              <w:rPr>
                <w:rStyle w:val="Hyperlink"/>
                <w:rFonts w:ascii="Times New Roman" w:hAnsi="Times New Roman" w:cs="Times New Roman"/>
                <w:noProof/>
              </w:rPr>
              <w:t>Table A1. List of 33 lower-middle income countries with population of more than 7 million in 2020</w:t>
            </w:r>
            <w:r w:rsidR="002A56A3" w:rsidRPr="002A56A3">
              <w:rPr>
                <w:rFonts w:ascii="Times New Roman" w:hAnsi="Times New Roman" w:cs="Times New Roman"/>
                <w:noProof/>
                <w:webHidden/>
              </w:rPr>
              <w:tab/>
            </w:r>
            <w:r w:rsidR="002A56A3" w:rsidRPr="002A56A3">
              <w:rPr>
                <w:rFonts w:ascii="Times New Roman" w:hAnsi="Times New Roman" w:cs="Times New Roman"/>
                <w:noProof/>
                <w:webHidden/>
              </w:rPr>
              <w:fldChar w:fldCharType="begin"/>
            </w:r>
            <w:r w:rsidR="002A56A3" w:rsidRPr="002A56A3">
              <w:rPr>
                <w:rFonts w:ascii="Times New Roman" w:hAnsi="Times New Roman" w:cs="Times New Roman"/>
                <w:noProof/>
                <w:webHidden/>
              </w:rPr>
              <w:instrText xml:space="preserve"> PAGEREF _Toc161397060 \h </w:instrText>
            </w:r>
            <w:r w:rsidR="002A56A3" w:rsidRPr="002A56A3">
              <w:rPr>
                <w:rFonts w:ascii="Times New Roman" w:hAnsi="Times New Roman" w:cs="Times New Roman"/>
                <w:noProof/>
                <w:webHidden/>
              </w:rPr>
            </w:r>
            <w:r w:rsidR="002A56A3" w:rsidRPr="002A56A3">
              <w:rPr>
                <w:rFonts w:ascii="Times New Roman" w:hAnsi="Times New Roman" w:cs="Times New Roman"/>
                <w:noProof/>
                <w:webHidden/>
              </w:rPr>
              <w:fldChar w:fldCharType="separate"/>
            </w:r>
            <w:r>
              <w:rPr>
                <w:rFonts w:ascii="Times New Roman" w:hAnsi="Times New Roman" w:cs="Times New Roman"/>
                <w:noProof/>
                <w:webHidden/>
              </w:rPr>
              <w:t>3</w:t>
            </w:r>
            <w:r w:rsidR="002A56A3" w:rsidRPr="002A56A3">
              <w:rPr>
                <w:rFonts w:ascii="Times New Roman" w:hAnsi="Times New Roman" w:cs="Times New Roman"/>
                <w:noProof/>
                <w:webHidden/>
              </w:rPr>
              <w:fldChar w:fldCharType="end"/>
            </w:r>
          </w:hyperlink>
        </w:p>
        <w:p w:rsidR="002A56A3" w:rsidRPr="002A56A3" w:rsidRDefault="002715EA">
          <w:pPr>
            <w:pStyle w:val="TOC2"/>
            <w:tabs>
              <w:tab w:val="right" w:leader="dot" w:pos="9350"/>
            </w:tabs>
            <w:rPr>
              <w:rFonts w:ascii="Times New Roman" w:eastAsiaTheme="minorEastAsia" w:hAnsi="Times New Roman" w:cs="Times New Roman"/>
              <w:noProof/>
            </w:rPr>
          </w:pPr>
          <w:hyperlink w:anchor="_Toc161397061" w:history="1">
            <w:r w:rsidR="002A56A3" w:rsidRPr="002A56A3">
              <w:rPr>
                <w:rStyle w:val="Hyperlink"/>
                <w:rFonts w:ascii="Times New Roman" w:hAnsi="Times New Roman" w:cs="Times New Roman"/>
                <w:noProof/>
              </w:rPr>
              <w:t>Table A2. Indicator data sources for the HLI dashboard for India</w:t>
            </w:r>
            <w:r w:rsidR="002A56A3" w:rsidRPr="002A56A3">
              <w:rPr>
                <w:rFonts w:ascii="Times New Roman" w:hAnsi="Times New Roman" w:cs="Times New Roman"/>
                <w:noProof/>
                <w:webHidden/>
              </w:rPr>
              <w:tab/>
            </w:r>
            <w:r w:rsidR="002A56A3" w:rsidRPr="002A56A3">
              <w:rPr>
                <w:rFonts w:ascii="Times New Roman" w:hAnsi="Times New Roman" w:cs="Times New Roman"/>
                <w:noProof/>
                <w:webHidden/>
              </w:rPr>
              <w:fldChar w:fldCharType="begin"/>
            </w:r>
            <w:r w:rsidR="002A56A3" w:rsidRPr="002A56A3">
              <w:rPr>
                <w:rFonts w:ascii="Times New Roman" w:hAnsi="Times New Roman" w:cs="Times New Roman"/>
                <w:noProof/>
                <w:webHidden/>
              </w:rPr>
              <w:instrText xml:space="preserve"> PAGEREF _Toc161397061 \h </w:instrText>
            </w:r>
            <w:r w:rsidR="002A56A3" w:rsidRPr="002A56A3">
              <w:rPr>
                <w:rFonts w:ascii="Times New Roman" w:hAnsi="Times New Roman" w:cs="Times New Roman"/>
                <w:noProof/>
                <w:webHidden/>
              </w:rPr>
            </w:r>
            <w:r w:rsidR="002A56A3" w:rsidRPr="002A56A3">
              <w:rPr>
                <w:rFonts w:ascii="Times New Roman" w:hAnsi="Times New Roman" w:cs="Times New Roman"/>
                <w:noProof/>
                <w:webHidden/>
              </w:rPr>
              <w:fldChar w:fldCharType="separate"/>
            </w:r>
            <w:r>
              <w:rPr>
                <w:rFonts w:ascii="Times New Roman" w:hAnsi="Times New Roman" w:cs="Times New Roman"/>
                <w:noProof/>
                <w:webHidden/>
              </w:rPr>
              <w:t>3</w:t>
            </w:r>
            <w:r w:rsidR="002A56A3" w:rsidRPr="002A56A3">
              <w:rPr>
                <w:rFonts w:ascii="Times New Roman" w:hAnsi="Times New Roman" w:cs="Times New Roman"/>
                <w:noProof/>
                <w:webHidden/>
              </w:rPr>
              <w:fldChar w:fldCharType="end"/>
            </w:r>
          </w:hyperlink>
        </w:p>
        <w:p w:rsidR="002A56A3" w:rsidRPr="002A56A3" w:rsidRDefault="002715EA">
          <w:pPr>
            <w:pStyle w:val="TOC1"/>
            <w:tabs>
              <w:tab w:val="right" w:leader="dot" w:pos="9350"/>
            </w:tabs>
            <w:rPr>
              <w:rFonts w:ascii="Times New Roman" w:eastAsiaTheme="minorEastAsia" w:hAnsi="Times New Roman" w:cs="Times New Roman"/>
              <w:noProof/>
            </w:rPr>
          </w:pPr>
          <w:hyperlink w:anchor="_Toc161397062" w:history="1">
            <w:r w:rsidR="002A56A3" w:rsidRPr="002A56A3">
              <w:rPr>
                <w:rStyle w:val="Hyperlink"/>
                <w:rFonts w:ascii="Times New Roman" w:hAnsi="Times New Roman" w:cs="Times New Roman"/>
                <w:b/>
                <w:noProof/>
              </w:rPr>
              <w:t>References</w:t>
            </w:r>
            <w:r w:rsidR="002A56A3" w:rsidRPr="002A56A3">
              <w:rPr>
                <w:rFonts w:ascii="Times New Roman" w:hAnsi="Times New Roman" w:cs="Times New Roman"/>
                <w:noProof/>
                <w:webHidden/>
              </w:rPr>
              <w:tab/>
            </w:r>
            <w:r w:rsidR="002A56A3" w:rsidRPr="002A56A3">
              <w:rPr>
                <w:rFonts w:ascii="Times New Roman" w:hAnsi="Times New Roman" w:cs="Times New Roman"/>
                <w:noProof/>
                <w:webHidden/>
              </w:rPr>
              <w:fldChar w:fldCharType="begin"/>
            </w:r>
            <w:r w:rsidR="002A56A3" w:rsidRPr="002A56A3">
              <w:rPr>
                <w:rFonts w:ascii="Times New Roman" w:hAnsi="Times New Roman" w:cs="Times New Roman"/>
                <w:noProof/>
                <w:webHidden/>
              </w:rPr>
              <w:instrText xml:space="preserve"> PAGEREF _Toc161397062 \h </w:instrText>
            </w:r>
            <w:r w:rsidR="002A56A3" w:rsidRPr="002A56A3">
              <w:rPr>
                <w:rFonts w:ascii="Times New Roman" w:hAnsi="Times New Roman" w:cs="Times New Roman"/>
                <w:noProof/>
                <w:webHidden/>
              </w:rPr>
            </w:r>
            <w:r w:rsidR="002A56A3" w:rsidRPr="002A56A3">
              <w:rPr>
                <w:rFonts w:ascii="Times New Roman" w:hAnsi="Times New Roman" w:cs="Times New Roman"/>
                <w:noProof/>
                <w:webHidden/>
              </w:rPr>
              <w:fldChar w:fldCharType="separate"/>
            </w:r>
            <w:r>
              <w:rPr>
                <w:rFonts w:ascii="Times New Roman" w:hAnsi="Times New Roman" w:cs="Times New Roman"/>
                <w:noProof/>
                <w:webHidden/>
              </w:rPr>
              <w:t>5</w:t>
            </w:r>
            <w:r w:rsidR="002A56A3" w:rsidRPr="002A56A3">
              <w:rPr>
                <w:rFonts w:ascii="Times New Roman" w:hAnsi="Times New Roman" w:cs="Times New Roman"/>
                <w:noProof/>
                <w:webHidden/>
              </w:rPr>
              <w:fldChar w:fldCharType="end"/>
            </w:r>
          </w:hyperlink>
        </w:p>
        <w:p w:rsidR="00270A21" w:rsidRDefault="00270A21">
          <w:r>
            <w:rPr>
              <w:b/>
              <w:bCs/>
              <w:noProof/>
            </w:rPr>
            <w:fldChar w:fldCharType="end"/>
          </w:r>
        </w:p>
      </w:sdtContent>
    </w:sdt>
    <w:p w:rsidR="00270A21" w:rsidRPr="00A211AF" w:rsidRDefault="00270A21" w:rsidP="00A211AF">
      <w:pPr>
        <w:rPr>
          <w:rFonts w:ascii="Times New Roman" w:hAnsi="Times New Roman" w:cs="Times New Roman"/>
          <w:b/>
          <w:sz w:val="20"/>
          <w:szCs w:val="20"/>
        </w:rPr>
      </w:pPr>
    </w:p>
    <w:p w:rsidR="00270A21" w:rsidRDefault="00270A21" w:rsidP="00270A21">
      <w:pPr>
        <w:spacing w:after="0" w:line="240" w:lineRule="auto"/>
        <w:jc w:val="both"/>
        <w:rPr>
          <w:rStyle w:val="Heading1Char"/>
          <w:rFonts w:ascii="Times New Roman" w:hAnsi="Times New Roman" w:cs="Times New Roman"/>
          <w:color w:val="auto"/>
          <w:sz w:val="20"/>
          <w:szCs w:val="20"/>
        </w:rPr>
      </w:pPr>
    </w:p>
    <w:p w:rsidR="00270A21" w:rsidRDefault="00270A21" w:rsidP="00270A21">
      <w:pPr>
        <w:spacing w:after="0" w:line="240" w:lineRule="auto"/>
        <w:jc w:val="both"/>
        <w:rPr>
          <w:rStyle w:val="Heading1Char"/>
          <w:rFonts w:ascii="Times New Roman" w:hAnsi="Times New Roman" w:cs="Times New Roman"/>
          <w:color w:val="auto"/>
          <w:sz w:val="20"/>
          <w:szCs w:val="20"/>
        </w:rPr>
        <w:sectPr w:rsidR="00270A21" w:rsidSect="00465A31">
          <w:footerReference w:type="default" r:id="rId8"/>
          <w:pgSz w:w="12240" w:h="15840"/>
          <w:pgMar w:top="1440" w:right="1440" w:bottom="1440" w:left="1440" w:header="720" w:footer="720" w:gutter="0"/>
          <w:cols w:space="720"/>
          <w:docGrid w:linePitch="360"/>
        </w:sectPr>
      </w:pPr>
    </w:p>
    <w:p w:rsidR="00E3702D" w:rsidRPr="00E3702D" w:rsidRDefault="00E3702D" w:rsidP="002A56A3">
      <w:pPr>
        <w:pStyle w:val="Heading1"/>
        <w:spacing w:before="0" w:line="240" w:lineRule="auto"/>
        <w:rPr>
          <w:rFonts w:ascii="Times New Roman" w:hAnsi="Times New Roman" w:cs="Times New Roman"/>
          <w:b/>
          <w:color w:val="auto"/>
          <w:sz w:val="22"/>
          <w:szCs w:val="22"/>
        </w:rPr>
      </w:pPr>
      <w:bookmarkStart w:id="0" w:name="_Toc161397057"/>
      <w:r w:rsidRPr="00E3702D">
        <w:rPr>
          <w:rFonts w:ascii="Times New Roman" w:hAnsi="Times New Roman" w:cs="Times New Roman"/>
          <w:b/>
          <w:color w:val="auto"/>
          <w:sz w:val="22"/>
          <w:szCs w:val="22"/>
        </w:rPr>
        <w:lastRenderedPageBreak/>
        <w:t>Calculation of performance score based on the percentile rank approach</w:t>
      </w:r>
      <w:bookmarkEnd w:id="0"/>
    </w:p>
    <w:p w:rsidR="00E3702D" w:rsidRPr="00E3702D" w:rsidRDefault="00E3702D" w:rsidP="002A56A3">
      <w:pPr>
        <w:spacing w:after="0" w:line="240" w:lineRule="auto"/>
        <w:rPr>
          <w:rFonts w:ascii="Times New Roman" w:eastAsiaTheme="minorEastAsia" w:hAnsi="Times New Roman" w:cs="Times New Roman"/>
        </w:rPr>
      </w:pPr>
      <w:r w:rsidRPr="00E3702D">
        <w:rPr>
          <w:rFonts w:ascii="Times New Roman" w:hAnsi="Times New Roman" w:cs="Times New Roman"/>
        </w:rPr>
        <w:t xml:space="preserve">In the percentile rank approach, the score for an indicator is represented by its percentile rank, calculated using the standard formula: </w:t>
      </w:r>
    </w:p>
    <w:p w:rsidR="00E3702D" w:rsidRPr="00E3702D" w:rsidRDefault="00E3702D" w:rsidP="002A56A3">
      <w:pPr>
        <w:spacing w:after="0" w:line="240" w:lineRule="auto"/>
        <w:rPr>
          <w:rFonts w:ascii="Times New Roman" w:eastAsiaTheme="minorEastAsia" w:hAnsi="Times New Roman" w:cs="Times New Roman"/>
        </w:rPr>
      </w:pPr>
      <m:oMathPara>
        <m:oMath>
          <m:r>
            <w:rPr>
              <w:rFonts w:ascii="Cambria Math" w:hAnsi="Cambria Math" w:cs="Times New Roman"/>
            </w:rPr>
            <m:t>Percentile rank=</m:t>
          </m:r>
          <m:f>
            <m:fPr>
              <m:ctrlPr>
                <w:rPr>
                  <w:rFonts w:ascii="Cambria Math" w:hAnsi="Cambria Math" w:cs="Times New Roman"/>
                  <w:i/>
                </w:rPr>
              </m:ctrlPr>
            </m:fPr>
            <m:num>
              <m:r>
                <w:rPr>
                  <w:rFonts w:ascii="Cambria Math" w:hAnsi="Cambria Math" w:cs="Times New Roman"/>
                </w:rPr>
                <m:t>M+(0.5*R)</m:t>
              </m:r>
            </m:num>
            <m:den>
              <m:r>
                <w:rPr>
                  <w:rFonts w:ascii="Cambria Math" w:hAnsi="Cambria Math" w:cs="Times New Roman"/>
                </w:rPr>
                <m:t>Y</m:t>
              </m:r>
            </m:den>
          </m:f>
        </m:oMath>
      </m:oMathPara>
    </w:p>
    <w:p w:rsidR="00E3702D" w:rsidRPr="00E3702D" w:rsidRDefault="00E3702D" w:rsidP="002A56A3">
      <w:pPr>
        <w:spacing w:after="0" w:line="240" w:lineRule="auto"/>
        <w:rPr>
          <w:rFonts w:ascii="Times New Roman" w:hAnsi="Times New Roman" w:cs="Times New Roman"/>
        </w:rPr>
      </w:pPr>
      <w:r w:rsidRPr="00E3702D">
        <w:rPr>
          <w:rFonts w:ascii="Times New Roman" w:hAnsi="Times New Roman" w:cs="Times New Roman"/>
        </w:rPr>
        <w:t xml:space="preserve">, where M is the number of values below the value for the given country, R is the number of values equals to the value for the country, and Y is the total number of values. </w:t>
      </w:r>
    </w:p>
    <w:p w:rsidR="00E3702D" w:rsidRDefault="00E3702D" w:rsidP="002A56A3">
      <w:pPr>
        <w:spacing w:after="0" w:line="240" w:lineRule="auto"/>
        <w:rPr>
          <w:rFonts w:ascii="Times New Roman" w:hAnsi="Times New Roman" w:cs="Times New Roman"/>
        </w:rPr>
      </w:pPr>
      <w:r w:rsidRPr="00E3702D">
        <w:rPr>
          <w:rFonts w:ascii="Times New Roman" w:hAnsi="Times New Roman" w:cs="Times New Roman"/>
        </w:rPr>
        <w:t xml:space="preserve">For indicators where a higher value indicates better performance, such as life expectancy and employment rate, the percentile rank is directly interpreted as the score, whereas for indicators where a lower value indicates better performance, such as mortality and morbidity rate, the score is further calculated as 1 – percentile rank. We use ‘P’ to denote the score calculated based on this approach.  </w:t>
      </w:r>
    </w:p>
    <w:p w:rsidR="009E1161" w:rsidRPr="00E3702D" w:rsidRDefault="009E1161" w:rsidP="002A56A3">
      <w:pPr>
        <w:spacing w:after="0" w:line="240" w:lineRule="auto"/>
        <w:rPr>
          <w:rFonts w:ascii="Times New Roman" w:hAnsi="Times New Roman" w:cs="Times New Roman"/>
        </w:rPr>
      </w:pPr>
      <w:bookmarkStart w:id="1" w:name="_GoBack"/>
      <w:bookmarkEnd w:id="1"/>
    </w:p>
    <w:p w:rsidR="00E3702D" w:rsidRPr="00E3702D" w:rsidRDefault="00E3702D" w:rsidP="002A56A3">
      <w:pPr>
        <w:pStyle w:val="Heading1"/>
        <w:spacing w:before="0" w:line="240" w:lineRule="auto"/>
        <w:rPr>
          <w:rFonts w:ascii="Times New Roman" w:hAnsi="Times New Roman" w:cs="Times New Roman"/>
          <w:b/>
          <w:color w:val="auto"/>
          <w:sz w:val="22"/>
          <w:szCs w:val="22"/>
        </w:rPr>
      </w:pPr>
      <w:bookmarkStart w:id="2" w:name="_Toc161397058"/>
      <w:r w:rsidRPr="00E3702D">
        <w:rPr>
          <w:rFonts w:ascii="Times New Roman" w:hAnsi="Times New Roman" w:cs="Times New Roman"/>
          <w:b/>
          <w:color w:val="auto"/>
          <w:sz w:val="22"/>
          <w:szCs w:val="22"/>
        </w:rPr>
        <w:t>Calculation of performance score based on the Z-score approach</w:t>
      </w:r>
      <w:bookmarkEnd w:id="2"/>
    </w:p>
    <w:p w:rsidR="00E3702D" w:rsidRPr="00E3702D" w:rsidRDefault="00E3702D" w:rsidP="002A56A3">
      <w:pPr>
        <w:spacing w:after="0" w:line="240" w:lineRule="auto"/>
        <w:rPr>
          <w:rFonts w:ascii="Times New Roman" w:hAnsi="Times New Roman" w:cs="Times New Roman"/>
        </w:rPr>
      </w:pPr>
      <w:r w:rsidRPr="00E3702D">
        <w:rPr>
          <w:rFonts w:ascii="Times New Roman" w:hAnsi="Times New Roman" w:cs="Times New Roman"/>
        </w:rPr>
        <w:t>While the percentile rank score represents the performance of a country relative to all other countries, it does not take into account the distribution of the indicator across countries. For this, we compute the z-score, assuming a normal distribution, using the standard formula:</w:t>
      </w:r>
    </w:p>
    <w:p w:rsidR="00E3702D" w:rsidRPr="00E3702D" w:rsidRDefault="00E3702D" w:rsidP="002A56A3">
      <w:pPr>
        <w:spacing w:after="0" w:line="240" w:lineRule="auto"/>
        <w:rPr>
          <w:rFonts w:ascii="Times New Roman" w:eastAsiaTheme="minorEastAsia" w:hAnsi="Times New Roman" w:cs="Times New Roman"/>
        </w:rPr>
      </w:pPr>
      <m:oMathPara>
        <m:oMath>
          <m:r>
            <w:rPr>
              <w:rFonts w:ascii="Cambria Math" w:hAnsi="Cambria Math" w:cs="Times New Roman"/>
            </w:rPr>
            <m:t>z=</m:t>
          </m:r>
          <m:f>
            <m:fPr>
              <m:ctrlPr>
                <w:rPr>
                  <w:rFonts w:ascii="Cambria Math" w:hAnsi="Cambria Math" w:cs="Times New Roman"/>
                  <w:i/>
                </w:rPr>
              </m:ctrlPr>
            </m:fPr>
            <m:num>
              <m:d>
                <m:dPr>
                  <m:ctrlPr>
                    <w:rPr>
                      <w:rFonts w:ascii="Cambria Math" w:hAnsi="Cambria Math" w:cs="Times New Roman"/>
                    </w:rPr>
                  </m:ctrlPr>
                </m:dPr>
                <m:e>
                  <m:r>
                    <m:rPr>
                      <m:sty m:val="p"/>
                    </m:rPr>
                    <w:rPr>
                      <w:rFonts w:ascii="Cambria Math" w:hAnsi="Cambria Math" w:cs="Times New Roman"/>
                    </w:rPr>
                    <m:t>x - µ</m:t>
                  </m:r>
                </m:e>
              </m:d>
            </m:num>
            <m:den>
              <m:r>
                <m:rPr>
                  <m:sty m:val="b"/>
                </m:rPr>
                <w:rPr>
                  <w:rStyle w:val="Strong"/>
                  <w:rFonts w:ascii="Cambria Math" w:hAnsi="Cambria Math" w:cs="Times New Roman"/>
                  <w:shd w:val="clear" w:color="auto" w:fill="FFFFFF"/>
                </w:rPr>
                <m:t>σ</m:t>
              </m:r>
            </m:den>
          </m:f>
        </m:oMath>
      </m:oMathPara>
    </w:p>
    <w:p w:rsidR="00E3702D" w:rsidRPr="00E3702D" w:rsidRDefault="00E3702D" w:rsidP="002A56A3">
      <w:pPr>
        <w:spacing w:after="0" w:line="240" w:lineRule="auto"/>
        <w:rPr>
          <w:rFonts w:ascii="Times New Roman" w:hAnsi="Times New Roman" w:cs="Times New Roman"/>
        </w:rPr>
      </w:pPr>
      <w:r w:rsidRPr="00E3702D">
        <w:rPr>
          <w:rFonts w:ascii="Times New Roman" w:hAnsi="Times New Roman" w:cs="Times New Roman"/>
        </w:rPr>
        <w:t>, where x is the value for the given country, µ is the mean value across all comparator countries, and</w:t>
      </w:r>
      <w:r w:rsidRPr="00E3702D">
        <w:rPr>
          <w:rStyle w:val="Strong"/>
          <w:rFonts w:ascii="Times New Roman" w:hAnsi="Times New Roman" w:cs="Times New Roman"/>
          <w:b w:val="0"/>
          <w:shd w:val="clear" w:color="auto" w:fill="FFFFFF"/>
        </w:rPr>
        <w:t> σ</w:t>
      </w:r>
      <w:r w:rsidRPr="00E3702D">
        <w:rPr>
          <w:rFonts w:ascii="Times New Roman" w:hAnsi="Times New Roman" w:cs="Times New Roman"/>
        </w:rPr>
        <w:t xml:space="preserve"> is the standard deviation.</w:t>
      </w:r>
    </w:p>
    <w:p w:rsidR="00E3702D" w:rsidRPr="00E3702D" w:rsidRDefault="00E3702D" w:rsidP="002A56A3">
      <w:pPr>
        <w:spacing w:after="0" w:line="240" w:lineRule="auto"/>
        <w:rPr>
          <w:rFonts w:ascii="Times New Roman" w:hAnsi="Times New Roman" w:cs="Times New Roman"/>
        </w:rPr>
      </w:pPr>
      <w:r w:rsidRPr="00E3702D">
        <w:rPr>
          <w:rFonts w:ascii="Times New Roman" w:hAnsi="Times New Roman" w:cs="Times New Roman"/>
        </w:rPr>
        <w:t xml:space="preserve">Based on the z-score, we then use the z-table to obtain the percentage of countries with scores lower than that of the study country. This percentage is used as the score for indicators where the higher the value, the better the performance, such as life expectancy. For indicators where the lower the value, the better the performance, the score is further calculated as 1 – calculated percentage. The score calculated using this approach is denoted by ‘Z’.    </w:t>
      </w: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2A56A3" w:rsidRDefault="002A56A3" w:rsidP="00270A21">
      <w:pPr>
        <w:spacing w:after="0" w:line="240" w:lineRule="auto"/>
        <w:jc w:val="both"/>
        <w:rPr>
          <w:rStyle w:val="Heading1Char"/>
          <w:rFonts w:ascii="Times New Roman" w:hAnsi="Times New Roman" w:cs="Times New Roman"/>
          <w:color w:val="auto"/>
          <w:sz w:val="20"/>
          <w:szCs w:val="20"/>
        </w:rPr>
      </w:pPr>
    </w:p>
    <w:p w:rsidR="002A56A3" w:rsidRDefault="002A56A3" w:rsidP="00270A21">
      <w:pPr>
        <w:spacing w:after="0" w:line="240" w:lineRule="auto"/>
        <w:jc w:val="both"/>
        <w:rPr>
          <w:rStyle w:val="Heading1Char"/>
          <w:rFonts w:ascii="Times New Roman" w:hAnsi="Times New Roman" w:cs="Times New Roman"/>
          <w:color w:val="auto"/>
          <w:sz w:val="20"/>
          <w:szCs w:val="20"/>
        </w:rPr>
      </w:pPr>
    </w:p>
    <w:p w:rsidR="002A56A3" w:rsidRDefault="002A56A3" w:rsidP="00270A21">
      <w:pPr>
        <w:spacing w:after="0" w:line="240" w:lineRule="auto"/>
        <w:jc w:val="both"/>
        <w:rPr>
          <w:rStyle w:val="Heading1Char"/>
          <w:rFonts w:ascii="Times New Roman" w:hAnsi="Times New Roman" w:cs="Times New Roman"/>
          <w:color w:val="auto"/>
          <w:sz w:val="20"/>
          <w:szCs w:val="20"/>
        </w:rPr>
      </w:pPr>
    </w:p>
    <w:p w:rsidR="002A56A3" w:rsidRDefault="002A56A3" w:rsidP="00270A21">
      <w:pPr>
        <w:spacing w:after="0" w:line="240" w:lineRule="auto"/>
        <w:jc w:val="both"/>
        <w:rPr>
          <w:rStyle w:val="Heading1Char"/>
          <w:rFonts w:ascii="Times New Roman" w:hAnsi="Times New Roman" w:cs="Times New Roman"/>
          <w:color w:val="auto"/>
          <w:sz w:val="20"/>
          <w:szCs w:val="20"/>
        </w:rPr>
      </w:pPr>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2A56A3" w:rsidRDefault="002A56A3" w:rsidP="00270A21">
      <w:pPr>
        <w:spacing w:after="0" w:line="240" w:lineRule="auto"/>
        <w:jc w:val="both"/>
        <w:rPr>
          <w:rStyle w:val="Heading1Char"/>
          <w:rFonts w:ascii="Times New Roman" w:hAnsi="Times New Roman" w:cs="Times New Roman"/>
          <w:b/>
          <w:color w:val="auto"/>
          <w:sz w:val="22"/>
          <w:szCs w:val="22"/>
        </w:rPr>
        <w:sectPr w:rsidR="002A56A3" w:rsidSect="00465A31">
          <w:pgSz w:w="12240" w:h="15840"/>
          <w:pgMar w:top="1440" w:right="1440" w:bottom="1440" w:left="1440" w:header="720" w:footer="720" w:gutter="0"/>
          <w:cols w:space="720"/>
          <w:docGrid w:linePitch="360"/>
        </w:sectPr>
      </w:pPr>
      <w:bookmarkStart w:id="3" w:name="_Toc161397059"/>
    </w:p>
    <w:p w:rsidR="00E3702D" w:rsidRPr="00E3702D" w:rsidRDefault="00E3702D" w:rsidP="00270A21">
      <w:pPr>
        <w:spacing w:after="0" w:line="240" w:lineRule="auto"/>
        <w:jc w:val="both"/>
        <w:rPr>
          <w:rStyle w:val="Heading1Char"/>
          <w:rFonts w:ascii="Times New Roman" w:hAnsi="Times New Roman" w:cs="Times New Roman"/>
          <w:b/>
          <w:color w:val="auto"/>
          <w:sz w:val="22"/>
          <w:szCs w:val="22"/>
        </w:rPr>
      </w:pPr>
      <w:r w:rsidRPr="00E3702D">
        <w:rPr>
          <w:rStyle w:val="Heading1Char"/>
          <w:rFonts w:ascii="Times New Roman" w:hAnsi="Times New Roman" w:cs="Times New Roman"/>
          <w:b/>
          <w:color w:val="auto"/>
          <w:sz w:val="22"/>
          <w:szCs w:val="22"/>
        </w:rPr>
        <w:lastRenderedPageBreak/>
        <w:t>Supplementary Tables</w:t>
      </w:r>
      <w:bookmarkEnd w:id="3"/>
    </w:p>
    <w:p w:rsidR="00E3702D" w:rsidRDefault="00E3702D" w:rsidP="00270A21">
      <w:pPr>
        <w:spacing w:after="0" w:line="240" w:lineRule="auto"/>
        <w:jc w:val="both"/>
        <w:rPr>
          <w:rStyle w:val="Heading1Char"/>
          <w:rFonts w:ascii="Times New Roman" w:hAnsi="Times New Roman" w:cs="Times New Roman"/>
          <w:color w:val="auto"/>
          <w:sz w:val="20"/>
          <w:szCs w:val="20"/>
        </w:rPr>
      </w:pPr>
    </w:p>
    <w:p w:rsidR="00A211AF" w:rsidRPr="00A211AF" w:rsidRDefault="00A211AF" w:rsidP="00270A21">
      <w:pPr>
        <w:spacing w:after="0" w:line="240" w:lineRule="auto"/>
        <w:jc w:val="both"/>
        <w:rPr>
          <w:rFonts w:ascii="Times New Roman" w:hAnsi="Times New Roman" w:cs="Times New Roman"/>
          <w:sz w:val="20"/>
          <w:szCs w:val="20"/>
        </w:rPr>
      </w:pPr>
      <w:bookmarkStart w:id="4" w:name="_Toc161397060"/>
      <w:r w:rsidRPr="00E3702D">
        <w:rPr>
          <w:rStyle w:val="Heading2Char"/>
          <w:rFonts w:ascii="Times New Roman" w:hAnsi="Times New Roman" w:cs="Times New Roman"/>
          <w:color w:val="auto"/>
          <w:sz w:val="20"/>
          <w:szCs w:val="20"/>
        </w:rPr>
        <w:t xml:space="preserve">Table </w:t>
      </w:r>
      <w:r w:rsidR="00E3702D" w:rsidRPr="00E3702D">
        <w:rPr>
          <w:rStyle w:val="Heading2Char"/>
          <w:rFonts w:ascii="Times New Roman" w:hAnsi="Times New Roman" w:cs="Times New Roman"/>
          <w:color w:val="auto"/>
          <w:sz w:val="20"/>
          <w:szCs w:val="20"/>
        </w:rPr>
        <w:t>A</w:t>
      </w:r>
      <w:r w:rsidRPr="00E3702D">
        <w:rPr>
          <w:rStyle w:val="Heading2Char"/>
          <w:rFonts w:ascii="Times New Roman" w:hAnsi="Times New Roman" w:cs="Times New Roman"/>
          <w:color w:val="auto"/>
          <w:sz w:val="20"/>
          <w:szCs w:val="20"/>
        </w:rPr>
        <w:t>1. List of 33 lower-middle income countries with population of more than 7 million in 2020</w:t>
      </w:r>
      <w:bookmarkEnd w:id="4"/>
      <w:r w:rsidRPr="00270A21">
        <w:rPr>
          <w:rStyle w:val="Heading1Char"/>
          <w:rFonts w:ascii="Times New Roman" w:hAnsi="Times New Roman" w:cs="Times New Roman"/>
          <w:color w:val="auto"/>
          <w:sz w:val="20"/>
          <w:szCs w:val="20"/>
        </w:rPr>
        <w:t>.</w:t>
      </w:r>
      <w:r w:rsid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{"citationID":"BDiENatg","properties":{"formattedCitation":"(1,2)","plainCitation":"(1,2)","noteIndex":0},"citationItems":[{"id":8836,"uris":["http://zotero.org/users/8802206/items/XEKZQ5H6"],"itemData":{"id":8836,"type":"webpage","title":"World Bank Country and Lending Groups","URL":"https://datahelpdesk.worldbank.org/knowledgebase/articles/906519-world-bank-country-and-lending-groups","author":[{"family":"World Bank","given":""}],"accessed":{"date-parts":[["2022",9,28]]},"issued":{"date-parts":[["2021"]]}}},{"id":8835,"uris":["http://zotero.org/users/8802206/items/78GQ3NHG"],"itemData":{"id":8835,"type":"webpage","title":"World Population Prospects 2022","URL":"https://population.un.org/dataportal/home","author":[{"family":"United Nations, Department of Economic and Social Affairs, Population Division","given":""}],"accessed":{"date-parts":[["2022",9,28]]},"issued":{"date-parts":[["2022"]]}}}],"schema":"https://github.com/citation-style-language/schema/raw/master/csl-citation.json"} </w:instrText>
      </w:r>
      <w:r w:rsidR="00270A21">
        <w:rPr>
          <w:rFonts w:ascii="Times New Roman" w:hAnsi="Times New Roman" w:cs="Times New Roman"/>
          <w:sz w:val="20"/>
          <w:szCs w:val="20"/>
        </w:rPr>
        <w:fldChar w:fldCharType="separate"/>
      </w:r>
      <w:r w:rsidR="00DE31C7" w:rsidRPr="00DE31C7">
        <w:rPr>
          <w:rFonts w:ascii="Times New Roman" w:hAnsi="Times New Roman" w:cs="Times New Roman"/>
          <w:sz w:val="20"/>
        </w:rPr>
        <w:t>(1,2)</w:t>
      </w:r>
      <w:r w:rsidR="00270A21">
        <w:rPr>
          <w:rFonts w:ascii="Times New Roman" w:hAnsi="Times New Roman" w:cs="Times New Roman"/>
          <w:sz w:val="20"/>
          <w:szCs w:val="20"/>
        </w:rPr>
        <w:fldChar w:fldCharType="end"/>
      </w: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1795"/>
        <w:gridCol w:w="3240"/>
        <w:gridCol w:w="2160"/>
        <w:gridCol w:w="2160"/>
      </w:tblGrid>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Algeria</w:t>
            </w:r>
          </w:p>
        </w:tc>
        <w:tc>
          <w:tcPr>
            <w:tcW w:w="324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Ghana</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sz w:val="20"/>
                <w:szCs w:val="20"/>
              </w:rPr>
              <w:t>Myanmar</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Tunisia</w:t>
            </w: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Angola</w:t>
            </w:r>
          </w:p>
        </w:tc>
        <w:tc>
          <w:tcPr>
            <w:tcW w:w="324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Haiti</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Nepal</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Ukraine</w:t>
            </w: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Bangladesh</w:t>
            </w:r>
          </w:p>
        </w:tc>
        <w:tc>
          <w:tcPr>
            <w:tcW w:w="324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Honduras</w:t>
            </w:r>
          </w:p>
        </w:tc>
        <w:tc>
          <w:tcPr>
            <w:tcW w:w="216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color w:val="000000"/>
                <w:sz w:val="20"/>
                <w:szCs w:val="20"/>
              </w:rPr>
              <w:t>Nigeria</w:t>
            </w:r>
          </w:p>
        </w:tc>
        <w:tc>
          <w:tcPr>
            <w:tcW w:w="216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color w:val="000000"/>
                <w:sz w:val="20"/>
                <w:szCs w:val="20"/>
              </w:rPr>
              <w:t>Tanzania</w:t>
            </w: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Benin</w:t>
            </w:r>
          </w:p>
        </w:tc>
        <w:tc>
          <w:tcPr>
            <w:tcW w:w="324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India</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sz w:val="20"/>
                <w:szCs w:val="20"/>
              </w:rPr>
              <w:t>Pakistan</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sz w:val="20"/>
                <w:szCs w:val="20"/>
              </w:rPr>
              <w:t>Uzbekistan</w:t>
            </w: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Bolivia</w:t>
            </w:r>
          </w:p>
        </w:tc>
        <w:tc>
          <w:tcPr>
            <w:tcW w:w="324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Indonesia</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Papua New Guinea</w:t>
            </w:r>
          </w:p>
        </w:tc>
        <w:tc>
          <w:tcPr>
            <w:tcW w:w="216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Vietnam</w:t>
            </w: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Cambodia</w:t>
            </w:r>
          </w:p>
        </w:tc>
        <w:tc>
          <w:tcPr>
            <w:tcW w:w="324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color w:val="000000"/>
                <w:sz w:val="20"/>
                <w:szCs w:val="20"/>
              </w:rPr>
              <w:t>Iran</w:t>
            </w:r>
          </w:p>
        </w:tc>
        <w:tc>
          <w:tcPr>
            <w:tcW w:w="216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color w:val="000000"/>
                <w:sz w:val="20"/>
                <w:szCs w:val="20"/>
              </w:rPr>
              <w:t>Philippines</w:t>
            </w:r>
          </w:p>
        </w:tc>
        <w:tc>
          <w:tcPr>
            <w:tcW w:w="216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color w:val="000000"/>
                <w:sz w:val="20"/>
                <w:szCs w:val="20"/>
              </w:rPr>
              <w:t>Zimbabwe</w:t>
            </w: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color w:val="000000"/>
                <w:sz w:val="20"/>
                <w:szCs w:val="20"/>
              </w:rPr>
              <w:t>Cameroon</w:t>
            </w:r>
          </w:p>
        </w:tc>
        <w:tc>
          <w:tcPr>
            <w:tcW w:w="3240" w:type="dxa"/>
          </w:tcPr>
          <w:p w:rsidR="00A211AF" w:rsidRPr="00A211AF" w:rsidRDefault="00A211AF" w:rsidP="00AB51CE">
            <w:pPr>
              <w:jc w:val="both"/>
              <w:rPr>
                <w:rFonts w:ascii="Times New Roman" w:eastAsia="Times New Roman" w:hAnsi="Times New Roman" w:cs="Times New Roman"/>
                <w:color w:val="000000"/>
                <w:sz w:val="20"/>
                <w:szCs w:val="20"/>
              </w:rPr>
            </w:pPr>
            <w:r w:rsidRPr="00A211AF">
              <w:rPr>
                <w:rFonts w:ascii="Times New Roman" w:eastAsia="Times New Roman" w:hAnsi="Times New Roman" w:cs="Times New Roman"/>
                <w:sz w:val="20"/>
                <w:szCs w:val="20"/>
              </w:rPr>
              <w:t>Kenya</w:t>
            </w:r>
          </w:p>
        </w:tc>
        <w:tc>
          <w:tcPr>
            <w:tcW w:w="216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Senegal</w:t>
            </w:r>
          </w:p>
        </w:tc>
        <w:tc>
          <w:tcPr>
            <w:tcW w:w="2160" w:type="dxa"/>
          </w:tcPr>
          <w:p w:rsidR="00A211AF" w:rsidRPr="00A211AF" w:rsidRDefault="00A211AF" w:rsidP="00AB51CE">
            <w:pPr>
              <w:jc w:val="both"/>
              <w:rPr>
                <w:rFonts w:ascii="Times New Roman" w:eastAsia="Times New Roman" w:hAnsi="Times New Roman" w:cs="Times New Roman"/>
                <w:sz w:val="20"/>
                <w:szCs w:val="20"/>
              </w:rPr>
            </w:pP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color w:val="000000"/>
                <w:sz w:val="20"/>
                <w:szCs w:val="20"/>
              </w:rPr>
              <w:t>Côte d'Ivoire</w:t>
            </w:r>
          </w:p>
        </w:tc>
        <w:tc>
          <w:tcPr>
            <w:tcW w:w="324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color w:val="000000"/>
                <w:sz w:val="20"/>
                <w:szCs w:val="20"/>
              </w:rPr>
              <w:t>Lao People's Democratic Republic</w:t>
            </w:r>
          </w:p>
        </w:tc>
        <w:tc>
          <w:tcPr>
            <w:tcW w:w="216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Sri Lanka</w:t>
            </w:r>
          </w:p>
        </w:tc>
        <w:tc>
          <w:tcPr>
            <w:tcW w:w="2160" w:type="dxa"/>
          </w:tcPr>
          <w:p w:rsidR="00A211AF" w:rsidRPr="00A211AF" w:rsidRDefault="00A211AF" w:rsidP="00AB51CE">
            <w:pPr>
              <w:jc w:val="both"/>
              <w:rPr>
                <w:rFonts w:ascii="Times New Roman" w:eastAsia="Times New Roman" w:hAnsi="Times New Roman" w:cs="Times New Roman"/>
                <w:sz w:val="20"/>
                <w:szCs w:val="20"/>
              </w:rPr>
            </w:pPr>
          </w:p>
        </w:tc>
      </w:tr>
      <w:tr w:rsidR="00A211AF" w:rsidRPr="00A211AF" w:rsidTr="00270A21">
        <w:trPr>
          <w:trHeight w:val="204"/>
        </w:trPr>
        <w:tc>
          <w:tcPr>
            <w:tcW w:w="1795" w:type="dxa"/>
            <w:noWrap/>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Egypt</w:t>
            </w:r>
          </w:p>
        </w:tc>
        <w:tc>
          <w:tcPr>
            <w:tcW w:w="324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Morocco</w:t>
            </w:r>
          </w:p>
        </w:tc>
        <w:tc>
          <w:tcPr>
            <w:tcW w:w="2160" w:type="dxa"/>
          </w:tcPr>
          <w:p w:rsidR="00A211AF" w:rsidRPr="00A211AF" w:rsidRDefault="00A211AF" w:rsidP="00AB51CE">
            <w:pPr>
              <w:jc w:val="both"/>
              <w:rPr>
                <w:rFonts w:ascii="Times New Roman" w:eastAsia="Times New Roman" w:hAnsi="Times New Roman" w:cs="Times New Roman"/>
                <w:sz w:val="20"/>
                <w:szCs w:val="20"/>
              </w:rPr>
            </w:pPr>
            <w:r w:rsidRPr="00A211AF">
              <w:rPr>
                <w:rFonts w:ascii="Times New Roman" w:eastAsia="Times New Roman" w:hAnsi="Times New Roman" w:cs="Times New Roman"/>
                <w:sz w:val="20"/>
                <w:szCs w:val="20"/>
              </w:rPr>
              <w:t>Tajikistan</w:t>
            </w:r>
          </w:p>
        </w:tc>
        <w:tc>
          <w:tcPr>
            <w:tcW w:w="2160" w:type="dxa"/>
          </w:tcPr>
          <w:p w:rsidR="00A211AF" w:rsidRPr="00A211AF" w:rsidRDefault="00A211AF" w:rsidP="00AB51CE">
            <w:pPr>
              <w:jc w:val="both"/>
              <w:rPr>
                <w:rFonts w:ascii="Times New Roman" w:eastAsia="Times New Roman" w:hAnsi="Times New Roman" w:cs="Times New Roman"/>
                <w:sz w:val="20"/>
                <w:szCs w:val="20"/>
              </w:rPr>
            </w:pPr>
          </w:p>
        </w:tc>
      </w:tr>
    </w:tbl>
    <w:p w:rsidR="00A211AF" w:rsidRPr="006026C8" w:rsidRDefault="00A211AF" w:rsidP="00A211AF">
      <w:pPr>
        <w:jc w:val="both"/>
        <w:rPr>
          <w:rFonts w:cstheme="minorHAnsi"/>
          <w:sz w:val="20"/>
          <w:szCs w:val="20"/>
        </w:rPr>
      </w:pPr>
    </w:p>
    <w:p w:rsidR="00A211AF" w:rsidRPr="00270A21" w:rsidRDefault="00A211AF" w:rsidP="00270A21">
      <w:pPr>
        <w:spacing w:after="0" w:line="240" w:lineRule="auto"/>
        <w:jc w:val="both"/>
        <w:rPr>
          <w:rFonts w:ascii="Times New Roman" w:hAnsi="Times New Roman" w:cs="Times New Roman"/>
          <w:sz w:val="20"/>
          <w:szCs w:val="20"/>
        </w:rPr>
      </w:pPr>
      <w:bookmarkStart w:id="5" w:name="_Toc161397061"/>
      <w:r w:rsidRPr="00E3702D">
        <w:rPr>
          <w:rStyle w:val="Heading2Char"/>
          <w:rFonts w:ascii="Times New Roman" w:hAnsi="Times New Roman" w:cs="Times New Roman"/>
          <w:color w:val="auto"/>
          <w:sz w:val="20"/>
          <w:szCs w:val="20"/>
        </w:rPr>
        <w:t>Table A2. Indicato</w:t>
      </w:r>
      <w:r w:rsidR="00303A84" w:rsidRPr="00E3702D">
        <w:rPr>
          <w:rStyle w:val="Heading2Char"/>
          <w:rFonts w:ascii="Times New Roman" w:hAnsi="Times New Roman" w:cs="Times New Roman"/>
          <w:color w:val="auto"/>
          <w:sz w:val="20"/>
          <w:szCs w:val="20"/>
        </w:rPr>
        <w:t>r data sources for the HLI</w:t>
      </w:r>
      <w:r w:rsidRPr="00E3702D">
        <w:rPr>
          <w:rStyle w:val="Heading2Char"/>
          <w:rFonts w:ascii="Times New Roman" w:hAnsi="Times New Roman" w:cs="Times New Roman"/>
          <w:color w:val="auto"/>
          <w:sz w:val="20"/>
          <w:szCs w:val="20"/>
        </w:rPr>
        <w:t xml:space="preserve"> dashboard</w:t>
      </w:r>
      <w:r w:rsidR="00303A84" w:rsidRPr="00E3702D">
        <w:rPr>
          <w:rStyle w:val="Heading2Char"/>
          <w:rFonts w:ascii="Times New Roman" w:hAnsi="Times New Roman" w:cs="Times New Roman"/>
          <w:color w:val="auto"/>
          <w:sz w:val="20"/>
          <w:szCs w:val="20"/>
        </w:rPr>
        <w:t xml:space="preserve"> for India</w:t>
      </w:r>
      <w:bookmarkEnd w:id="5"/>
      <w:r w:rsidRPr="00270A21">
        <w:rPr>
          <w:rFonts w:ascii="Times New Roman" w:hAnsi="Times New Roman" w:cs="Times New Roman"/>
          <w:sz w:val="20"/>
          <w:szCs w:val="20"/>
        </w:rPr>
        <w:t>.</w:t>
      </w:r>
    </w:p>
    <w:tbl>
      <w:tblPr>
        <w:tblStyle w:val="GridTable4-Accent5"/>
        <w:tblW w:w="9355" w:type="dxa"/>
        <w:tblLook w:val="04A0" w:firstRow="1" w:lastRow="0" w:firstColumn="1" w:lastColumn="0" w:noHBand="0" w:noVBand="1"/>
      </w:tblPr>
      <w:tblGrid>
        <w:gridCol w:w="5755"/>
        <w:gridCol w:w="3600"/>
      </w:tblGrid>
      <w:tr w:rsidR="00A211AF" w:rsidRPr="00270A21" w:rsidTr="0027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sz w:val="20"/>
                <w:szCs w:val="20"/>
              </w:rPr>
              <w:t>Indicators</w:t>
            </w:r>
          </w:p>
        </w:tc>
        <w:tc>
          <w:tcPr>
            <w:tcW w:w="3600" w:type="dxa"/>
          </w:tcPr>
          <w:p w:rsidR="00A211AF" w:rsidRPr="00270A21" w:rsidRDefault="00A211AF" w:rsidP="00AB51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70A21">
              <w:rPr>
                <w:rFonts w:ascii="Times New Roman" w:hAnsi="Times New Roman" w:cs="Times New Roman"/>
                <w:sz w:val="20"/>
                <w:szCs w:val="20"/>
              </w:rPr>
              <w:t>Data sources</w:t>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GDP per capita</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GINI index</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Poverty gap at $3.65 a day (2017 PPP), as % of the poverty line</w:t>
            </w:r>
          </w:p>
        </w:tc>
        <w:tc>
          <w:tcPr>
            <w:tcW w:w="3600" w:type="dxa"/>
          </w:tcPr>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World Bank,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{"citationID":"e3fUN63F","properties":{"formattedCitation":"(3)","plainCitation":"(3)","noteIndex":0},"citationItems":[{"id":8832,"uris":["http://zotero.org/users/8802206/items/NBESAJZ9"],"itemData":{"id":8832,"type":"webpage","container-title":"Washington, D. C.: World Bank","title":"Indicators | Data","URL":"https://data.worldbank.org/indicator","author":[{"family":"World Bank","given":""}],"accessed":{"date-parts":[["2022",9,28]]},"issued":{"date-parts":[["2022"]]}},"label":"page"}],"schema":"https://github.com/citation-style-language/schema/raw/master/csl-citation.json"}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(3)</w:t>
            </w:r>
            <w:r w:rsidRPr="00270A21">
              <w:rPr>
                <w:rFonts w:ascii="Times New Roman" w:hAnsi="Times New Roman" w:cs="Times New Roman"/>
                <w:sz w:val="20"/>
                <w:szCs w:val="20"/>
              </w:rPr>
              <w:fldChar w:fldCharType="end"/>
            </w:r>
          </w:p>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60 years and older</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of working age</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United Nations Department of Economic and Social Affairs Population Division.</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{"citationID":"QnJwVesa","properties":{"formattedCitation":"(2)","plainCitation":"(2)","noteIndex":0},"citationItems":[{"id":8835,"uris":["http://zotero.org/users/8802206/items/78GQ3NHG"],"itemData":{"id":8835,"type":"webpage","title":"World Population Prospects 2022","URL":"https://population.un.org/dataportal/home","author":[{"family":"United Nations, Department of Economic and Social Affairs, Population Division","given":""}],"accessed":{"date-parts":[["2022",9,28]]},"issued":{"date-parts":[["2022"]]}}}],"schema":"https://github.com/citation-style-language/schema/raw/master/csl-citation.json"}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(2)</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proofErr w:type="spellStart"/>
            <w:r w:rsidRPr="00270A21">
              <w:rPr>
                <w:rFonts w:ascii="Times New Roman" w:hAnsi="Times New Roman" w:cs="Times New Roman"/>
                <w:b w:val="0"/>
                <w:sz w:val="20"/>
                <w:szCs w:val="20"/>
              </w:rPr>
              <w:t>Labour</w:t>
            </w:r>
            <w:proofErr w:type="spellEnd"/>
            <w:r w:rsidRPr="00270A21">
              <w:rPr>
                <w:rFonts w:ascii="Times New Roman" w:hAnsi="Times New Roman" w:cs="Times New Roman"/>
                <w:b w:val="0"/>
                <w:sz w:val="20"/>
                <w:szCs w:val="20"/>
              </w:rPr>
              <w:t xml:space="preserve"> force participation rate</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 xml:space="preserve">Ratio of female to male </w:t>
            </w:r>
            <w:proofErr w:type="spellStart"/>
            <w:r w:rsidRPr="00270A21">
              <w:rPr>
                <w:rFonts w:ascii="Times New Roman" w:hAnsi="Times New Roman" w:cs="Times New Roman"/>
                <w:b w:val="0"/>
                <w:sz w:val="20"/>
                <w:szCs w:val="20"/>
              </w:rPr>
              <w:t>labour</w:t>
            </w:r>
            <w:proofErr w:type="spellEnd"/>
            <w:r w:rsidRPr="00270A21">
              <w:rPr>
                <w:rFonts w:ascii="Times New Roman" w:hAnsi="Times New Roman" w:cs="Times New Roman"/>
                <w:b w:val="0"/>
                <w:sz w:val="20"/>
                <w:szCs w:val="20"/>
              </w:rPr>
              <w:t xml:space="preserve"> force participation rate  </w:t>
            </w:r>
          </w:p>
        </w:tc>
        <w:tc>
          <w:tcPr>
            <w:tcW w:w="3600" w:type="dxa"/>
          </w:tcPr>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World Bank,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{"citationID":"PGGSEIvF","properties":{"formattedCitation":"(3)","plainCitation":"(3)","noteIndex":0},"citationItems":[{"id":8832,"uris":["http://zotero.org/users/8802206/items/NBESAJZ9"],"itemData":{"id":8832,"type":"webpage","container-title":"Washington, D. C.: World Bank","title":"Indicators | Data","URL":"https://data.worldbank.org/indicator","author":[{"family":"World Bank","given":""}],"accessed":{"date-parts":[["2022",9,28]]},"issued":{"date-parts":[["2022"]]}},"label":"page"}],"schema":"https://github.com/citation-style-language/schema/raw/master/csl-citation.json"}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(3)</w:t>
            </w:r>
            <w:r w:rsidRPr="00270A21">
              <w:rPr>
                <w:rFonts w:ascii="Times New Roman" w:hAnsi="Times New Roman" w:cs="Times New Roman"/>
                <w:sz w:val="20"/>
                <w:szCs w:val="20"/>
              </w:rPr>
              <w:fldChar w:fldCharType="end"/>
            </w:r>
          </w:p>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Mean years of schooling</w:t>
            </w:r>
          </w:p>
          <w:p w:rsidR="00A211AF" w:rsidRPr="00270A21" w:rsidRDefault="00A211AF" w:rsidP="00AB51CE">
            <w:pPr>
              <w:jc w:val="both"/>
              <w:rPr>
                <w:rFonts w:ascii="Times New Roman" w:hAnsi="Times New Roman" w:cs="Times New Roman"/>
                <w:b w:val="0"/>
                <w:sz w:val="20"/>
                <w:szCs w:val="20"/>
              </w:rPr>
            </w:pP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Global Data Lab, 2013-2023;</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{"citationID":"X9Fttrza","properties":{"formattedCitation":"(4)","plainCitation":"(4)","noteIndex":0},"citationItems":[{"id":9152,"uris":["http://zotero.org/users/8802206/items/7PWAJGPH"],"itemData":{"id":9152,"type":"webpage","title":"Subnational HDI - Downloads - Subnational HDI - Global Data Lab","URL":"https://globaldatalab.org/shdi/download/","accessed":{"date-parts":[["2023",4,4]]}}}],"schema":"https://github.com/citation-style-language/schema/raw/master/csl-citation.json"}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(4)</w:t>
            </w:r>
            <w:r w:rsidRPr="00270A21">
              <w:rPr>
                <w:rFonts w:ascii="Times New Roman" w:hAnsi="Times New Roman" w:cs="Times New Roman"/>
                <w:sz w:val="20"/>
                <w:szCs w:val="20"/>
              </w:rPr>
              <w:fldChar w:fldCharType="end"/>
            </w:r>
            <w:r w:rsidRPr="00270A21">
              <w:rPr>
                <w:rFonts w:ascii="Times New Roman" w:hAnsi="Times New Roman" w:cs="Times New Roman"/>
                <w:sz w:val="20"/>
                <w:szCs w:val="20"/>
              </w:rPr>
              <w:t xml:space="preserve"> Smits and </w:t>
            </w:r>
            <w:proofErr w:type="spellStart"/>
            <w:r w:rsidRPr="00270A21">
              <w:rPr>
                <w:rFonts w:ascii="Times New Roman" w:hAnsi="Times New Roman" w:cs="Times New Roman"/>
                <w:sz w:val="20"/>
                <w:szCs w:val="20"/>
              </w:rPr>
              <w:t>Permanyer</w:t>
            </w:r>
            <w:proofErr w:type="spellEnd"/>
            <w:r w:rsidRPr="00270A21">
              <w:rPr>
                <w:rFonts w:ascii="Times New Roman" w:hAnsi="Times New Roman" w:cs="Times New Roman"/>
                <w:sz w:val="20"/>
                <w:szCs w:val="20"/>
              </w:rPr>
              <w:t>, 2019</w:t>
            </w:r>
            <w:r w:rsidR="00DE31C7">
              <w:rPr>
                <w:rFonts w:ascii="Times New Roman" w:hAnsi="Times New Roman" w:cs="Times New Roman"/>
                <w:sz w:val="20"/>
                <w:szCs w:val="20"/>
              </w:rPr>
              <w:t>.</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{"citationID":"tYczeyRS","properties":{"formattedCitation":"(5)","plainCitation":"(5)","noteIndex":0},"citationItems":[{"id":10115,"uris":["http://zotero.org/users/8802206/items/FTQ4JQP4"],"itemData":{"id":10115,"type":"article-journal","abstract":"In this paper we describe the Subnational Human Development Database. This database contains for the period 1990–2017 for 1625 regions within 161 countries the national and subnational values of the Subnational Human Development Index (SHDI), for the three dimension indices on the basis of which the SHDI is constructed – education, health and standard of living --, and for the four indicators needed to create the dimension indices -- expected years of schooling, mean years of schooling, life expectancy and gross national income per capita. The subnational values of the four indicators were computed using data from statistical offices and from the Area Database of the Global Data Lab, which contains indicators aggregated from household surveys and census datasets. Values for missing years were estimated by interpolation and extrapolation from real data. By normalizing the population-weighted averages of the indicators to their national levels in the UNDP-HDI database, values of the SHDI and its dimension indices were obtained that at national level equal their official versions of the UNDP.","container-title":"Scientific Data","DOI":"10.1038/sdata.2019.38","ISSN":"2052-4463","issue":"1","journalAbbreviation":"Sci Data","language":"en","license":"2019 The Author(s)","note":"number: 1\npublisher: Nature Publishing Group","page":"190038","source":"www.nature.com","title":"The Subnational Human Development Database","volume":"6","author":[{"family":"Smits","given":"Jeroen"},{"family":"Permanyer","given":"Iñaki"}],"issued":{"date-parts":[["2019",3,12]]}}}],"schema":"https://github.com/citation-style-language/schema/raw/master/csl-citation.json"}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(5)</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total deaths due to NCDs</w:t>
            </w:r>
          </w:p>
        </w:tc>
        <w:tc>
          <w:tcPr>
            <w:tcW w:w="3600" w:type="dxa"/>
          </w:tcPr>
          <w:p w:rsidR="00A211AF" w:rsidRPr="00270A21" w:rsidRDefault="00A211AF" w:rsidP="00270A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 xml:space="preserve">WHO Global Health Estimates, 2020. </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{"citationID":"zwoJcKJ0","properties":{"formattedCitation":"(6)","plainCitation":"(6)","noteIndex":0},"citationItems":[{"id":8885,"uris":["http://zotero.org/users/8802206/items/2DBC7EQQ"],"itemData":{"id":8885,"type":"webpage","title":"Global Health Estimates 2020: Deaths by Cause, Age, Sex, by Country and by Region, 2000-2019. Geneva, World Health Organizaton; 2020.","URL":"https://www.who.int/data/gho/data/themes/mortality-and-global-health-estimates/global-health-estimates-leading-causes-of-dalys","author":[{"family":"World Health Organization","given":""}],"accessed":{"date-parts":[["2022",10,13]]},"issued":{"date-parts":[["2020"]]}}}],"schema":"https://github.com/citation-style-language/schema/raw/master/csl-citation.json"}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(6)</w:t>
            </w:r>
            <w:r w:rsidRPr="00270A21">
              <w:rPr>
                <w:rFonts w:ascii="Times New Roman" w:hAnsi="Times New Roman" w:cs="Times New Roman"/>
                <w:sz w:val="20"/>
                <w:szCs w:val="20"/>
              </w:rPr>
              <w:fldChar w:fldCharType="end"/>
            </w: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UHC service coverage index</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World Health Organization,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{"citationID":"zBfbKLFJ","properties":{"formattedCitation":"(7)","plainCitation":"(7)","noteIndex":0},"citationItems":[{"id":8897,"uris":["http://zotero.org/users/8802206/items/QR9XYFDB"],"itemData":{"id":8897,"type":"webpage","title":"UHC service coverage index (3.8.1)","URL":"https://www.who.int/data/gho/indicator-metadata-registry/imr-details/4834","author":[{"family":"World Health Organization","given":""}],"accessed":{"date-parts":[["2022",10,13]]},"issued":{"date-parts":[["2022"]]}},"label":"page"}],"schema":"https://github.com/citation-style-language/schema/raw/master/csl-citation.json"}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(7)</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Life expectancy at birth</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Life expectancy at age 60</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Healthy life expectancy at birth</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Healthy life expectancy at age 60</w:t>
            </w:r>
          </w:p>
        </w:tc>
        <w:tc>
          <w:tcPr>
            <w:tcW w:w="3600" w:type="dxa"/>
          </w:tcPr>
          <w:p w:rsidR="00A211AF" w:rsidRPr="00270A21" w:rsidRDefault="00A211AF" w:rsidP="00270A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{"citationID":"D8wqK8qf","properties":{"formattedCitation":"(8)","plainCitation":"(8)","noteIndex":0},"citationItems":[{"id":7694,"uris":["http://zotero.org/users/8802206/items/RS8L7D8X"],"itemData":{"id":7694,"type":"webpage","container-title":"Geneva: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Under-five mortality rate (per 1,000 live births)</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School age (age 5-14 years) mortality rate (per 100,000 population)</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Mortality rate among youths and young adults (age 15-29 years) (per 100,000 population)</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Adult (aged 30-69 years) mortality rate (per 100,000 population)</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Mortality rate at older ages (aged 70 years and above) (per 100,000 population)</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 xml:space="preserve">WHO Global Health Estimates, 2020. </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{"citationID":"4e3NA1SJ","properties":{"formattedCitation":"(6)","plainCitation":"(6)","noteIndex":0},"citationItems":[{"id":8885,"uris":["http://zotero.org/users/8802206/items/2DBC7EQQ"],"itemData":{"id":8885,"type":"webpage","title":"Global Health Estimates 2020: Deaths by Cause, Age, Sex, by Country and by Region, 2000-2019. Geneva, World Health Organizaton; 2020.","URL":"https://www.who.int/data/gho/data/themes/mortality-and-global-health-estimates/global-health-estimates-leading-causes-of-dalys","author":[{"family":"World Health Organization","given":""}],"accessed":{"date-parts":[["2022",10,13]]},"issued":{"date-parts":[["2020"]]}}}],"schema":"https://github.com/citation-style-language/schema/raw/master/csl-citation.json"}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(6)</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one-year olds who received three doses of diphtheria tetanus toxoid and pertussis (DTP3) immunization</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one-year olds who received three doses of polio (Pol3) immunization</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one-year olds who received two doses of measles (MCV2) immunization</w:t>
            </w:r>
          </w:p>
        </w:tc>
        <w:tc>
          <w:tcPr>
            <w:tcW w:w="3600" w:type="dxa"/>
          </w:tcPr>
          <w:p w:rsidR="00A211AF" w:rsidRPr="00270A21" w:rsidRDefault="00A211AF" w:rsidP="00270A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2020.</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{"citationID":"sMW6AAus","properties":{"formattedCitation":"(8)","plainCitation":"(8)","noteIndex":0},"citationItems":[{"id":7694,"uris":["http://zotero.org/users/8802206/items/RS8L7D8X"],"itemData":{"id":7694,"type":"webpage","container-title":"Geneva: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r w:rsidRPr="00270A21">
              <w:rPr>
                <w:rFonts w:ascii="Times New Roman" w:hAnsi="Times New Roman" w:cs="Times New Roman"/>
                <w:sz w:val="20"/>
                <w:szCs w:val="20"/>
              </w:rPr>
              <w:t xml:space="preserve"> </w:t>
            </w: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 xml:space="preserve">Stunting prevalence among children under 5 years </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 xml:space="preserve">Wasting prevalence among children under 5 years </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Underweight prevalence among children under 5 years</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{"citationID":"Sr3arRFd","properties":{"formattedCitation":"(8)","plainCitation":"(8)","noteIndex":0},"citationItems":[{"id":7694,"uris":["http://zotero.org/users/8802206/items/RS8L7D8X"],"itemData":{"id":7694,"type":"webpage","container-title":"Geneva: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mothers whose last birth was protected against neonatal tetanus</w:t>
            </w:r>
          </w:p>
        </w:tc>
        <w:tc>
          <w:tcPr>
            <w:tcW w:w="3600" w:type="dxa"/>
          </w:tcPr>
          <w:p w:rsidR="00A211AF" w:rsidRPr="00270A21" w:rsidRDefault="00A211AF" w:rsidP="00270A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{"citationID":"Pergz7No","properties":{"formattedCitation":"(8)","plainCitation":"(8)","noteIndex":0},"citationItems":[{"id":7694,"uris":["http://zotero.org/users/8802206/items/RS8L7D8X"],"itemData":{"id":7694,"type":"webpage","container-title":"Geneva: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that received at least two doses of COVID-19 vaccination</w:t>
            </w:r>
          </w:p>
        </w:tc>
        <w:tc>
          <w:tcPr>
            <w:tcW w:w="3600" w:type="dxa"/>
          </w:tcPr>
          <w:p w:rsidR="00A211AF" w:rsidRPr="00270A21" w:rsidRDefault="00562B8E" w:rsidP="00CE2C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Math</w:t>
            </w:r>
            <w:r w:rsidR="00A211AF" w:rsidRPr="00270A21">
              <w:rPr>
                <w:rFonts w:ascii="Times New Roman" w:hAnsi="Times New Roman" w:cs="Times New Roman"/>
                <w:sz w:val="20"/>
                <w:szCs w:val="20"/>
              </w:rPr>
              <w:t xml:space="preserve">ieu, </w:t>
            </w:r>
            <w:r w:rsidR="00CE2C58">
              <w:rPr>
                <w:rFonts w:ascii="Times New Roman" w:hAnsi="Times New Roman" w:cs="Times New Roman"/>
                <w:sz w:val="20"/>
                <w:szCs w:val="20"/>
              </w:rPr>
              <w:t>Ritchie, Ortiz-</w:t>
            </w:r>
            <w:proofErr w:type="spellStart"/>
            <w:r w:rsidR="00CE2C58">
              <w:rPr>
                <w:rFonts w:ascii="Times New Roman" w:hAnsi="Times New Roman" w:cs="Times New Roman"/>
                <w:sz w:val="20"/>
                <w:szCs w:val="20"/>
              </w:rPr>
              <w:t>Ospina</w:t>
            </w:r>
            <w:proofErr w:type="spellEnd"/>
            <w:r w:rsidR="00CE2C58">
              <w:rPr>
                <w:rFonts w:ascii="Times New Roman" w:hAnsi="Times New Roman" w:cs="Times New Roman"/>
                <w:sz w:val="20"/>
                <w:szCs w:val="20"/>
              </w:rPr>
              <w:t xml:space="preserve"> </w:t>
            </w:r>
            <w:r w:rsidR="00A211AF" w:rsidRPr="00270A21">
              <w:rPr>
                <w:rFonts w:ascii="Times New Roman" w:hAnsi="Times New Roman" w:cs="Times New Roman"/>
                <w:sz w:val="20"/>
                <w:szCs w:val="20"/>
              </w:rPr>
              <w:t>et al., 202</w:t>
            </w:r>
            <w:r w:rsidR="00CE2C58">
              <w:rPr>
                <w:rFonts w:ascii="Times New Roman" w:hAnsi="Times New Roman" w:cs="Times New Roman"/>
                <w:sz w:val="20"/>
                <w:szCs w:val="20"/>
              </w:rPr>
              <w:t>1</w:t>
            </w:r>
            <w:r w:rsidR="00A211AF" w:rsidRPr="00270A21">
              <w:rPr>
                <w:rFonts w:ascii="Times New Roman" w:hAnsi="Times New Roman" w:cs="Times New Roman"/>
                <w:sz w:val="20"/>
                <w:szCs w:val="20"/>
              </w:rPr>
              <w:t>.</w:t>
            </w:r>
            <w:r w:rsidR="00A211AF"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{"citationID":"9tq7bZt1","properties":{"formattedCitation":"(9)","plainCitation":"(9)","noteIndex":0},"citationItems":[{"id":8886,"uris":["http://zotero.org/users/8802206/items/TG6AGY9K"],"itemData":{"id":8886,"type":"article-journal","abstract":"An effective rollout of vaccinations against COVID-19 offers the most promising prospect of bringing the pandemic to an end. We present the Our World in Data COVID-19 vaccination dataset, a global public dataset that tracks the scale and rate of the vaccine rollout across the world. This dataset is updated regularly and includes data on the total number of vaccinations administered, first and second doses administered, daily vaccination rates and population-adjusted coverage for all countries for which data are available (169 countries as of 7 April 2021). It will be maintained as the global vaccination campaign continues to progress. This resource aids policymakers and researchers in understanding the rate of current and potential vaccine rollout; the interactions with non-vaccination policy responses; the potential impact of vaccinations on pandemic outcomes such as transmission, morbidity and mortality; and global inequalities in vaccine access.","container-title":"Nature Human Behaviour","DOI":"10.1038/s41562-021-01122-8","ISSN":"2397-3374","issue":"7","journalAbbreviation":"Nat Hum Behav","language":"en","license":"2021 The Author(s), under exclusive licence to Springer Nature Limited","note":"number: 7\npublisher: Nature Publishing Group","page":"947-953","source":"www.nature.com","title":"A global database of COVID-19 vaccinations","volume":"5","author":[{"family":"Mathieu","given":"Edouard"},{"family":"Ritchie","given":"Hannah"},{"family":"Ortiz-Ospina","given":"Esteban"},{"family":"Roser","given":"Max"},{"family":"Hasell","given":"Joe"},{"family":"Appel","given":"Cameron"},{"family":"Giattino","given":"Charlie"},{"family":"Rodés-Guirao","given":"Lucas"}],"issued":{"date-parts":[["2021",7]]}}}],"schema":"https://github.com/citation-style-language/schema/raw/master/csl-citation.json"} </w:instrText>
            </w:r>
            <w:r w:rsidR="00A211AF"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(9)</w:t>
            </w:r>
            <w:r w:rsidR="00A211AF" w:rsidRPr="00270A21">
              <w:rPr>
                <w:rFonts w:ascii="Times New Roman" w:hAnsi="Times New Roman" w:cs="Times New Roman"/>
                <w:sz w:val="20"/>
                <w:szCs w:val="20"/>
              </w:rPr>
              <w:fldChar w:fldCharType="end"/>
            </w:r>
          </w:p>
        </w:tc>
      </w:tr>
      <w:tr w:rsidR="00356E01"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356E01" w:rsidRPr="00356E01" w:rsidRDefault="00356E01" w:rsidP="00AB51CE">
            <w:pPr>
              <w:jc w:val="both"/>
              <w:rPr>
                <w:rFonts w:ascii="Times New Roman" w:hAnsi="Times New Roman" w:cs="Times New Roman"/>
                <w:b w:val="0"/>
                <w:sz w:val="20"/>
                <w:szCs w:val="20"/>
              </w:rPr>
            </w:pPr>
            <w:r w:rsidRPr="00356E01">
              <w:rPr>
                <w:rFonts w:ascii="Times New Roman" w:hAnsi="Times New Roman" w:cs="Times New Roman"/>
                <w:b w:val="0"/>
                <w:sz w:val="20"/>
                <w:szCs w:val="20"/>
              </w:rPr>
              <w:t>Prevalence of treatment (taking medicine) for hypertension among population aged 30-79 with hypertension</w:t>
            </w:r>
          </w:p>
        </w:tc>
        <w:tc>
          <w:tcPr>
            <w:tcW w:w="3600" w:type="dxa"/>
          </w:tcPr>
          <w:p w:rsidR="00356E01" w:rsidRDefault="00356E01" w:rsidP="00CE2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2022.</w:t>
            </w:r>
            <w:r w:rsidRPr="00270A21">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{"citationID":"Pergz7No","properties":{"formattedCitation":"(8)","plainCitation":"(8)","noteIndex":0},"citationItems":[{"id":7694,"uris":["http://zotero.org/users/8802206/items/RS8L7D8X"],"itemData":{"id":7694,"type":"webpage","container-title":"Geneva: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Organization","given":""}],"accessed":{"date-parts":[["2022",9,28]]},"issued":{"date-parts":[["2022"]]}}}],"schema":"https://github.com/citation-style-language/schema/raw/master/csl-citation.json"} </w:instrText>
            </w:r>
            <w:r w:rsidRPr="00270A21">
              <w:rPr>
                <w:rFonts w:ascii="Times New Roman" w:hAnsi="Times New Roman" w:cs="Times New Roman"/>
                <w:sz w:val="20"/>
                <w:szCs w:val="20"/>
              </w:rPr>
              <w:fldChar w:fldCharType="separate"/>
            </w:r>
            <w:r w:rsidRPr="00DE31C7">
              <w:rPr>
                <w:rFonts w:ascii="Times New Roman" w:hAnsi="Times New Roman" w:cs="Times New Roman"/>
                <w:sz w:val="20"/>
              </w:rPr>
              <w:t>(8)</w:t>
            </w:r>
            <w:r w:rsidRPr="00270A21">
              <w:rPr>
                <w:rFonts w:ascii="Times New Roman" w:hAnsi="Times New Roman" w:cs="Times New Roman"/>
                <w:sz w:val="20"/>
                <w:szCs w:val="20"/>
              </w:rPr>
              <w:fldChar w:fldCharType="end"/>
            </w: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15+ years who currently use tobacco</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lastRenderedPageBreak/>
              <w:t>Youth tobacco use (percentage of population aged 15-24 years who use tobacco)</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Ratio of former to current smokers aged 45-59 years</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lastRenderedPageBreak/>
              <w:t>Global Burden of Disease Study, 2019.</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{"citationID":"USuyPYc2","properties":{"formattedCitation":"(10)","plainCitation":"(10)","noteIndex":0},"citationItems":[{"id":8889,"uris":["http://zotero.org/users/8802206/items/76WPS7MR"],"itemData":{"id":8889,"type":"webpage","container-title":"Seattle, Washington: IHME, University of Washington, 2022.","title":"The Global Burden of Disease Study 2019 (GBD 2019) Results","URL":"https://vizhub.healthdata.org/gbd-results/","author":[{"family":"Institute for Health Metrics and Evaluation (IHME)","given":""}],"accessed":{"date-parts":[["2022",10,13]]},"issued":{"date-parts":[["2022"]]}}}],"schema":"https://github.com/citation-style-language/schema/raw/master/csl-citation.json"}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(10)</w:t>
            </w:r>
            <w:r w:rsidRPr="00270A21">
              <w:rPr>
                <w:rFonts w:ascii="Times New Roman" w:hAnsi="Times New Roman" w:cs="Times New Roman"/>
                <w:sz w:val="20"/>
                <w:szCs w:val="20"/>
              </w:rPr>
              <w:fldChar w:fldCharType="end"/>
            </w:r>
            <w:r w:rsidRPr="00270A21">
              <w:rPr>
                <w:rFonts w:ascii="Times New Roman" w:hAnsi="Times New Roman" w:cs="Times New Roman"/>
                <w:sz w:val="20"/>
                <w:szCs w:val="20"/>
                <w:vertAlign w:val="superscript"/>
              </w:rPr>
              <w:t xml:space="preserve"> *</w:t>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15+ years who smoke cigarettes</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 xml:space="preserve">Percentage of population aged 15+ years who </w:t>
            </w:r>
            <w:proofErr w:type="spellStart"/>
            <w:r w:rsidRPr="00270A21">
              <w:rPr>
                <w:rFonts w:ascii="Times New Roman" w:hAnsi="Times New Roman" w:cs="Times New Roman"/>
                <w:b w:val="0"/>
                <w:sz w:val="20"/>
                <w:szCs w:val="20"/>
              </w:rPr>
              <w:t>practise</w:t>
            </w:r>
            <w:proofErr w:type="spellEnd"/>
            <w:r w:rsidRPr="00270A21">
              <w:rPr>
                <w:rFonts w:ascii="Times New Roman" w:hAnsi="Times New Roman" w:cs="Times New Roman"/>
                <w:b w:val="0"/>
                <w:sz w:val="20"/>
                <w:szCs w:val="20"/>
              </w:rPr>
              <w:t xml:space="preserve"> harmful use of alcohol in the past 12 months</w:t>
            </w:r>
          </w:p>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20+ years who have overweight or obesity</w:t>
            </w:r>
          </w:p>
        </w:tc>
        <w:tc>
          <w:tcPr>
            <w:tcW w:w="3600" w:type="dxa"/>
          </w:tcPr>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2019.</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{"citationID":"yrack002","properties":{"formattedCitation":"(8)","plainCitation":"(8)","noteIndex":0},"citationItems":[{"id":7694,"uris":["http://zotero.org/users/8802206/items/RS8L7D8X"],"itemData":{"id":7694,"type":"webpage","container-title":"Geneva: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p>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20-79 years who have type 2 diabetes</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International Diabetes Federation, 2021.</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{"citationID":"Lc966hzY","properties":{"formattedCitation":"(11)","plainCitation":"(11)","noteIndex":0},"citationItems":[{"id":8890,"uris":["http://zotero.org/users/8802206/items/73N5RNJR"],"itemData":{"id":8890,"type":"webpage","title":"Diabetes estimates (20-79 y): Age-adjusted comparative prevalence of diabetes, %","URL":"https://diabetesatlas.org/data/en/indicators/2/","author":[{"family":"International Diabetes Federation","given":""}],"accessed":{"date-parts":[["2022",10,13]]},"issued":{"date-parts":[["2022"]]}},"label":"page"}],"schema":"https://github.com/citation-style-language/schema/raw/master/csl-citation.json"}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(11)</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30-79 years who have hypertension</w:t>
            </w:r>
          </w:p>
        </w:tc>
        <w:tc>
          <w:tcPr>
            <w:tcW w:w="3600" w:type="dxa"/>
          </w:tcPr>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2019.</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{"citationID":"zXE5iLhK","properties":{"formattedCitation":"(8)","plainCitation":"(8)","noteIndex":0},"citationItems":[{"id":7694,"uris":["http://zotero.org/users/8802206/items/RS8L7D8X"],"itemData":{"id":7694,"type":"webpage","container-title":"Geneva: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p>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18 years and older who currently have depressive disorders</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National Mental Health Survey of India, 2016.</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{"citationID":"RRkhAmWs","properties":{"formattedCitation":"(12)","plainCitation":"(12)","noteIndex":0},"citationItems":[{"id":8891,"uris":["http://zotero.org/users/8802206/items/WJ72VBWY"],"itemData":{"id":8891,"type":"document","publisher":"Bengaluru, National Institute of Mental Health and Neuro Sciences, NIMHANS Publication No. 129","title":"National Mental Health Survey of India, 2015-16: Prevalence, patterns and outcomes","author":[{"family":"Gururaj","given":"G"},{"family":"Varghese","given":"M"},{"family":"Benegal","given":"V"},{"family":"Rao","given":"G. N."},{"family":"Pathak","given":"K"},{"family":"Singh","given":"L. K."},{"family":"Mehta","given":"R. Y."},{"family":"Ram","given":"D."},{"family":"Shibukumar","given":"T. M."},{"family":"Kokane","given":"A."},{"family":"NMHHS collaborators group","given":""}],"issued":{"date-parts":[["2016"]]}},"label":"page"}],"schema":"https://github.com/citation-style-language/schema/raw/master/csl-citation.json"}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(12)</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population aged 30-79 years with hypertension that are currently taking antihypertensive medication</w:t>
            </w:r>
          </w:p>
        </w:tc>
        <w:tc>
          <w:tcPr>
            <w:tcW w:w="3600" w:type="dxa"/>
          </w:tcPr>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2019.</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{"citationID":"9rtmfoGZ","properties":{"formattedCitation":"(8)","plainCitation":"(8)","noteIndex":0},"citationItems":[{"id":7694,"uris":["http://zotero.org/users/8802206/items/RS8L7D8X"],"itemData":{"id":7694,"type":"webpage","container-title":"Geneva: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p>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Learning-adjusted years of schooling at age 18</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World Bank, 2021.</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{"citationID":"pZcCix2i","properties":{"formattedCitation":"(13)","plainCitation":"(13)","noteIndex":0},"citationItems":[{"id":8892,"uris":["http://zotero.org/users/8802206/items/QYGFWM3V"],"itemData":{"id":8892,"type":"document","publisher":"Washington, DC: World Bank.","source":"doi:10.1596/978-1-4648-1552-2. License: Creative Commons Attribution CC BY 3.0 IGO.","title":"The Human Capital Index 2020 Update: Human Capital in the Time of COVID-19.","author":[{"family":"World Bank","given":""}],"issued":{"date-parts":[["2021"]]}},"label":"page"}],"schema":"https://github.com/citation-style-language/schema/raw/master/csl-citation.json"}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(13)</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Prevalence of intimate partner violence among ever-partnered women in the past 12 months</w:t>
            </w:r>
          </w:p>
        </w:tc>
        <w:tc>
          <w:tcPr>
            <w:tcW w:w="3600" w:type="dxa"/>
          </w:tcPr>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WHO Global Health Observatory, 2019.</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{"citationID":"e8nPBKlv","properties":{"formattedCitation":"(8)","plainCitation":"(8)","noteIndex":0},"citationItems":[{"id":7694,"uris":["http://zotero.org/users/8802206/items/RS8L7D8X"],"itemData":{"id":7694,"type":"webpage","container-title":"Geneva: World Health Organization (WHO)","title":"Global Health Observatory- World Health Organization (WHO)","URL":"https://www.who.int/data/gho/data/indicators/indicators-index","author":[{"family":"World Health Organization","given":""}],"accessed":{"date-parts":[["2022",9,28]]},"issued":{"date-parts":[["2022"]]}},"label":"page"}],"schema":"https://github.com/citation-style-language/schema/raw/master/csl-citation.json"}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(8)</w:t>
            </w:r>
            <w:r w:rsidRPr="00270A21">
              <w:rPr>
                <w:rFonts w:ascii="Times New Roman" w:hAnsi="Times New Roman" w:cs="Times New Roman"/>
                <w:sz w:val="20"/>
                <w:szCs w:val="20"/>
              </w:rPr>
              <w:fldChar w:fldCharType="end"/>
            </w:r>
          </w:p>
          <w:p w:rsidR="00A211AF" w:rsidRPr="00270A21" w:rsidRDefault="00A211AF" w:rsidP="00AB51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Percentage of women’s work time (paid and unpaid) spent on unpaid work</w:t>
            </w:r>
          </w:p>
        </w:tc>
        <w:tc>
          <w:tcPr>
            <w:tcW w:w="3600" w:type="dxa"/>
          </w:tcPr>
          <w:p w:rsidR="00A211AF" w:rsidRPr="00270A21" w:rsidRDefault="00A211AF" w:rsidP="00AB51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ILO, 2018.</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{"citationID":"pa0DRnX2","properties":{"formattedCitation":"(14)","plainCitation":"(14)","noteIndex":0},"citationItems":[{"id":8893,"uris":["http://zotero.org/users/8802206/items/AF8AEWK7"],"itemData":{"id":8893,"type":"document","publisher":"Geneva: ILO.","title":"Care work and care jobs for the future of decent work","author":[{"family":"International Labour Organizatio (ILO)","given":""}],"issued":{"date-parts":[["2018"]]}},"label":"page"}],"schema":"https://github.com/citation-style-language/schema/raw/master/csl-citation.json"}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(14)</w:t>
            </w:r>
            <w:r w:rsidRPr="00270A21">
              <w:rPr>
                <w:rFonts w:ascii="Times New Roman" w:hAnsi="Times New Roman" w:cs="Times New Roman"/>
                <w:sz w:val="20"/>
                <w:szCs w:val="20"/>
              </w:rPr>
              <w:fldChar w:fldCharType="end"/>
            </w:r>
            <w:r w:rsidRPr="00270A21">
              <w:rPr>
                <w:rFonts w:ascii="Times New Roman" w:hAnsi="Times New Roman" w:cs="Times New Roman"/>
                <w:sz w:val="20"/>
                <w:szCs w:val="20"/>
              </w:rPr>
              <w:t xml:space="preserve"> </w:t>
            </w:r>
          </w:p>
          <w:p w:rsidR="00A211AF" w:rsidRPr="00270A21" w:rsidRDefault="00A211AF" w:rsidP="00AB51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 xml:space="preserve">Ratio of female to male </w:t>
            </w:r>
            <w:proofErr w:type="spellStart"/>
            <w:r w:rsidRPr="00270A21">
              <w:rPr>
                <w:rFonts w:ascii="Times New Roman" w:hAnsi="Times New Roman" w:cs="Times New Roman"/>
                <w:b w:val="0"/>
                <w:sz w:val="20"/>
                <w:szCs w:val="20"/>
              </w:rPr>
              <w:t>labour</w:t>
            </w:r>
            <w:proofErr w:type="spellEnd"/>
            <w:r w:rsidRPr="00270A21">
              <w:rPr>
                <w:rFonts w:ascii="Times New Roman" w:hAnsi="Times New Roman" w:cs="Times New Roman"/>
                <w:b w:val="0"/>
                <w:sz w:val="20"/>
                <w:szCs w:val="20"/>
              </w:rPr>
              <w:t xml:space="preserve"> force participation rate</w:t>
            </w:r>
          </w:p>
        </w:tc>
        <w:tc>
          <w:tcPr>
            <w:tcW w:w="3600" w:type="dxa"/>
          </w:tcPr>
          <w:p w:rsidR="00A211AF" w:rsidRPr="00270A21" w:rsidRDefault="00A211AF" w:rsidP="00270A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World Bank,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{"citationID":"y7F3FoyO","properties":{"formattedCitation":"(3)","plainCitation":"(3)","noteIndex":0},"citationItems":[{"id":8832,"uris":["http://zotero.org/users/8802206/items/NBESAJZ9"],"itemData":{"id":8832,"type":"webpage","container-title":"Washington, D. C.: World Bank","title":"Indicators | Data","URL":"https://data.worldbank.org/indicator","author":[{"family":"World Bank","given":""}],"accessed":{"date-parts":[["2022",9,28]]},"issued":{"date-parts":[["2022"]]}},"label":"page"}],"schema":"https://github.com/citation-style-language/schema/raw/master/csl-citation.json"}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(3)</w:t>
            </w:r>
            <w:r w:rsidRPr="00270A21">
              <w:rPr>
                <w:rFonts w:ascii="Times New Roman" w:hAnsi="Times New Roman" w:cs="Times New Roman"/>
                <w:sz w:val="20"/>
                <w:szCs w:val="20"/>
              </w:rPr>
              <w:fldChar w:fldCharType="end"/>
            </w:r>
            <w:r w:rsidRPr="00270A21">
              <w:rPr>
                <w:rFonts w:ascii="Times New Roman" w:hAnsi="Times New Roman" w:cs="Times New Roman"/>
                <w:sz w:val="20"/>
                <w:szCs w:val="20"/>
              </w:rPr>
              <w:t xml:space="preserve"> </w:t>
            </w: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Social Institution and Gender Index (SIGI)</w:t>
            </w:r>
            <w:r w:rsidRPr="00270A21">
              <w:rPr>
                <w:rFonts w:ascii="Times New Roman" w:hAnsi="Times New Roman" w:cs="Times New Roman"/>
                <w:b w:val="0"/>
                <w:sz w:val="20"/>
                <w:szCs w:val="20"/>
                <w:vertAlign w:val="superscript"/>
              </w:rPr>
              <w:t xml:space="preserve"> </w:t>
            </w:r>
          </w:p>
        </w:tc>
        <w:tc>
          <w:tcPr>
            <w:tcW w:w="3600" w:type="dxa"/>
          </w:tcPr>
          <w:p w:rsidR="00A211AF" w:rsidRPr="00270A21" w:rsidRDefault="00A211AF" w:rsidP="0027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OECD, 2019.</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{"citationID":"c40kE8Tm","properties":{"formattedCitation":"(15)","plainCitation":"(15)","noteIndex":0},"citationItems":[{"id":8837,"uris":["http://zotero.org/users/8802206/items/JHZZXZHE"],"itemData":{"id":8837,"type":"document","publisher":"Paris: OECD Publishing.","title":"SIGI 2019 Global Report: Transforming Challenges into Opportunities, Social Institutions and Gender Index.","URL":"https://doi.org/10.1787/bc56d212-en.","author":[{"family":"OECD","given":""}],"issued":{"date-parts":[["2019"]]}},"label":"page"}],"schema":"https://github.com/citation-style-language/schema/raw/master/csl-citation.json"}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(15)</w:t>
            </w:r>
            <w:r w:rsidRPr="00270A21">
              <w:rPr>
                <w:rFonts w:ascii="Times New Roman" w:hAnsi="Times New Roman" w:cs="Times New Roman"/>
                <w:sz w:val="20"/>
                <w:szCs w:val="20"/>
              </w:rPr>
              <w:fldChar w:fldCharType="end"/>
            </w:r>
          </w:p>
        </w:tc>
      </w:tr>
      <w:tr w:rsidR="00A211AF" w:rsidRPr="00270A21" w:rsidTr="00270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proofErr w:type="spellStart"/>
            <w:r w:rsidRPr="00270A21">
              <w:rPr>
                <w:rFonts w:ascii="Times New Roman" w:hAnsi="Times New Roman" w:cs="Times New Roman"/>
                <w:b w:val="0"/>
                <w:sz w:val="20"/>
                <w:szCs w:val="20"/>
              </w:rPr>
              <w:t>Labour</w:t>
            </w:r>
            <w:proofErr w:type="spellEnd"/>
            <w:r w:rsidRPr="00270A21">
              <w:rPr>
                <w:rFonts w:ascii="Times New Roman" w:hAnsi="Times New Roman" w:cs="Times New Roman"/>
                <w:b w:val="0"/>
                <w:sz w:val="20"/>
                <w:szCs w:val="20"/>
              </w:rPr>
              <w:t xml:space="preserve"> force participation rate among population aged 15 years and over</w:t>
            </w:r>
          </w:p>
        </w:tc>
        <w:tc>
          <w:tcPr>
            <w:tcW w:w="3600" w:type="dxa"/>
          </w:tcPr>
          <w:p w:rsidR="00A211AF" w:rsidRPr="00270A21" w:rsidRDefault="00A211AF" w:rsidP="00270A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World Bank, 2022.</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{"citationID":"FE0r3kbL","properties":{"formattedCitation":"(3)","plainCitation":"(3)","noteIndex":0},"citationItems":[{"id":8832,"uris":["http://zotero.org/users/8802206/items/NBESAJZ9"],"itemData":{"id":8832,"type":"webpage","container-title":"Washington, D. C.: World Bank","title":"Indicators | Data","URL":"https://data.worldbank.org/indicator","author":[{"family":"World Bank","given":""}],"accessed":{"date-parts":[["2022",9,28]]},"issued":{"date-parts":[["2022"]]}},"label":"page"}],"schema":"https://github.com/citation-style-language/schema/raw/master/csl-citation.json"}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(3)</w:t>
            </w:r>
            <w:r w:rsidRPr="00270A21">
              <w:rPr>
                <w:rFonts w:ascii="Times New Roman" w:hAnsi="Times New Roman" w:cs="Times New Roman"/>
                <w:sz w:val="20"/>
                <w:szCs w:val="20"/>
              </w:rPr>
              <w:fldChar w:fldCharType="end"/>
            </w:r>
          </w:p>
        </w:tc>
      </w:tr>
      <w:tr w:rsidR="00A211AF" w:rsidRPr="00270A21" w:rsidTr="00270A21">
        <w:tc>
          <w:tcPr>
            <w:cnfStyle w:val="001000000000" w:firstRow="0" w:lastRow="0" w:firstColumn="1" w:lastColumn="0" w:oddVBand="0" w:evenVBand="0" w:oddHBand="0" w:evenHBand="0" w:firstRowFirstColumn="0" w:firstRowLastColumn="0" w:lastRowFirstColumn="0" w:lastRowLastColumn="0"/>
            <w:tcW w:w="5755" w:type="dxa"/>
          </w:tcPr>
          <w:p w:rsidR="00A211AF" w:rsidRPr="00270A21" w:rsidRDefault="00A211AF" w:rsidP="00AB51CE">
            <w:pPr>
              <w:jc w:val="both"/>
              <w:rPr>
                <w:rFonts w:ascii="Times New Roman" w:hAnsi="Times New Roman" w:cs="Times New Roman"/>
                <w:b w:val="0"/>
                <w:sz w:val="20"/>
                <w:szCs w:val="20"/>
              </w:rPr>
            </w:pPr>
            <w:r w:rsidRPr="00270A21">
              <w:rPr>
                <w:rFonts w:ascii="Times New Roman" w:hAnsi="Times New Roman" w:cs="Times New Roman"/>
                <w:b w:val="0"/>
                <w:sz w:val="20"/>
                <w:szCs w:val="20"/>
              </w:rPr>
              <w:t>Population covered by at least one social protection cash benefit (excluding health)</w:t>
            </w:r>
            <w:r w:rsidRPr="00270A21">
              <w:rPr>
                <w:rFonts w:ascii="Times New Roman" w:hAnsi="Times New Roman" w:cs="Times New Roman"/>
                <w:b w:val="0"/>
                <w:sz w:val="20"/>
                <w:szCs w:val="20"/>
                <w:vertAlign w:val="superscript"/>
              </w:rPr>
              <w:t xml:space="preserve"> †</w:t>
            </w:r>
          </w:p>
        </w:tc>
        <w:tc>
          <w:tcPr>
            <w:tcW w:w="3600" w:type="dxa"/>
          </w:tcPr>
          <w:p w:rsidR="00A211AF" w:rsidRPr="00270A21" w:rsidRDefault="00A211AF" w:rsidP="00AB51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0A21">
              <w:rPr>
                <w:rFonts w:ascii="Times New Roman" w:hAnsi="Times New Roman" w:cs="Times New Roman"/>
                <w:sz w:val="20"/>
                <w:szCs w:val="20"/>
              </w:rPr>
              <w:t>ILO, 2020.</w:t>
            </w:r>
            <w:r w:rsidRPr="00270A21">
              <w:rPr>
                <w:rFonts w:ascii="Times New Roman" w:hAnsi="Times New Roman" w:cs="Times New Roman"/>
                <w:sz w:val="20"/>
                <w:szCs w:val="20"/>
              </w:rPr>
              <w:fldChar w:fldCharType="begin"/>
            </w:r>
            <w:r w:rsidR="00DE31C7">
              <w:rPr>
                <w:rFonts w:ascii="Times New Roman" w:hAnsi="Times New Roman" w:cs="Times New Roman"/>
                <w:sz w:val="20"/>
                <w:szCs w:val="20"/>
              </w:rPr>
              <w:instrText xml:space="preserve"> ADDIN ZOTERO_ITEM CSL_CITATION {"citationID":"yfQTvr0o","properties":{"formattedCitation":"(16)","plainCitation":"(16)","noteIndex":0},"citationItems":[{"id":8895,"uris":["http://zotero.org/users/8802206/items/LVJ8C83N"],"itemData":{"id":8895,"type":"webpage","title":"World Social Protection Data Dashboards","URL":"https://www.social-protection.org/gimi/WSPDB.action?id=19","author":[{"family":"International Labour Organization (ILO)","given":""}],"accessed":{"date-parts":[["2022",10,13]]},"issued":{"date-parts":[["2020"]]}},"label":"page"}],"schema":"https://github.com/citation-style-language/schema/raw/master/csl-citation.json"} </w:instrText>
            </w:r>
            <w:r w:rsidRPr="00270A21">
              <w:rPr>
                <w:rFonts w:ascii="Times New Roman" w:hAnsi="Times New Roman" w:cs="Times New Roman"/>
                <w:sz w:val="20"/>
                <w:szCs w:val="20"/>
              </w:rPr>
              <w:fldChar w:fldCharType="separate"/>
            </w:r>
            <w:r w:rsidR="00DE31C7" w:rsidRPr="00DE31C7">
              <w:rPr>
                <w:rFonts w:ascii="Times New Roman" w:hAnsi="Times New Roman" w:cs="Times New Roman"/>
                <w:sz w:val="20"/>
              </w:rPr>
              <w:t>(16)</w:t>
            </w:r>
            <w:r w:rsidRPr="00270A21">
              <w:rPr>
                <w:rFonts w:ascii="Times New Roman" w:hAnsi="Times New Roman" w:cs="Times New Roman"/>
                <w:sz w:val="20"/>
                <w:szCs w:val="20"/>
              </w:rPr>
              <w:fldChar w:fldCharType="end"/>
            </w:r>
          </w:p>
          <w:p w:rsidR="00A211AF" w:rsidRPr="00270A21" w:rsidRDefault="00A211AF" w:rsidP="00AB51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A211AF" w:rsidRPr="00270A21" w:rsidRDefault="00A211AF" w:rsidP="00A211AF">
      <w:pPr>
        <w:spacing w:after="0" w:line="240" w:lineRule="auto"/>
        <w:jc w:val="both"/>
        <w:rPr>
          <w:rFonts w:ascii="Times New Roman" w:hAnsi="Times New Roman" w:cs="Times New Roman"/>
          <w:sz w:val="20"/>
          <w:szCs w:val="20"/>
        </w:rPr>
      </w:pPr>
      <w:r w:rsidRPr="00270A21">
        <w:rPr>
          <w:rFonts w:ascii="Times New Roman" w:hAnsi="Times New Roman" w:cs="Times New Roman"/>
          <w:sz w:val="20"/>
          <w:szCs w:val="20"/>
          <w:vertAlign w:val="superscript"/>
        </w:rPr>
        <w:t>*</w:t>
      </w:r>
      <w:r w:rsidRPr="00270A21">
        <w:rPr>
          <w:rFonts w:ascii="Times New Roman" w:hAnsi="Times New Roman" w:cs="Times New Roman"/>
          <w:sz w:val="20"/>
          <w:szCs w:val="20"/>
        </w:rPr>
        <w:t xml:space="preserve"> We included estimates of tobacco use from the GBD because they were generated from nationally representative surveys on tobacco use. </w:t>
      </w:r>
    </w:p>
    <w:p w:rsidR="00A211AF" w:rsidRPr="00270A21" w:rsidRDefault="00A211AF" w:rsidP="00A211AF">
      <w:pPr>
        <w:spacing w:after="0" w:line="240" w:lineRule="auto"/>
        <w:jc w:val="both"/>
        <w:rPr>
          <w:rFonts w:ascii="Times New Roman" w:hAnsi="Times New Roman" w:cs="Times New Roman"/>
          <w:sz w:val="20"/>
          <w:szCs w:val="20"/>
        </w:rPr>
      </w:pPr>
      <w:r w:rsidRPr="00270A21">
        <w:rPr>
          <w:rFonts w:ascii="Times New Roman" w:hAnsi="Times New Roman" w:cs="Times New Roman"/>
          <w:sz w:val="20"/>
          <w:szCs w:val="20"/>
          <w:vertAlign w:val="superscript"/>
        </w:rPr>
        <w:t>†</w:t>
      </w:r>
      <w:r w:rsidRPr="00270A21">
        <w:rPr>
          <w:rFonts w:ascii="Times New Roman" w:hAnsi="Times New Roman" w:cs="Times New Roman"/>
          <w:sz w:val="20"/>
          <w:szCs w:val="20"/>
        </w:rPr>
        <w:t>Proportion of the total population receiving at least one contributory or non‑contributory cash benefit, or actively contributing to at least one social security scheme.</w:t>
      </w:r>
    </w:p>
    <w:p w:rsidR="00DB5FF7" w:rsidRDefault="00DB5FF7"/>
    <w:p w:rsidR="00E3702D" w:rsidRDefault="00E3702D"/>
    <w:p w:rsidR="00E3702D" w:rsidRDefault="00E3702D"/>
    <w:p w:rsidR="00E3702D" w:rsidRDefault="00E3702D"/>
    <w:p w:rsidR="00E3702D" w:rsidRDefault="00E3702D">
      <w:pPr>
        <w:rPr>
          <w:rFonts w:ascii="Times New Roman" w:hAnsi="Times New Roman" w:cs="Times New Roman"/>
          <w:b/>
          <w:sz w:val="20"/>
          <w:szCs w:val="20"/>
        </w:rPr>
        <w:sectPr w:rsidR="00E3702D" w:rsidSect="00465A31">
          <w:pgSz w:w="12240" w:h="15840"/>
          <w:pgMar w:top="1440" w:right="1440" w:bottom="1440" w:left="1440" w:header="720" w:footer="720" w:gutter="0"/>
          <w:cols w:space="720"/>
          <w:docGrid w:linePitch="360"/>
        </w:sectPr>
      </w:pPr>
    </w:p>
    <w:p w:rsidR="00270A21" w:rsidRPr="00E3702D" w:rsidRDefault="00270A21" w:rsidP="00E3702D">
      <w:pPr>
        <w:pStyle w:val="Heading1"/>
        <w:spacing w:before="0" w:after="120"/>
        <w:rPr>
          <w:rFonts w:ascii="Times New Roman" w:hAnsi="Times New Roman" w:cs="Times New Roman"/>
          <w:b/>
          <w:color w:val="auto"/>
          <w:sz w:val="22"/>
          <w:szCs w:val="22"/>
        </w:rPr>
      </w:pPr>
      <w:bookmarkStart w:id="6" w:name="_Toc161397062"/>
      <w:r w:rsidRPr="00E3702D">
        <w:rPr>
          <w:rFonts w:ascii="Times New Roman" w:hAnsi="Times New Roman" w:cs="Times New Roman"/>
          <w:b/>
          <w:color w:val="auto"/>
          <w:sz w:val="22"/>
          <w:szCs w:val="22"/>
        </w:rPr>
        <w:lastRenderedPageBreak/>
        <w:t>References</w:t>
      </w:r>
      <w:bookmarkEnd w:id="6"/>
    </w:p>
    <w:p w:rsidR="00270A21" w:rsidRPr="00270A21" w:rsidRDefault="00270A21" w:rsidP="00270A21">
      <w:pPr>
        <w:pStyle w:val="ListParagraph"/>
        <w:numPr>
          <w:ilvl w:val="0"/>
          <w:numId w:val="1"/>
        </w:numPr>
        <w:spacing w:after="0" w:line="240" w:lineRule="auto"/>
        <w:ind w:left="360"/>
        <w:rPr>
          <w:rStyle w:val="Hyperlink"/>
          <w:rFonts w:ascii="Times New Roman" w:hAnsi="Times New Roman" w:cs="Times New Roman"/>
          <w:color w:val="auto"/>
          <w:sz w:val="20"/>
          <w:szCs w:val="20"/>
          <w:u w:val="none"/>
        </w:rPr>
      </w:pPr>
      <w:r w:rsidRPr="00270A21">
        <w:rPr>
          <w:rFonts w:ascii="Times New Roman" w:hAnsi="Times New Roman" w:cs="Times New Roman"/>
          <w:sz w:val="20"/>
          <w:szCs w:val="20"/>
        </w:rPr>
        <w:t xml:space="preserve">World Bank. World Bank Country and Lending Groups [Internet]. 2021 [cited 2022 Sep 28]. Available from: </w:t>
      </w:r>
      <w:hyperlink r:id="rId9" w:history="1">
        <w:r w:rsidRPr="00270A21">
          <w:rPr>
            <w:rStyle w:val="Hyperlink"/>
            <w:rFonts w:ascii="Times New Roman" w:hAnsi="Times New Roman" w:cs="Times New Roman"/>
            <w:sz w:val="20"/>
            <w:szCs w:val="20"/>
          </w:rPr>
          <w:t>https://datahelpdesk.worldbank.org/knowledgebase/articles/906519-world-bank-country-and-lending-groups</w:t>
        </w:r>
      </w:hyperlink>
    </w:p>
    <w:p w:rsidR="00270A21" w:rsidRPr="00270A21" w:rsidRDefault="00270A21" w:rsidP="00270A21">
      <w:pPr>
        <w:pStyle w:val="ListParagraph"/>
        <w:numPr>
          <w:ilvl w:val="0"/>
          <w:numId w:val="1"/>
        </w:numPr>
        <w:spacing w:after="0" w:line="240" w:lineRule="auto"/>
        <w:ind w:left="360"/>
        <w:rPr>
          <w:rStyle w:val="Hyperlink"/>
          <w:rFonts w:ascii="Times New Roman" w:hAnsi="Times New Roman" w:cs="Times New Roman"/>
          <w:color w:val="auto"/>
          <w:sz w:val="20"/>
          <w:szCs w:val="20"/>
          <w:u w:val="none"/>
        </w:rPr>
      </w:pPr>
      <w:r w:rsidRPr="00270A21">
        <w:rPr>
          <w:rFonts w:ascii="Times New Roman" w:hAnsi="Times New Roman" w:cs="Times New Roman"/>
          <w:sz w:val="20"/>
          <w:szCs w:val="20"/>
        </w:rPr>
        <w:t xml:space="preserve">United Nations, Department of Economic and Social Affairs, Population Division. World Population Prospects 2022 [Internet]. 2022 [cited 2022 Sep 28]. Available from: </w:t>
      </w:r>
      <w:hyperlink r:id="rId10" w:history="1">
        <w:r w:rsidRPr="00270A21">
          <w:rPr>
            <w:rStyle w:val="Hyperlink"/>
            <w:rFonts w:ascii="Times New Roman" w:hAnsi="Times New Roman" w:cs="Times New Roman"/>
            <w:sz w:val="20"/>
            <w:szCs w:val="20"/>
          </w:rPr>
          <w:t>https://population.un.org/dataportal/home</w:t>
        </w:r>
      </w:hyperlink>
    </w:p>
    <w:p w:rsidR="00270A21" w:rsidRPr="00270A21" w:rsidRDefault="00270A21" w:rsidP="00270A21">
      <w:pPr>
        <w:pStyle w:val="ListParagraph"/>
        <w:numPr>
          <w:ilvl w:val="0"/>
          <w:numId w:val="1"/>
        </w:numPr>
        <w:spacing w:after="0" w:line="240" w:lineRule="auto"/>
        <w:ind w:left="360"/>
        <w:rPr>
          <w:rStyle w:val="Hyperlink"/>
          <w:rFonts w:ascii="Times New Roman" w:hAnsi="Times New Roman" w:cs="Times New Roman"/>
          <w:color w:val="auto"/>
          <w:sz w:val="20"/>
          <w:szCs w:val="20"/>
          <w:u w:val="none"/>
        </w:rPr>
      </w:pPr>
      <w:r w:rsidRPr="00270A21">
        <w:rPr>
          <w:rFonts w:ascii="Times New Roman" w:hAnsi="Times New Roman" w:cs="Times New Roman"/>
          <w:sz w:val="20"/>
          <w:szCs w:val="20"/>
        </w:rPr>
        <w:t xml:space="preserve">World Bank. World Development Indicators. Washington, D. C.: World Bank. 2022 [cited 2022 Sep 28]. Available from: </w:t>
      </w:r>
      <w:hyperlink r:id="rId11" w:history="1">
        <w:r w:rsidRPr="00270A21">
          <w:rPr>
            <w:rStyle w:val="Hyperlink"/>
            <w:rFonts w:ascii="Times New Roman" w:hAnsi="Times New Roman" w:cs="Times New Roman"/>
            <w:sz w:val="20"/>
            <w:szCs w:val="20"/>
          </w:rPr>
          <w:t>https://data.worldbank.org/indicator</w:t>
        </w:r>
      </w:hyperlink>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Global Data</w:t>
      </w:r>
      <w:r w:rsidR="00DB5613">
        <w:rPr>
          <w:rFonts w:ascii="Times New Roman" w:hAnsi="Times New Roman" w:cs="Times New Roman"/>
          <w:sz w:val="20"/>
          <w:szCs w:val="20"/>
        </w:rPr>
        <w:t xml:space="preserve"> Lab. Subnational HDI</w:t>
      </w:r>
      <w:r w:rsidRPr="00270A21">
        <w:rPr>
          <w:rFonts w:ascii="Times New Roman" w:hAnsi="Times New Roman" w:cs="Times New Roman"/>
          <w:sz w:val="20"/>
          <w:szCs w:val="20"/>
        </w:rPr>
        <w:t xml:space="preserve">. The Netherlands: Global Data Lab, Institute for Management Research, </w:t>
      </w:r>
      <w:proofErr w:type="spellStart"/>
      <w:r w:rsidRPr="00270A21">
        <w:rPr>
          <w:rFonts w:ascii="Times New Roman" w:hAnsi="Times New Roman" w:cs="Times New Roman"/>
          <w:sz w:val="20"/>
          <w:szCs w:val="20"/>
        </w:rPr>
        <w:t>Radboud</w:t>
      </w:r>
      <w:proofErr w:type="spellEnd"/>
      <w:r w:rsidRPr="00270A21">
        <w:rPr>
          <w:rFonts w:ascii="Times New Roman" w:hAnsi="Times New Roman" w:cs="Times New Roman"/>
          <w:sz w:val="20"/>
          <w:szCs w:val="20"/>
        </w:rPr>
        <w:t xml:space="preserve"> University; 2013-2023 [cited 2023 Apr 4]. Available from: https://globaldatalab.org/shdi/download/</w:t>
      </w:r>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Smits J, </w:t>
      </w:r>
      <w:proofErr w:type="spellStart"/>
      <w:r w:rsidRPr="00270A21">
        <w:rPr>
          <w:rFonts w:ascii="Times New Roman" w:hAnsi="Times New Roman" w:cs="Times New Roman"/>
          <w:sz w:val="20"/>
          <w:szCs w:val="20"/>
        </w:rPr>
        <w:t>Permanyer</w:t>
      </w:r>
      <w:proofErr w:type="spellEnd"/>
      <w:r w:rsidRPr="00270A21">
        <w:rPr>
          <w:rFonts w:ascii="Times New Roman" w:hAnsi="Times New Roman" w:cs="Times New Roman"/>
          <w:sz w:val="20"/>
          <w:szCs w:val="20"/>
        </w:rPr>
        <w:t xml:space="preserve"> I. The Subnational Human Developme</w:t>
      </w:r>
      <w:r w:rsidR="00DB5613">
        <w:rPr>
          <w:rFonts w:ascii="Times New Roman" w:hAnsi="Times New Roman" w:cs="Times New Roman"/>
          <w:sz w:val="20"/>
          <w:szCs w:val="20"/>
        </w:rPr>
        <w:t xml:space="preserve">nt Database. </w:t>
      </w:r>
      <w:proofErr w:type="spellStart"/>
      <w:r w:rsidR="00DB5613">
        <w:rPr>
          <w:rFonts w:ascii="Times New Roman" w:hAnsi="Times New Roman" w:cs="Times New Roman"/>
          <w:sz w:val="20"/>
          <w:szCs w:val="20"/>
        </w:rPr>
        <w:t>Sci</w:t>
      </w:r>
      <w:proofErr w:type="spellEnd"/>
      <w:r w:rsidR="00DB5613">
        <w:rPr>
          <w:rFonts w:ascii="Times New Roman" w:hAnsi="Times New Roman" w:cs="Times New Roman"/>
          <w:sz w:val="20"/>
          <w:szCs w:val="20"/>
        </w:rPr>
        <w:t xml:space="preserve"> Data. 2019</w:t>
      </w:r>
      <w:proofErr w:type="gramStart"/>
      <w:r w:rsidRPr="00270A21">
        <w:rPr>
          <w:rFonts w:ascii="Times New Roman" w:hAnsi="Times New Roman" w:cs="Times New Roman"/>
          <w:sz w:val="20"/>
          <w:szCs w:val="20"/>
        </w:rPr>
        <w:t>;6</w:t>
      </w:r>
      <w:proofErr w:type="gramEnd"/>
      <w:r w:rsidRPr="00270A21">
        <w:rPr>
          <w:rFonts w:ascii="Times New Roman" w:hAnsi="Times New Roman" w:cs="Times New Roman"/>
          <w:sz w:val="20"/>
          <w:szCs w:val="20"/>
        </w:rPr>
        <w:t>(1):190038.</w:t>
      </w:r>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World Health Organization. Global Health Estimates 2020: Deaths by Cause, Age, Sex, by Country and by Region, 2000-2019. Geneva, World Health </w:t>
      </w:r>
      <w:proofErr w:type="spellStart"/>
      <w:r w:rsidRPr="00270A21">
        <w:rPr>
          <w:rFonts w:ascii="Times New Roman" w:hAnsi="Times New Roman" w:cs="Times New Roman"/>
          <w:sz w:val="20"/>
          <w:szCs w:val="20"/>
        </w:rPr>
        <w:t>Organizaton</w:t>
      </w:r>
      <w:proofErr w:type="spellEnd"/>
      <w:r w:rsidRPr="00270A21">
        <w:rPr>
          <w:rFonts w:ascii="Times New Roman" w:hAnsi="Times New Roman" w:cs="Times New Roman"/>
          <w:sz w:val="20"/>
          <w:szCs w:val="20"/>
        </w:rPr>
        <w:t xml:space="preserve">; 2020. [Internet]. 2020 [cited 2022 Oct 13]. Available from: </w:t>
      </w:r>
      <w:hyperlink r:id="rId12" w:history="1">
        <w:r w:rsidRPr="00270A21">
          <w:rPr>
            <w:rStyle w:val="Hyperlink"/>
            <w:rFonts w:ascii="Times New Roman" w:hAnsi="Times New Roman" w:cs="Times New Roman"/>
            <w:sz w:val="20"/>
            <w:szCs w:val="20"/>
          </w:rPr>
          <w:t>https://www.who.int/data/gho/data/themes/mortality-and-global-health-estimates/global-health-estimates-leading-causes-of-dalys</w:t>
        </w:r>
      </w:hyperlink>
    </w:p>
    <w:p w:rsidR="00270A21" w:rsidRPr="00CE2C58" w:rsidRDefault="00270A21" w:rsidP="00DE0DF8">
      <w:pPr>
        <w:pStyle w:val="ListParagraph"/>
        <w:numPr>
          <w:ilvl w:val="0"/>
          <w:numId w:val="1"/>
        </w:numPr>
        <w:spacing w:after="0" w:line="240" w:lineRule="auto"/>
        <w:ind w:left="360"/>
        <w:rPr>
          <w:rFonts w:ascii="Times New Roman" w:hAnsi="Times New Roman" w:cs="Times New Roman"/>
          <w:sz w:val="20"/>
          <w:szCs w:val="20"/>
        </w:rPr>
      </w:pPr>
      <w:r w:rsidRPr="00CE2C58">
        <w:rPr>
          <w:rFonts w:ascii="Times New Roman" w:hAnsi="Times New Roman" w:cs="Times New Roman"/>
          <w:sz w:val="20"/>
          <w:szCs w:val="20"/>
        </w:rPr>
        <w:t xml:space="preserve">World Health Organization. UHC service coverage index (3.8.1) [Internet]. 2022 [cited 2022 Oct 13]. Available from: </w:t>
      </w:r>
      <w:hyperlink r:id="rId13" w:history="1">
        <w:r w:rsidRPr="00CE2C58">
          <w:rPr>
            <w:rStyle w:val="Hyperlink"/>
            <w:rFonts w:ascii="Times New Roman" w:hAnsi="Times New Roman" w:cs="Times New Roman"/>
            <w:sz w:val="20"/>
            <w:szCs w:val="20"/>
          </w:rPr>
          <w:t>https://www.who.int/data/gho/indicator-metadata-registry/imr-details/4834</w:t>
        </w:r>
      </w:hyperlink>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World Health Organization. Global Health Observatory- World Health Organization (WHO) [Internet]. Geneva: World Health Organization (WHO). 2022 [cited 2022 Sep 28]. Available from: </w:t>
      </w:r>
      <w:hyperlink r:id="rId14" w:history="1">
        <w:r w:rsidRPr="00270A21">
          <w:rPr>
            <w:rStyle w:val="Hyperlink"/>
            <w:rFonts w:ascii="Times New Roman" w:hAnsi="Times New Roman" w:cs="Times New Roman"/>
            <w:sz w:val="20"/>
            <w:szCs w:val="20"/>
          </w:rPr>
          <w:t>https://www.who.int/data/gho/data/indicators/indicators-index</w:t>
        </w:r>
      </w:hyperlink>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Mathieu E, Ritchie H, Ortiz-</w:t>
      </w:r>
      <w:proofErr w:type="spellStart"/>
      <w:r w:rsidRPr="00270A21">
        <w:rPr>
          <w:rFonts w:ascii="Times New Roman" w:hAnsi="Times New Roman" w:cs="Times New Roman"/>
          <w:sz w:val="20"/>
          <w:szCs w:val="20"/>
        </w:rPr>
        <w:t>Ospina</w:t>
      </w:r>
      <w:proofErr w:type="spellEnd"/>
      <w:r w:rsidRPr="00270A21">
        <w:rPr>
          <w:rFonts w:ascii="Times New Roman" w:hAnsi="Times New Roman" w:cs="Times New Roman"/>
          <w:sz w:val="20"/>
          <w:szCs w:val="20"/>
        </w:rPr>
        <w:t xml:space="preserve"> E, </w:t>
      </w:r>
      <w:proofErr w:type="spellStart"/>
      <w:r w:rsidRPr="00270A21">
        <w:rPr>
          <w:rFonts w:ascii="Times New Roman" w:hAnsi="Times New Roman" w:cs="Times New Roman"/>
          <w:sz w:val="20"/>
          <w:szCs w:val="20"/>
        </w:rPr>
        <w:t>Roser</w:t>
      </w:r>
      <w:proofErr w:type="spellEnd"/>
      <w:r w:rsidRPr="00270A21">
        <w:rPr>
          <w:rFonts w:ascii="Times New Roman" w:hAnsi="Times New Roman" w:cs="Times New Roman"/>
          <w:sz w:val="20"/>
          <w:szCs w:val="20"/>
        </w:rPr>
        <w:t xml:space="preserve"> M, </w:t>
      </w:r>
      <w:proofErr w:type="spellStart"/>
      <w:r w:rsidRPr="00270A21">
        <w:rPr>
          <w:rFonts w:ascii="Times New Roman" w:hAnsi="Times New Roman" w:cs="Times New Roman"/>
          <w:sz w:val="20"/>
          <w:szCs w:val="20"/>
        </w:rPr>
        <w:t>Hasell</w:t>
      </w:r>
      <w:proofErr w:type="spellEnd"/>
      <w:r w:rsidRPr="00270A21">
        <w:rPr>
          <w:rFonts w:ascii="Times New Roman" w:hAnsi="Times New Roman" w:cs="Times New Roman"/>
          <w:sz w:val="20"/>
          <w:szCs w:val="20"/>
        </w:rPr>
        <w:t xml:space="preserve"> J, Appel C, et al. A global database of COVID-19 vaccinations. Nat Hum </w:t>
      </w:r>
      <w:proofErr w:type="spellStart"/>
      <w:r w:rsidRPr="00270A21">
        <w:rPr>
          <w:rFonts w:ascii="Times New Roman" w:hAnsi="Times New Roman" w:cs="Times New Roman"/>
          <w:sz w:val="20"/>
          <w:szCs w:val="20"/>
        </w:rPr>
        <w:t>Behav</w:t>
      </w:r>
      <w:proofErr w:type="spellEnd"/>
      <w:r w:rsidRPr="00270A21">
        <w:rPr>
          <w:rFonts w:ascii="Times New Roman" w:hAnsi="Times New Roman" w:cs="Times New Roman"/>
          <w:sz w:val="20"/>
          <w:szCs w:val="20"/>
        </w:rPr>
        <w:t>. 2021 Jul</w:t>
      </w:r>
      <w:proofErr w:type="gramStart"/>
      <w:r w:rsidRPr="00270A21">
        <w:rPr>
          <w:rFonts w:ascii="Times New Roman" w:hAnsi="Times New Roman" w:cs="Times New Roman"/>
          <w:sz w:val="20"/>
          <w:szCs w:val="20"/>
        </w:rPr>
        <w:t>;5</w:t>
      </w:r>
      <w:proofErr w:type="gramEnd"/>
      <w:r w:rsidRPr="00270A21">
        <w:rPr>
          <w:rFonts w:ascii="Times New Roman" w:hAnsi="Times New Roman" w:cs="Times New Roman"/>
          <w:sz w:val="20"/>
          <w:szCs w:val="20"/>
        </w:rPr>
        <w:t xml:space="preserve">(7):947–53. </w:t>
      </w:r>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Institute for Health Metrics and Evaluation (IHME). The Global Burden of Disease Study 2019 (GBD 2019) Results [Internet]. Seattle, Washington: IHME, University of Washington, 2022. 2022 [cited 2022 Oct 13]. Available from: </w:t>
      </w:r>
      <w:hyperlink r:id="rId15" w:history="1">
        <w:r w:rsidRPr="00270A21">
          <w:rPr>
            <w:rStyle w:val="Hyperlink"/>
            <w:rFonts w:ascii="Times New Roman" w:hAnsi="Times New Roman" w:cs="Times New Roman"/>
            <w:sz w:val="20"/>
            <w:szCs w:val="20"/>
          </w:rPr>
          <w:t>https://vizhub.healthdata.org/gbd-results/</w:t>
        </w:r>
      </w:hyperlink>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International Diabetes Federation. Diabetes estimates (20-79 y): Age-adjusted comparative prevalence of diabetes, % [Internet]. 2022 [cited 2022 Oct 13]. Available from: </w:t>
      </w:r>
      <w:hyperlink r:id="rId16" w:history="1">
        <w:r w:rsidRPr="00270A21">
          <w:rPr>
            <w:rStyle w:val="Hyperlink"/>
            <w:rFonts w:ascii="Times New Roman" w:hAnsi="Times New Roman" w:cs="Times New Roman"/>
            <w:sz w:val="20"/>
            <w:szCs w:val="20"/>
          </w:rPr>
          <w:t>https://diabetesatlas.org/data/en/indicators/2/</w:t>
        </w:r>
      </w:hyperlink>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proofErr w:type="spellStart"/>
      <w:r w:rsidRPr="00270A21">
        <w:rPr>
          <w:rFonts w:ascii="Times New Roman" w:hAnsi="Times New Roman" w:cs="Times New Roman"/>
          <w:sz w:val="20"/>
          <w:szCs w:val="20"/>
        </w:rPr>
        <w:t>Gururaj</w:t>
      </w:r>
      <w:proofErr w:type="spellEnd"/>
      <w:r w:rsidRPr="00270A21">
        <w:rPr>
          <w:rFonts w:ascii="Times New Roman" w:hAnsi="Times New Roman" w:cs="Times New Roman"/>
          <w:sz w:val="20"/>
          <w:szCs w:val="20"/>
        </w:rPr>
        <w:t xml:space="preserve"> G, Varghese M, </w:t>
      </w:r>
      <w:proofErr w:type="spellStart"/>
      <w:r w:rsidRPr="00270A21">
        <w:rPr>
          <w:rFonts w:ascii="Times New Roman" w:hAnsi="Times New Roman" w:cs="Times New Roman"/>
          <w:sz w:val="20"/>
          <w:szCs w:val="20"/>
        </w:rPr>
        <w:t>Benegal</w:t>
      </w:r>
      <w:proofErr w:type="spellEnd"/>
      <w:r w:rsidRPr="00270A21">
        <w:rPr>
          <w:rFonts w:ascii="Times New Roman" w:hAnsi="Times New Roman" w:cs="Times New Roman"/>
          <w:sz w:val="20"/>
          <w:szCs w:val="20"/>
        </w:rPr>
        <w:t xml:space="preserve"> V, Rao GN, Pathak K, Singh LK, et al. National Mental Health Survey of India, 2015-16: Prevalence, patterns and outcomes. Bengaluru, National Institute of Mental Health and Neuro Sciences, NIMHANS Publication No. 129; 2016.</w:t>
      </w:r>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World Bank. The Human Capital Index 2020 Update: Human Capital in the Time of COVID-19. Washington, DC: World Bank; 2021. </w:t>
      </w:r>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International </w:t>
      </w:r>
      <w:proofErr w:type="spellStart"/>
      <w:r w:rsidRPr="00270A21">
        <w:rPr>
          <w:rFonts w:ascii="Times New Roman" w:hAnsi="Times New Roman" w:cs="Times New Roman"/>
          <w:sz w:val="20"/>
          <w:szCs w:val="20"/>
        </w:rPr>
        <w:t>Labour</w:t>
      </w:r>
      <w:proofErr w:type="spellEnd"/>
      <w:r w:rsidRPr="00270A21">
        <w:rPr>
          <w:rFonts w:ascii="Times New Roman" w:hAnsi="Times New Roman" w:cs="Times New Roman"/>
          <w:sz w:val="20"/>
          <w:szCs w:val="20"/>
        </w:rPr>
        <w:t xml:space="preserve"> Organization (ILO). Care work and care jobs for the future of decent work. Geneva: ILO; 2018.</w:t>
      </w:r>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Organization for Economic Co-operation and Development (OECD). SIGI 2019 Global Report: Transforming Challenges into Opportunities, Social Institutions and Gender Index. [Internet]. Paris: OECD Publishing.; 2019. Available from: </w:t>
      </w:r>
      <w:hyperlink r:id="rId17" w:history="1">
        <w:r w:rsidRPr="00270A21">
          <w:rPr>
            <w:rStyle w:val="Hyperlink"/>
            <w:rFonts w:ascii="Times New Roman" w:hAnsi="Times New Roman" w:cs="Times New Roman"/>
            <w:sz w:val="20"/>
            <w:szCs w:val="20"/>
          </w:rPr>
          <w:t>https://doi.org/10.1787/bc56d212-en</w:t>
        </w:r>
      </w:hyperlink>
      <w:r w:rsidRPr="00270A21">
        <w:rPr>
          <w:rFonts w:ascii="Times New Roman" w:hAnsi="Times New Roman" w:cs="Times New Roman"/>
          <w:sz w:val="20"/>
          <w:szCs w:val="20"/>
        </w:rPr>
        <w:t>.</w:t>
      </w:r>
    </w:p>
    <w:p w:rsidR="00270A21" w:rsidRPr="00270A21" w:rsidRDefault="00270A21" w:rsidP="00270A21">
      <w:pPr>
        <w:pStyle w:val="ListParagraph"/>
        <w:numPr>
          <w:ilvl w:val="0"/>
          <w:numId w:val="1"/>
        </w:numPr>
        <w:spacing w:after="0" w:line="240" w:lineRule="auto"/>
        <w:ind w:left="360"/>
        <w:rPr>
          <w:rFonts w:ascii="Times New Roman" w:hAnsi="Times New Roman" w:cs="Times New Roman"/>
          <w:sz w:val="20"/>
          <w:szCs w:val="20"/>
        </w:rPr>
      </w:pPr>
      <w:r w:rsidRPr="00270A21">
        <w:rPr>
          <w:rFonts w:ascii="Times New Roman" w:hAnsi="Times New Roman" w:cs="Times New Roman"/>
          <w:sz w:val="20"/>
          <w:szCs w:val="20"/>
        </w:rPr>
        <w:t xml:space="preserve">International </w:t>
      </w:r>
      <w:proofErr w:type="spellStart"/>
      <w:r w:rsidRPr="00270A21">
        <w:rPr>
          <w:rFonts w:ascii="Times New Roman" w:hAnsi="Times New Roman" w:cs="Times New Roman"/>
          <w:sz w:val="20"/>
          <w:szCs w:val="20"/>
        </w:rPr>
        <w:t>Labour</w:t>
      </w:r>
      <w:proofErr w:type="spellEnd"/>
      <w:r w:rsidRPr="00270A21">
        <w:rPr>
          <w:rFonts w:ascii="Times New Roman" w:hAnsi="Times New Roman" w:cs="Times New Roman"/>
          <w:sz w:val="20"/>
          <w:szCs w:val="20"/>
        </w:rPr>
        <w:t xml:space="preserve"> Organization (ILO). World Social Protection Data Dashboards [Internet]. 2020 [cited 2022 Oct 13]. Available from: </w:t>
      </w:r>
      <w:hyperlink r:id="rId18" w:history="1">
        <w:r w:rsidRPr="00270A21">
          <w:rPr>
            <w:rStyle w:val="Hyperlink"/>
            <w:rFonts w:ascii="Times New Roman" w:hAnsi="Times New Roman" w:cs="Times New Roman"/>
            <w:sz w:val="20"/>
            <w:szCs w:val="20"/>
          </w:rPr>
          <w:t>https://www.social-protection.org/gimi/WSPDB.action?id=19</w:t>
        </w:r>
      </w:hyperlink>
    </w:p>
    <w:p w:rsidR="00270A21" w:rsidRPr="00270A21" w:rsidRDefault="00270A21" w:rsidP="00270A21">
      <w:pPr>
        <w:rPr>
          <w:rFonts w:ascii="Times New Roman" w:hAnsi="Times New Roman" w:cs="Times New Roman"/>
          <w:sz w:val="20"/>
          <w:szCs w:val="20"/>
        </w:rPr>
      </w:pPr>
    </w:p>
    <w:sectPr w:rsidR="00270A21" w:rsidRPr="00270A21" w:rsidSect="00465A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A3" w:rsidRDefault="002A56A3" w:rsidP="002A56A3">
      <w:pPr>
        <w:spacing w:after="0" w:line="240" w:lineRule="auto"/>
      </w:pPr>
      <w:r>
        <w:separator/>
      </w:r>
    </w:p>
  </w:endnote>
  <w:endnote w:type="continuationSeparator" w:id="0">
    <w:p w:rsidR="002A56A3" w:rsidRDefault="002A56A3" w:rsidP="002A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256062"/>
      <w:docPartObj>
        <w:docPartGallery w:val="Page Numbers (Bottom of Page)"/>
        <w:docPartUnique/>
      </w:docPartObj>
    </w:sdtPr>
    <w:sdtEndPr>
      <w:rPr>
        <w:rFonts w:ascii="Times New Roman" w:hAnsi="Times New Roman" w:cs="Times New Roman"/>
        <w:noProof/>
      </w:rPr>
    </w:sdtEndPr>
    <w:sdtContent>
      <w:p w:rsidR="002A56A3" w:rsidRPr="002A56A3" w:rsidRDefault="002A56A3">
        <w:pPr>
          <w:pStyle w:val="Footer"/>
          <w:jc w:val="center"/>
          <w:rPr>
            <w:rFonts w:ascii="Times New Roman" w:hAnsi="Times New Roman" w:cs="Times New Roman"/>
          </w:rPr>
        </w:pPr>
        <w:r w:rsidRPr="002A56A3">
          <w:rPr>
            <w:rFonts w:ascii="Times New Roman" w:hAnsi="Times New Roman" w:cs="Times New Roman"/>
          </w:rPr>
          <w:fldChar w:fldCharType="begin"/>
        </w:r>
        <w:r w:rsidRPr="002A56A3">
          <w:rPr>
            <w:rFonts w:ascii="Times New Roman" w:hAnsi="Times New Roman" w:cs="Times New Roman"/>
          </w:rPr>
          <w:instrText xml:space="preserve"> PAGE   \* MERGEFORMAT </w:instrText>
        </w:r>
        <w:r w:rsidRPr="002A56A3">
          <w:rPr>
            <w:rFonts w:ascii="Times New Roman" w:hAnsi="Times New Roman" w:cs="Times New Roman"/>
          </w:rPr>
          <w:fldChar w:fldCharType="separate"/>
        </w:r>
        <w:r w:rsidR="002715EA">
          <w:rPr>
            <w:rFonts w:ascii="Times New Roman" w:hAnsi="Times New Roman" w:cs="Times New Roman"/>
            <w:noProof/>
          </w:rPr>
          <w:t>3</w:t>
        </w:r>
        <w:r w:rsidRPr="002A56A3">
          <w:rPr>
            <w:rFonts w:ascii="Times New Roman" w:hAnsi="Times New Roman" w:cs="Times New Roman"/>
            <w:noProof/>
          </w:rPr>
          <w:fldChar w:fldCharType="end"/>
        </w:r>
      </w:p>
    </w:sdtContent>
  </w:sdt>
  <w:p w:rsidR="002A56A3" w:rsidRDefault="002A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A3" w:rsidRDefault="002A56A3" w:rsidP="002A56A3">
      <w:pPr>
        <w:spacing w:after="0" w:line="240" w:lineRule="auto"/>
      </w:pPr>
      <w:r>
        <w:separator/>
      </w:r>
    </w:p>
  </w:footnote>
  <w:footnote w:type="continuationSeparator" w:id="0">
    <w:p w:rsidR="002A56A3" w:rsidRDefault="002A56A3" w:rsidP="002A5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32308"/>
    <w:multiLevelType w:val="hybridMultilevel"/>
    <w:tmpl w:val="7824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D40B8"/>
    <w:multiLevelType w:val="hybridMultilevel"/>
    <w:tmpl w:val="A0C2A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E2EDA"/>
    <w:multiLevelType w:val="hybridMultilevel"/>
    <w:tmpl w:val="446662B0"/>
    <w:lvl w:ilvl="0" w:tplc="A49EE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AF"/>
    <w:rsid w:val="00013EDD"/>
    <w:rsid w:val="00017870"/>
    <w:rsid w:val="00026FC2"/>
    <w:rsid w:val="00027AB7"/>
    <w:rsid w:val="00042DF5"/>
    <w:rsid w:val="000433BC"/>
    <w:rsid w:val="000538F0"/>
    <w:rsid w:val="00053FB9"/>
    <w:rsid w:val="000565FA"/>
    <w:rsid w:val="00063A35"/>
    <w:rsid w:val="00071F26"/>
    <w:rsid w:val="00096F45"/>
    <w:rsid w:val="000B0EF9"/>
    <w:rsid w:val="000B6ADF"/>
    <w:rsid w:val="000D05FF"/>
    <w:rsid w:val="000D558B"/>
    <w:rsid w:val="000D62DD"/>
    <w:rsid w:val="000E2C9D"/>
    <w:rsid w:val="000F09D7"/>
    <w:rsid w:val="000F725E"/>
    <w:rsid w:val="001071B8"/>
    <w:rsid w:val="001370EC"/>
    <w:rsid w:val="00143661"/>
    <w:rsid w:val="0015246F"/>
    <w:rsid w:val="00152C3A"/>
    <w:rsid w:val="00157E2B"/>
    <w:rsid w:val="00166F5F"/>
    <w:rsid w:val="00170FEB"/>
    <w:rsid w:val="00171807"/>
    <w:rsid w:val="00187C2D"/>
    <w:rsid w:val="00191598"/>
    <w:rsid w:val="001939DC"/>
    <w:rsid w:val="00197C4A"/>
    <w:rsid w:val="001D7D72"/>
    <w:rsid w:val="001E5F9B"/>
    <w:rsid w:val="001F2590"/>
    <w:rsid w:val="001F30C7"/>
    <w:rsid w:val="001F362F"/>
    <w:rsid w:val="00215C84"/>
    <w:rsid w:val="0022707E"/>
    <w:rsid w:val="00232BFA"/>
    <w:rsid w:val="00241CDC"/>
    <w:rsid w:val="00253EB4"/>
    <w:rsid w:val="002668BB"/>
    <w:rsid w:val="00270A21"/>
    <w:rsid w:val="002715EA"/>
    <w:rsid w:val="00275585"/>
    <w:rsid w:val="002769E4"/>
    <w:rsid w:val="002A2A2C"/>
    <w:rsid w:val="002A56A3"/>
    <w:rsid w:val="002C4CE1"/>
    <w:rsid w:val="002D054F"/>
    <w:rsid w:val="002E111E"/>
    <w:rsid w:val="002E2581"/>
    <w:rsid w:val="002F1149"/>
    <w:rsid w:val="00303A84"/>
    <w:rsid w:val="003044CE"/>
    <w:rsid w:val="003045D7"/>
    <w:rsid w:val="00311D65"/>
    <w:rsid w:val="0032168D"/>
    <w:rsid w:val="00337909"/>
    <w:rsid w:val="00356E01"/>
    <w:rsid w:val="003575EE"/>
    <w:rsid w:val="00365407"/>
    <w:rsid w:val="003667B8"/>
    <w:rsid w:val="00383A6A"/>
    <w:rsid w:val="003869DA"/>
    <w:rsid w:val="00396FFA"/>
    <w:rsid w:val="003A4282"/>
    <w:rsid w:val="003A77E7"/>
    <w:rsid w:val="003D592A"/>
    <w:rsid w:val="0040187E"/>
    <w:rsid w:val="004074C0"/>
    <w:rsid w:val="00414448"/>
    <w:rsid w:val="00434193"/>
    <w:rsid w:val="00434FDF"/>
    <w:rsid w:val="0044722F"/>
    <w:rsid w:val="00453EA2"/>
    <w:rsid w:val="004622B3"/>
    <w:rsid w:val="0046719B"/>
    <w:rsid w:val="00475D70"/>
    <w:rsid w:val="00484820"/>
    <w:rsid w:val="004935B1"/>
    <w:rsid w:val="004941EC"/>
    <w:rsid w:val="0049486E"/>
    <w:rsid w:val="0049524F"/>
    <w:rsid w:val="004A50E5"/>
    <w:rsid w:val="004B7B85"/>
    <w:rsid w:val="004D1E86"/>
    <w:rsid w:val="004F079D"/>
    <w:rsid w:val="004F5ACF"/>
    <w:rsid w:val="00514C65"/>
    <w:rsid w:val="00517A28"/>
    <w:rsid w:val="00524F2E"/>
    <w:rsid w:val="005274F5"/>
    <w:rsid w:val="005417FD"/>
    <w:rsid w:val="00545BA5"/>
    <w:rsid w:val="00546155"/>
    <w:rsid w:val="00556329"/>
    <w:rsid w:val="00562B8E"/>
    <w:rsid w:val="00565444"/>
    <w:rsid w:val="00571201"/>
    <w:rsid w:val="00572038"/>
    <w:rsid w:val="00575D87"/>
    <w:rsid w:val="00577A15"/>
    <w:rsid w:val="00582646"/>
    <w:rsid w:val="00593998"/>
    <w:rsid w:val="005968F4"/>
    <w:rsid w:val="005B7AF7"/>
    <w:rsid w:val="005E01B6"/>
    <w:rsid w:val="005E6C57"/>
    <w:rsid w:val="006029D9"/>
    <w:rsid w:val="00605364"/>
    <w:rsid w:val="00611893"/>
    <w:rsid w:val="00654F88"/>
    <w:rsid w:val="00665382"/>
    <w:rsid w:val="0069285A"/>
    <w:rsid w:val="006A10E1"/>
    <w:rsid w:val="006A4F5B"/>
    <w:rsid w:val="006C267A"/>
    <w:rsid w:val="00707E51"/>
    <w:rsid w:val="007275B4"/>
    <w:rsid w:val="00727AAC"/>
    <w:rsid w:val="007335ED"/>
    <w:rsid w:val="00733C98"/>
    <w:rsid w:val="00746C57"/>
    <w:rsid w:val="007565E0"/>
    <w:rsid w:val="007647A5"/>
    <w:rsid w:val="007703F8"/>
    <w:rsid w:val="007A110D"/>
    <w:rsid w:val="007A6DDC"/>
    <w:rsid w:val="007B2CA0"/>
    <w:rsid w:val="007B71FD"/>
    <w:rsid w:val="007B7B66"/>
    <w:rsid w:val="007C3708"/>
    <w:rsid w:val="007D3725"/>
    <w:rsid w:val="007D6316"/>
    <w:rsid w:val="007E32A4"/>
    <w:rsid w:val="007E60E6"/>
    <w:rsid w:val="008018D5"/>
    <w:rsid w:val="008035DC"/>
    <w:rsid w:val="00826648"/>
    <w:rsid w:val="008329D1"/>
    <w:rsid w:val="008413A8"/>
    <w:rsid w:val="008612CB"/>
    <w:rsid w:val="00862826"/>
    <w:rsid w:val="00872D67"/>
    <w:rsid w:val="00891596"/>
    <w:rsid w:val="008918E5"/>
    <w:rsid w:val="008B2260"/>
    <w:rsid w:val="008E3A64"/>
    <w:rsid w:val="008E5DF0"/>
    <w:rsid w:val="008E6A49"/>
    <w:rsid w:val="008F08F5"/>
    <w:rsid w:val="008F6BA9"/>
    <w:rsid w:val="0091112F"/>
    <w:rsid w:val="00912DB6"/>
    <w:rsid w:val="009139D8"/>
    <w:rsid w:val="00915909"/>
    <w:rsid w:val="00933DCD"/>
    <w:rsid w:val="009517E6"/>
    <w:rsid w:val="009527BE"/>
    <w:rsid w:val="00960F21"/>
    <w:rsid w:val="009725E3"/>
    <w:rsid w:val="00987B73"/>
    <w:rsid w:val="00991440"/>
    <w:rsid w:val="00991790"/>
    <w:rsid w:val="00995BE9"/>
    <w:rsid w:val="009A52F2"/>
    <w:rsid w:val="009B0578"/>
    <w:rsid w:val="009B39B9"/>
    <w:rsid w:val="009B5A15"/>
    <w:rsid w:val="009C011C"/>
    <w:rsid w:val="009C0D24"/>
    <w:rsid w:val="009C789E"/>
    <w:rsid w:val="009D25CB"/>
    <w:rsid w:val="009D5D3A"/>
    <w:rsid w:val="009D7108"/>
    <w:rsid w:val="009E1161"/>
    <w:rsid w:val="009F2298"/>
    <w:rsid w:val="009F5322"/>
    <w:rsid w:val="00A0184C"/>
    <w:rsid w:val="00A06336"/>
    <w:rsid w:val="00A1490B"/>
    <w:rsid w:val="00A211AF"/>
    <w:rsid w:val="00A22B45"/>
    <w:rsid w:val="00A335E9"/>
    <w:rsid w:val="00A538AD"/>
    <w:rsid w:val="00A57447"/>
    <w:rsid w:val="00A73749"/>
    <w:rsid w:val="00A743B3"/>
    <w:rsid w:val="00A828B9"/>
    <w:rsid w:val="00A97F65"/>
    <w:rsid w:val="00AA0500"/>
    <w:rsid w:val="00AA246C"/>
    <w:rsid w:val="00AA63BE"/>
    <w:rsid w:val="00AB203C"/>
    <w:rsid w:val="00AD354A"/>
    <w:rsid w:val="00AE1E64"/>
    <w:rsid w:val="00AE34C0"/>
    <w:rsid w:val="00AE7404"/>
    <w:rsid w:val="00AF5FE1"/>
    <w:rsid w:val="00B118A4"/>
    <w:rsid w:val="00B20EF8"/>
    <w:rsid w:val="00B551E7"/>
    <w:rsid w:val="00B65A7F"/>
    <w:rsid w:val="00B82D56"/>
    <w:rsid w:val="00B83105"/>
    <w:rsid w:val="00B8685D"/>
    <w:rsid w:val="00BA54C8"/>
    <w:rsid w:val="00BA7F62"/>
    <w:rsid w:val="00BC563D"/>
    <w:rsid w:val="00BD0B93"/>
    <w:rsid w:val="00BD3F3E"/>
    <w:rsid w:val="00BD4239"/>
    <w:rsid w:val="00BE6499"/>
    <w:rsid w:val="00BF03CB"/>
    <w:rsid w:val="00BF463D"/>
    <w:rsid w:val="00C167C8"/>
    <w:rsid w:val="00C266F2"/>
    <w:rsid w:val="00C30830"/>
    <w:rsid w:val="00C31E93"/>
    <w:rsid w:val="00C36531"/>
    <w:rsid w:val="00C421E4"/>
    <w:rsid w:val="00C50B10"/>
    <w:rsid w:val="00C775F8"/>
    <w:rsid w:val="00C815BB"/>
    <w:rsid w:val="00C81FA4"/>
    <w:rsid w:val="00CA5CAF"/>
    <w:rsid w:val="00CC2CA1"/>
    <w:rsid w:val="00CD0CCA"/>
    <w:rsid w:val="00CE2C58"/>
    <w:rsid w:val="00CE6EC5"/>
    <w:rsid w:val="00D042BB"/>
    <w:rsid w:val="00D10C0C"/>
    <w:rsid w:val="00D2350D"/>
    <w:rsid w:val="00D23D6A"/>
    <w:rsid w:val="00D24035"/>
    <w:rsid w:val="00D40212"/>
    <w:rsid w:val="00D40591"/>
    <w:rsid w:val="00D46E08"/>
    <w:rsid w:val="00D54949"/>
    <w:rsid w:val="00D5733F"/>
    <w:rsid w:val="00D60E7F"/>
    <w:rsid w:val="00D621FC"/>
    <w:rsid w:val="00D6544C"/>
    <w:rsid w:val="00D81E30"/>
    <w:rsid w:val="00D82AD3"/>
    <w:rsid w:val="00D85476"/>
    <w:rsid w:val="00DA0DBA"/>
    <w:rsid w:val="00DA4938"/>
    <w:rsid w:val="00DA4EEA"/>
    <w:rsid w:val="00DA7F84"/>
    <w:rsid w:val="00DB1D08"/>
    <w:rsid w:val="00DB5613"/>
    <w:rsid w:val="00DB5989"/>
    <w:rsid w:val="00DB5FF7"/>
    <w:rsid w:val="00DC3809"/>
    <w:rsid w:val="00DC402B"/>
    <w:rsid w:val="00DD6C7E"/>
    <w:rsid w:val="00DE31C7"/>
    <w:rsid w:val="00DF1B26"/>
    <w:rsid w:val="00E2624B"/>
    <w:rsid w:val="00E331C2"/>
    <w:rsid w:val="00E34538"/>
    <w:rsid w:val="00E36B6C"/>
    <w:rsid w:val="00E3702D"/>
    <w:rsid w:val="00E57948"/>
    <w:rsid w:val="00E607F5"/>
    <w:rsid w:val="00E63EF3"/>
    <w:rsid w:val="00E66B73"/>
    <w:rsid w:val="00E81E29"/>
    <w:rsid w:val="00E87E37"/>
    <w:rsid w:val="00E930B3"/>
    <w:rsid w:val="00E94360"/>
    <w:rsid w:val="00EA65EA"/>
    <w:rsid w:val="00EE792F"/>
    <w:rsid w:val="00EF673F"/>
    <w:rsid w:val="00F12686"/>
    <w:rsid w:val="00F13EAC"/>
    <w:rsid w:val="00F20BC8"/>
    <w:rsid w:val="00F21DBA"/>
    <w:rsid w:val="00F243B0"/>
    <w:rsid w:val="00F473B4"/>
    <w:rsid w:val="00F659E0"/>
    <w:rsid w:val="00F802EC"/>
    <w:rsid w:val="00F93932"/>
    <w:rsid w:val="00FB24AB"/>
    <w:rsid w:val="00FB48FF"/>
    <w:rsid w:val="00FD153F"/>
    <w:rsid w:val="00FF3A29"/>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7977"/>
  <w15:chartTrackingRefBased/>
  <w15:docId w15:val="{097867E9-F6A2-4566-8C4B-701A0A9F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AF"/>
  </w:style>
  <w:style w:type="paragraph" w:styleId="Heading1">
    <w:name w:val="heading 1"/>
    <w:basedOn w:val="Normal"/>
    <w:next w:val="Normal"/>
    <w:link w:val="Heading1Char"/>
    <w:uiPriority w:val="9"/>
    <w:qFormat/>
    <w:rsid w:val="00A21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70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1A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21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211A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A21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AF"/>
    <w:rPr>
      <w:rFonts w:ascii="Segoe UI" w:hAnsi="Segoe UI" w:cs="Segoe UI"/>
      <w:sz w:val="18"/>
      <w:szCs w:val="18"/>
    </w:rPr>
  </w:style>
  <w:style w:type="paragraph" w:styleId="TOCHeading">
    <w:name w:val="TOC Heading"/>
    <w:basedOn w:val="Heading1"/>
    <w:next w:val="Normal"/>
    <w:uiPriority w:val="39"/>
    <w:unhideWhenUsed/>
    <w:qFormat/>
    <w:rsid w:val="00270A21"/>
    <w:pPr>
      <w:outlineLvl w:val="9"/>
    </w:pPr>
  </w:style>
  <w:style w:type="paragraph" w:styleId="TOC1">
    <w:name w:val="toc 1"/>
    <w:basedOn w:val="Normal"/>
    <w:next w:val="Normal"/>
    <w:autoRedefine/>
    <w:uiPriority w:val="39"/>
    <w:unhideWhenUsed/>
    <w:rsid w:val="00270A21"/>
    <w:pPr>
      <w:spacing w:after="100"/>
    </w:pPr>
  </w:style>
  <w:style w:type="character" w:styleId="Hyperlink">
    <w:name w:val="Hyperlink"/>
    <w:basedOn w:val="DefaultParagraphFont"/>
    <w:uiPriority w:val="99"/>
    <w:unhideWhenUsed/>
    <w:rsid w:val="00270A21"/>
    <w:rPr>
      <w:color w:val="0563C1" w:themeColor="hyperlink"/>
      <w:u w:val="single"/>
    </w:rPr>
  </w:style>
  <w:style w:type="paragraph" w:styleId="Bibliography">
    <w:name w:val="Bibliography"/>
    <w:basedOn w:val="Normal"/>
    <w:next w:val="Normal"/>
    <w:uiPriority w:val="37"/>
    <w:unhideWhenUsed/>
    <w:rsid w:val="00270A21"/>
    <w:pPr>
      <w:tabs>
        <w:tab w:val="left" w:pos="504"/>
      </w:tabs>
      <w:spacing w:after="240" w:line="240" w:lineRule="auto"/>
      <w:ind w:left="504" w:hanging="504"/>
    </w:pPr>
  </w:style>
  <w:style w:type="paragraph" w:styleId="ListParagraph">
    <w:name w:val="List Paragraph"/>
    <w:basedOn w:val="Normal"/>
    <w:uiPriority w:val="34"/>
    <w:qFormat/>
    <w:rsid w:val="00270A21"/>
    <w:pPr>
      <w:ind w:left="720"/>
      <w:contextualSpacing/>
    </w:pPr>
  </w:style>
  <w:style w:type="character" w:customStyle="1" w:styleId="Heading3Char">
    <w:name w:val="Heading 3 Char"/>
    <w:basedOn w:val="DefaultParagraphFont"/>
    <w:link w:val="Heading3"/>
    <w:uiPriority w:val="9"/>
    <w:rsid w:val="00E3702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3702D"/>
    <w:rPr>
      <w:b/>
      <w:bCs/>
    </w:rPr>
  </w:style>
  <w:style w:type="character" w:customStyle="1" w:styleId="Heading2Char">
    <w:name w:val="Heading 2 Char"/>
    <w:basedOn w:val="DefaultParagraphFont"/>
    <w:link w:val="Heading2"/>
    <w:uiPriority w:val="9"/>
    <w:rsid w:val="00E3702D"/>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3702D"/>
    <w:pPr>
      <w:spacing w:after="100"/>
      <w:ind w:left="220"/>
    </w:pPr>
  </w:style>
  <w:style w:type="paragraph" w:styleId="Header">
    <w:name w:val="header"/>
    <w:basedOn w:val="Normal"/>
    <w:link w:val="HeaderChar"/>
    <w:uiPriority w:val="99"/>
    <w:unhideWhenUsed/>
    <w:rsid w:val="002A5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6A3"/>
  </w:style>
  <w:style w:type="paragraph" w:styleId="Footer">
    <w:name w:val="footer"/>
    <w:basedOn w:val="Normal"/>
    <w:link w:val="FooterChar"/>
    <w:uiPriority w:val="99"/>
    <w:unhideWhenUsed/>
    <w:rsid w:val="002A5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data/gho/indicator-metadata-registry/imr-details/4834" TargetMode="External"/><Relationship Id="rId18" Type="http://schemas.openxmlformats.org/officeDocument/2006/relationships/hyperlink" Target="https://www.social-protection.org/gimi/WSPDB.action?id=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data/gho/data/themes/mortality-and-global-health-estimates/global-health-estimates-leading-causes-of-dalys" TargetMode="External"/><Relationship Id="rId17" Type="http://schemas.openxmlformats.org/officeDocument/2006/relationships/hyperlink" Target="https://doi.org/10.1787/bc56d212-en" TargetMode="External"/><Relationship Id="rId2" Type="http://schemas.openxmlformats.org/officeDocument/2006/relationships/numbering" Target="numbering.xml"/><Relationship Id="rId16" Type="http://schemas.openxmlformats.org/officeDocument/2006/relationships/hyperlink" Target="https://diabetesatlas.org/data/en/indicators/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worldbank.org/indicator" TargetMode="External"/><Relationship Id="rId5" Type="http://schemas.openxmlformats.org/officeDocument/2006/relationships/webSettings" Target="webSettings.xml"/><Relationship Id="rId15" Type="http://schemas.openxmlformats.org/officeDocument/2006/relationships/hyperlink" Target="https://vizhub.healthdata.org/gbd-results/" TargetMode="External"/><Relationship Id="rId10" Type="http://schemas.openxmlformats.org/officeDocument/2006/relationships/hyperlink" Target="https://population.un.org/dataportal/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helpdesk.worldbank.org/knowledgebase/articles/906519-world-bank-country-and-lending-groups" TargetMode="External"/><Relationship Id="rId14" Type="http://schemas.openxmlformats.org/officeDocument/2006/relationships/hyperlink" Target="https://www.who.int/data/gho/data/indicators/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31FD6-1754-46ED-B84B-040BF232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4996</Words>
  <Characters>28480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 Michael Hospital</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Nee Wu</dc:creator>
  <cp:keywords/>
  <dc:description/>
  <cp:lastModifiedBy>Chen Nee Wu</cp:lastModifiedBy>
  <cp:revision>4</cp:revision>
  <cp:lastPrinted>2024-09-25T15:12:00Z</cp:lastPrinted>
  <dcterms:created xsi:type="dcterms:W3CDTF">2024-06-24T16:33:00Z</dcterms:created>
  <dcterms:modified xsi:type="dcterms:W3CDTF">2024-09-25T15:12:00Z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id="E1AOso1x"/&gt;&lt;style id="http://www.zotero.org/styles/vancouver" locale="en-US" hasBibliography="1" bibliographyStyleHasBeenSet="0"/&gt;&lt;prefs&gt;&lt;pref name="fieldType" value="Field"/&gt;&lt;/prefs&gt;&lt;/data&gt;</vt:lpwstr>
  </property>
</Properties>
</file>