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4EB" w:rsidRPr="00F044EB" w:rsidRDefault="00F044EB" w:rsidP="00F044EB">
      <w:pPr>
        <w:spacing w:before="100" w:beforeAutospacing="1" w:after="100" w:afterAutospacing="1" w:line="240" w:lineRule="auto"/>
        <w:rPr>
          <w:rFonts w:ascii="Times New Roman" w:hAnsi="Times New Roman" w:cs="Times New Roman"/>
          <w:kern w:val="0"/>
        </w:rPr>
      </w:pPr>
      <w:proofErr w:type="gramStart"/>
      <w:r w:rsidRPr="00F044EB">
        <w:rPr>
          <w:rFonts w:ascii="Times New Roman" w:hAnsi="Times New Roman" w:cs="Times New Roman"/>
          <w:kern w:val="0"/>
        </w:rPr>
        <w:t>Table 2.</w:t>
      </w:r>
      <w:proofErr w:type="gramEnd"/>
      <w:r w:rsidRPr="00F044EB">
        <w:rPr>
          <w:rFonts w:ascii="Times New Roman" w:hAnsi="Times New Roman" w:cs="Times New Roman"/>
          <w:kern w:val="0"/>
        </w:rPr>
        <w:t xml:space="preserve"> Main Categories, Concepts, and Themes extracted from qualitative analysis</w:t>
      </w:r>
    </w:p>
    <w:tbl>
      <w:tblPr>
        <w:tblStyle w:val="TableGrid"/>
        <w:tblW w:w="0" w:type="auto"/>
        <w:tblLook w:val="04A0"/>
      </w:tblPr>
      <w:tblGrid>
        <w:gridCol w:w="1911"/>
        <w:gridCol w:w="2011"/>
        <w:gridCol w:w="5654"/>
      </w:tblGrid>
      <w:tr w:rsidR="00F044EB" w:rsidRPr="00F044EB" w:rsidTr="004B0550">
        <w:tc>
          <w:tcPr>
            <w:tcW w:w="0" w:type="auto"/>
            <w:hideMark/>
          </w:tcPr>
          <w:p w:rsidR="00F044EB" w:rsidRPr="00F044EB" w:rsidRDefault="00F044EB" w:rsidP="00F044EB">
            <w:pPr>
              <w:spacing w:before="100" w:beforeAutospacing="1" w:after="100" w:afterAutospacing="1"/>
              <w:jc w:val="center"/>
              <w:rPr>
                <w:rFonts w:ascii="Times New Roman" w:hAnsi="Times New Roman" w:cs="Times New Roman"/>
                <w:b/>
                <w:bCs/>
                <w:kern w:val="0"/>
              </w:rPr>
            </w:pPr>
            <w:r w:rsidRPr="00F044EB">
              <w:rPr>
                <w:rFonts w:ascii="Times New Roman" w:hAnsi="Times New Roman" w:cs="Times New Roman"/>
                <w:b/>
                <w:bCs/>
                <w:kern w:val="0"/>
              </w:rPr>
              <w:t>Main Category</w:t>
            </w:r>
          </w:p>
        </w:tc>
        <w:tc>
          <w:tcPr>
            <w:tcW w:w="0" w:type="auto"/>
            <w:hideMark/>
          </w:tcPr>
          <w:p w:rsidR="00F044EB" w:rsidRPr="00F044EB" w:rsidRDefault="00F044EB" w:rsidP="00F044EB">
            <w:pPr>
              <w:spacing w:before="100" w:beforeAutospacing="1" w:after="100" w:afterAutospacing="1"/>
              <w:jc w:val="center"/>
              <w:rPr>
                <w:rFonts w:ascii="Times New Roman" w:hAnsi="Times New Roman" w:cs="Times New Roman"/>
                <w:b/>
                <w:bCs/>
                <w:kern w:val="0"/>
              </w:rPr>
            </w:pPr>
            <w:r w:rsidRPr="00F044EB">
              <w:rPr>
                <w:rFonts w:ascii="Times New Roman" w:hAnsi="Times New Roman" w:cs="Times New Roman"/>
                <w:b/>
                <w:bCs/>
                <w:kern w:val="0"/>
              </w:rPr>
              <w:t>Concept</w:t>
            </w:r>
          </w:p>
        </w:tc>
        <w:tc>
          <w:tcPr>
            <w:tcW w:w="0" w:type="auto"/>
            <w:hideMark/>
          </w:tcPr>
          <w:p w:rsidR="00F044EB" w:rsidRPr="00F044EB" w:rsidRDefault="00F044EB" w:rsidP="00F044EB">
            <w:pPr>
              <w:spacing w:before="100" w:beforeAutospacing="1" w:after="100" w:afterAutospacing="1"/>
              <w:jc w:val="center"/>
              <w:rPr>
                <w:rFonts w:ascii="Times New Roman" w:hAnsi="Times New Roman" w:cs="Times New Roman"/>
                <w:b/>
                <w:bCs/>
                <w:kern w:val="0"/>
              </w:rPr>
            </w:pPr>
            <w:r w:rsidRPr="00F044EB">
              <w:rPr>
                <w:rFonts w:ascii="Times New Roman" w:hAnsi="Times New Roman" w:cs="Times New Roman"/>
                <w:b/>
                <w:bCs/>
                <w:kern w:val="0"/>
              </w:rPr>
              <w:t>Themes</w:t>
            </w:r>
          </w:p>
        </w:tc>
      </w:tr>
      <w:tr w:rsidR="00F044EB" w:rsidRPr="00F044EB" w:rsidTr="004B0550">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Cognitive and Behavioral Reactions</w:t>
            </w: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Cognitive reactions</w:t>
            </w: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Logical reasoning in acceptance, sense of responsibility, ambivalence to avoid others’ judgment, distrust in physical ability, recommendation for autonomous and rational decision-making, feeling misunderstood, sound sensitivity, lack of concentration, denial, belief in the evil eye, negative thinking, cognitive avoidance, first anxious thoughts, mental turmoil, rumination, exploring causes.</w:t>
            </w:r>
          </w:p>
        </w:tc>
      </w:tr>
      <w:tr w:rsidR="00F044EB" w:rsidRPr="00F044EB" w:rsidTr="004B0550">
        <w:tc>
          <w:tcPr>
            <w:tcW w:w="0" w:type="auto"/>
            <w:hideMark/>
          </w:tcPr>
          <w:p w:rsidR="00F044EB" w:rsidRPr="00F044EB" w:rsidRDefault="00F044EB" w:rsidP="00F044EB">
            <w:pPr>
              <w:rPr>
                <w:rFonts w:ascii="Times New Roman" w:hAnsi="Times New Roman" w:cs="Times New Roman"/>
                <w:kern w:val="0"/>
              </w:rPr>
            </w:pP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Behavioral reactions</w:t>
            </w: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 xml:space="preserve">Reduced daily activity and performance, social withdrawal to avoid questions, avoidance in facing crisis, avoiding related stimuli, </w:t>
            </w:r>
            <w:proofErr w:type="gramStart"/>
            <w:r w:rsidRPr="00F044EB">
              <w:rPr>
                <w:rFonts w:ascii="Times New Roman" w:hAnsi="Times New Roman" w:cs="Times New Roman"/>
                <w:kern w:val="0"/>
              </w:rPr>
              <w:t>isolation</w:t>
            </w:r>
            <w:proofErr w:type="gramEnd"/>
            <w:r w:rsidRPr="00F044EB">
              <w:rPr>
                <w:rFonts w:ascii="Times New Roman" w:hAnsi="Times New Roman" w:cs="Times New Roman"/>
                <w:kern w:val="0"/>
              </w:rPr>
              <w:t>-seeking behaviors.</w:t>
            </w:r>
          </w:p>
        </w:tc>
      </w:tr>
      <w:tr w:rsidR="00F044EB" w:rsidRPr="00F044EB" w:rsidTr="004B0550">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Motherhood Identity and Role</w:t>
            </w: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Perception of pregnancy</w:t>
            </w: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Whether pregnancy was planned or unplanned.</w:t>
            </w:r>
          </w:p>
        </w:tc>
      </w:tr>
      <w:tr w:rsidR="00F044EB" w:rsidRPr="00F044EB" w:rsidTr="004B0550">
        <w:tc>
          <w:tcPr>
            <w:tcW w:w="0" w:type="auto"/>
            <w:hideMark/>
          </w:tcPr>
          <w:p w:rsidR="00F044EB" w:rsidRPr="00F044EB" w:rsidRDefault="00F044EB" w:rsidP="00F044EB">
            <w:pPr>
              <w:rPr>
                <w:rFonts w:ascii="Times New Roman" w:hAnsi="Times New Roman" w:cs="Times New Roman"/>
                <w:kern w:val="0"/>
              </w:rPr>
            </w:pP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Maternal role confusion</w:t>
            </w: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Emotional conflict toward the fetus, maternal inferiority, collapse of maternal identity.</w:t>
            </w:r>
          </w:p>
        </w:tc>
      </w:tr>
      <w:tr w:rsidR="00F044EB" w:rsidRPr="00F044EB" w:rsidTr="004B0550">
        <w:tc>
          <w:tcPr>
            <w:tcW w:w="0" w:type="auto"/>
            <w:hideMark/>
          </w:tcPr>
          <w:p w:rsidR="00F044EB" w:rsidRPr="00F044EB" w:rsidRDefault="00F044EB" w:rsidP="00F044EB">
            <w:pPr>
              <w:rPr>
                <w:rFonts w:ascii="Times New Roman" w:hAnsi="Times New Roman" w:cs="Times New Roman"/>
                <w:kern w:val="0"/>
              </w:rPr>
            </w:pP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Mother–fetus connection</w:t>
            </w: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Hearing the heartbeat and increasing attachment, emotional transmission between mother and fetus.</w:t>
            </w:r>
          </w:p>
        </w:tc>
      </w:tr>
      <w:tr w:rsidR="00F044EB" w:rsidRPr="00F044EB" w:rsidTr="004B0550">
        <w:tc>
          <w:tcPr>
            <w:tcW w:w="0" w:type="auto"/>
            <w:hideMark/>
          </w:tcPr>
          <w:p w:rsidR="00F044EB" w:rsidRPr="00F044EB" w:rsidRDefault="00F044EB" w:rsidP="00F044EB">
            <w:pPr>
              <w:rPr>
                <w:rFonts w:ascii="Times New Roman" w:hAnsi="Times New Roman" w:cs="Times New Roman"/>
                <w:kern w:val="0"/>
              </w:rPr>
            </w:pP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Maternal identity</w:t>
            </w: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Sense of maternal identity, existential doubt and identity crisis, concern for older children, opposition to abortion from maternal perspective, recurring dreams about the baby, bonding with the fetus, deep love for the child, confirmation of maternal identity even under stress.</w:t>
            </w:r>
          </w:p>
        </w:tc>
      </w:tr>
      <w:tr w:rsidR="00F044EB" w:rsidRPr="00F044EB" w:rsidTr="004B0550">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Beliefs, Spirituality, and Hope</w:t>
            </w: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Pre-crisis experiences</w:t>
            </w: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Clarity through past experiences, good start to pregnancy, effort for conception, initial joy, early stress, difficult pregnancy, delayed conception, occupational influence, joy over fetus’s sex, detailed pre-crisis planning.</w:t>
            </w:r>
          </w:p>
        </w:tc>
      </w:tr>
      <w:tr w:rsidR="00F044EB" w:rsidRPr="00F044EB" w:rsidTr="004B0550">
        <w:tc>
          <w:tcPr>
            <w:tcW w:w="0" w:type="auto"/>
            <w:hideMark/>
          </w:tcPr>
          <w:p w:rsidR="00F044EB" w:rsidRPr="00F044EB" w:rsidRDefault="00F044EB" w:rsidP="00F044EB">
            <w:pPr>
              <w:rPr>
                <w:rFonts w:ascii="Times New Roman" w:hAnsi="Times New Roman" w:cs="Times New Roman"/>
                <w:kern w:val="0"/>
              </w:rPr>
            </w:pP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Role of hope</w:t>
            </w: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Desire for positive belief despite negative conditions, hope for returning to normalcy, interpreting medical news as a ray of hope.</w:t>
            </w:r>
          </w:p>
        </w:tc>
      </w:tr>
      <w:tr w:rsidR="00F044EB" w:rsidRPr="00F044EB" w:rsidTr="004B0550">
        <w:tc>
          <w:tcPr>
            <w:tcW w:w="0" w:type="auto"/>
            <w:hideMark/>
          </w:tcPr>
          <w:p w:rsidR="00F044EB" w:rsidRPr="00F044EB" w:rsidRDefault="00F044EB" w:rsidP="00F044EB">
            <w:pPr>
              <w:rPr>
                <w:rFonts w:ascii="Times New Roman" w:hAnsi="Times New Roman" w:cs="Times New Roman"/>
                <w:kern w:val="0"/>
              </w:rPr>
            </w:pP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Religious and spiritual beliefs</w:t>
            </w: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Complaints toward fate and God, reliance on science over religion, maintaining hope through faith, use of religious tools for calmness, role of faith in abortion decisions, family discussions on divine justice, doubts in prayer efficacy, encouraging other women to stay hopeful, waiting for miracles, spiritual connection with the fetus, viewing the situation as divine punishment or test.</w:t>
            </w:r>
          </w:p>
        </w:tc>
      </w:tr>
      <w:tr w:rsidR="00F044EB" w:rsidRPr="00F044EB" w:rsidTr="004B0550">
        <w:tc>
          <w:tcPr>
            <w:tcW w:w="0" w:type="auto"/>
            <w:hideMark/>
          </w:tcPr>
          <w:p w:rsidR="00F044EB" w:rsidRPr="00F044EB" w:rsidRDefault="00F044EB" w:rsidP="00F044EB">
            <w:pPr>
              <w:rPr>
                <w:rFonts w:ascii="Times New Roman" w:hAnsi="Times New Roman" w:cs="Times New Roman"/>
                <w:kern w:val="0"/>
              </w:rPr>
            </w:pP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Meaning-making and attitude transformation</w:t>
            </w: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 xml:space="preserve">Finding meaning through shared experiences, gradual change of attitude toward pregnancy termination, comparison with previous hardships, hope after reading spiritual texts, redefinition of motherhood, search for </w:t>
            </w:r>
            <w:r w:rsidRPr="00F044EB">
              <w:rPr>
                <w:rFonts w:ascii="Times New Roman" w:hAnsi="Times New Roman" w:cs="Times New Roman"/>
                <w:kern w:val="0"/>
              </w:rPr>
              <w:lastRenderedPageBreak/>
              <w:t>meaning, emotional transformation, advice for calmness and acceptance, planning for future.</w:t>
            </w:r>
          </w:p>
        </w:tc>
      </w:tr>
      <w:tr w:rsidR="00F044EB" w:rsidRPr="00F044EB" w:rsidTr="004B0550">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lastRenderedPageBreak/>
              <w:t>Social Support and Interactions</w:t>
            </w: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Social context</w:t>
            </w: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Effect of social support on anxiety reduction, stressful cultural discourse, cultural and social impact on psychological experience, social pressure for quick recovery, fear of social judgment.</w:t>
            </w:r>
          </w:p>
        </w:tc>
      </w:tr>
      <w:tr w:rsidR="00F044EB" w:rsidRPr="00F044EB" w:rsidTr="004B0550">
        <w:tc>
          <w:tcPr>
            <w:tcW w:w="0" w:type="auto"/>
            <w:hideMark/>
          </w:tcPr>
          <w:p w:rsidR="00F044EB" w:rsidRPr="00F044EB" w:rsidRDefault="00F044EB" w:rsidP="00F044EB">
            <w:pPr>
              <w:rPr>
                <w:rFonts w:ascii="Times New Roman" w:hAnsi="Times New Roman" w:cs="Times New Roman"/>
                <w:kern w:val="0"/>
              </w:rPr>
            </w:pP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Gap between received and perceived support</w:t>
            </w: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Receiving bad news from medical staff, feeling lonely despite support.</w:t>
            </w:r>
          </w:p>
        </w:tc>
      </w:tr>
      <w:tr w:rsidR="00F044EB" w:rsidRPr="00F044EB" w:rsidTr="004B0550">
        <w:tc>
          <w:tcPr>
            <w:tcW w:w="0" w:type="auto"/>
            <w:hideMark/>
          </w:tcPr>
          <w:p w:rsidR="00F044EB" w:rsidRPr="00F044EB" w:rsidRDefault="00F044EB" w:rsidP="00F044EB">
            <w:pPr>
              <w:rPr>
                <w:rFonts w:ascii="Times New Roman" w:hAnsi="Times New Roman" w:cs="Times New Roman"/>
                <w:kern w:val="0"/>
              </w:rPr>
            </w:pP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Expectations from healthcare team and others</w:t>
            </w: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Inability to understand medical jargon, reassurance through professional support, fear and doubt about medical interventions, feeling unsupported or distrustful toward staff, expectations of empathy and counseling, need for referral to psychologist.</w:t>
            </w:r>
          </w:p>
        </w:tc>
      </w:tr>
      <w:tr w:rsidR="00F044EB" w:rsidRPr="00F044EB" w:rsidTr="004B0550">
        <w:tc>
          <w:tcPr>
            <w:tcW w:w="0" w:type="auto"/>
            <w:hideMark/>
          </w:tcPr>
          <w:p w:rsidR="00F044EB" w:rsidRPr="00F044EB" w:rsidRDefault="00F044EB" w:rsidP="00F044EB">
            <w:pPr>
              <w:rPr>
                <w:rFonts w:ascii="Times New Roman" w:hAnsi="Times New Roman" w:cs="Times New Roman"/>
                <w:kern w:val="0"/>
              </w:rPr>
            </w:pP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Empathy and shared experience</w:t>
            </w: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Sympathy with other women who experienced similar situations.</w:t>
            </w:r>
          </w:p>
        </w:tc>
      </w:tr>
      <w:tr w:rsidR="00F044EB" w:rsidRPr="00F044EB" w:rsidTr="004B0550">
        <w:tc>
          <w:tcPr>
            <w:tcW w:w="0" w:type="auto"/>
            <w:hideMark/>
          </w:tcPr>
          <w:p w:rsidR="00F044EB" w:rsidRPr="00F044EB" w:rsidRDefault="00F044EB" w:rsidP="00F044EB">
            <w:pPr>
              <w:rPr>
                <w:rFonts w:ascii="Times New Roman" w:hAnsi="Times New Roman" w:cs="Times New Roman"/>
                <w:kern w:val="0"/>
              </w:rPr>
            </w:pP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Family and spouse</w:t>
            </w: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Husband’s role in spiritual support, family’s indifference, need or lack of support, marital relationship and conflicts, spouse’s guilt, family empathy, husband’s silence, advice to communicate with spouse for peace, spiritual and emotional spousal support.</w:t>
            </w:r>
          </w:p>
        </w:tc>
      </w:tr>
      <w:tr w:rsidR="00F044EB" w:rsidRPr="00F044EB" w:rsidTr="004B0550">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Grief, Loss, and Sadness</w:t>
            </w: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Sadness and despair</w:t>
            </w: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Lack of motivation, crying, heavy grief, deep sorrow.</w:t>
            </w:r>
          </w:p>
        </w:tc>
      </w:tr>
      <w:tr w:rsidR="00F044EB" w:rsidRPr="00F044EB" w:rsidTr="004B0550">
        <w:tc>
          <w:tcPr>
            <w:tcW w:w="0" w:type="auto"/>
            <w:hideMark/>
          </w:tcPr>
          <w:p w:rsidR="00F044EB" w:rsidRPr="00F044EB" w:rsidRDefault="00F044EB" w:rsidP="00F044EB">
            <w:pPr>
              <w:rPr>
                <w:rFonts w:ascii="Times New Roman" w:hAnsi="Times New Roman" w:cs="Times New Roman"/>
                <w:kern w:val="0"/>
              </w:rPr>
            </w:pP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Prenatal grief</w:t>
            </w: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Early mourning for the fetus, despair over failed amniocentesis.</w:t>
            </w:r>
          </w:p>
        </w:tc>
      </w:tr>
      <w:tr w:rsidR="00F044EB" w:rsidRPr="00F044EB" w:rsidTr="004B0550">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Anxiety, Fear, and Psychological Pressure</w:t>
            </w: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Fear of pregnancy and miscarriage</w:t>
            </w: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Fear of future pregnancy, worry about child’s future, fear of infertility, fear of recurrence, fear of miscarriage.</w:t>
            </w:r>
          </w:p>
        </w:tc>
      </w:tr>
      <w:tr w:rsidR="00F044EB" w:rsidRPr="00F044EB" w:rsidTr="004B0550">
        <w:tc>
          <w:tcPr>
            <w:tcW w:w="0" w:type="auto"/>
            <w:hideMark/>
          </w:tcPr>
          <w:p w:rsidR="00F044EB" w:rsidRPr="00F044EB" w:rsidRDefault="00F044EB" w:rsidP="00F044EB">
            <w:pPr>
              <w:rPr>
                <w:rFonts w:ascii="Times New Roman" w:hAnsi="Times New Roman" w:cs="Times New Roman"/>
                <w:kern w:val="0"/>
              </w:rPr>
            </w:pP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Decision-making and moral conflicts</w:t>
            </w: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Ethical dilemmas in abortion or continuation, indecisiveness, mental conflict, recommendation for patience, moral anxiety over abortion consequences, cultural and religious pressure, decision-making stress, fear of guilt.</w:t>
            </w:r>
          </w:p>
        </w:tc>
      </w:tr>
      <w:tr w:rsidR="00F044EB" w:rsidRPr="00F044EB" w:rsidTr="004B0550">
        <w:tc>
          <w:tcPr>
            <w:tcW w:w="0" w:type="auto"/>
            <w:hideMark/>
          </w:tcPr>
          <w:p w:rsidR="00F044EB" w:rsidRPr="00F044EB" w:rsidRDefault="00F044EB" w:rsidP="00F044EB">
            <w:pPr>
              <w:rPr>
                <w:rFonts w:ascii="Times New Roman" w:hAnsi="Times New Roman" w:cs="Times New Roman"/>
                <w:kern w:val="0"/>
              </w:rPr>
            </w:pP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Self-blame and guilt</w:t>
            </w: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Self-blame for delaying pregnancy, feeling unlucky, guilt due to unplanned pregnancy or genetic issues, denial of guilt.</w:t>
            </w:r>
          </w:p>
        </w:tc>
      </w:tr>
      <w:tr w:rsidR="00F044EB" w:rsidRPr="00F044EB" w:rsidTr="004B0550">
        <w:tc>
          <w:tcPr>
            <w:tcW w:w="0" w:type="auto"/>
            <w:hideMark/>
          </w:tcPr>
          <w:p w:rsidR="00F044EB" w:rsidRPr="00F044EB" w:rsidRDefault="00F044EB" w:rsidP="00F044EB">
            <w:pPr>
              <w:rPr>
                <w:rFonts w:ascii="Times New Roman" w:hAnsi="Times New Roman" w:cs="Times New Roman"/>
                <w:kern w:val="0"/>
              </w:rPr>
            </w:pP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Emotional and psychological reactions</w:t>
            </w: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Shock, disbelief, confusion, sadness, helplessness, fear, anxiety, hopelessness, loss of control, emotional numbness, depression, deep distress, ambivalence of emotions, feeling like a victim, physical and financial strain, intrusive memories, sense of emptiness.</w:t>
            </w:r>
          </w:p>
        </w:tc>
      </w:tr>
      <w:tr w:rsidR="00F044EB" w:rsidRPr="00F044EB" w:rsidTr="004B0550">
        <w:tc>
          <w:tcPr>
            <w:tcW w:w="0" w:type="auto"/>
            <w:hideMark/>
          </w:tcPr>
          <w:p w:rsidR="00F044EB" w:rsidRPr="00F044EB" w:rsidRDefault="00F044EB" w:rsidP="00F044EB">
            <w:pPr>
              <w:rPr>
                <w:rFonts w:ascii="Times New Roman" w:hAnsi="Times New Roman" w:cs="Times New Roman"/>
                <w:kern w:val="0"/>
              </w:rPr>
            </w:pP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Physical reactions</w:t>
            </w: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Physiological responses to medical diagnosis (e.g., tremors, palpitations).</w:t>
            </w:r>
          </w:p>
        </w:tc>
      </w:tr>
      <w:tr w:rsidR="00F044EB" w:rsidRPr="00F044EB" w:rsidTr="004B0550">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 xml:space="preserve">Coping Styles </w:t>
            </w:r>
            <w:r w:rsidRPr="00F044EB">
              <w:rPr>
                <w:rFonts w:ascii="Times New Roman" w:hAnsi="Times New Roman" w:cs="Times New Roman"/>
                <w:kern w:val="0"/>
              </w:rPr>
              <w:lastRenderedPageBreak/>
              <w:t>and Emotional Regulation</w:t>
            </w: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lastRenderedPageBreak/>
              <w:t xml:space="preserve">Facing reality and </w:t>
            </w:r>
            <w:r w:rsidRPr="00F044EB">
              <w:rPr>
                <w:rFonts w:ascii="Times New Roman" w:hAnsi="Times New Roman" w:cs="Times New Roman"/>
                <w:kern w:val="0"/>
              </w:rPr>
              <w:lastRenderedPageBreak/>
              <w:t>emotional control</w:t>
            </w: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lastRenderedPageBreak/>
              <w:t xml:space="preserve">Overcoming denial after ultrasound, belief in emotional </w:t>
            </w:r>
            <w:r w:rsidRPr="00F044EB">
              <w:rPr>
                <w:rFonts w:ascii="Times New Roman" w:hAnsi="Times New Roman" w:cs="Times New Roman"/>
                <w:kern w:val="0"/>
              </w:rPr>
              <w:lastRenderedPageBreak/>
              <w:t>effects on fetus health, accepting solitude or social support for calmness, self-soothing, release from guilt through reflection, need for counseling, hope through dreams, self-care, reconciliation with body, seeking silence to reduce anxiety.</w:t>
            </w:r>
          </w:p>
        </w:tc>
      </w:tr>
      <w:tr w:rsidR="00F044EB" w:rsidRPr="00F044EB" w:rsidTr="004B0550">
        <w:tc>
          <w:tcPr>
            <w:tcW w:w="0" w:type="auto"/>
            <w:hideMark/>
          </w:tcPr>
          <w:p w:rsidR="00F044EB" w:rsidRPr="00F044EB" w:rsidRDefault="00F044EB" w:rsidP="00F044EB">
            <w:pPr>
              <w:rPr>
                <w:rFonts w:ascii="Times New Roman" w:hAnsi="Times New Roman" w:cs="Times New Roman"/>
                <w:kern w:val="0"/>
              </w:rPr>
            </w:pP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Effective coping styles</w:t>
            </w: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Need for emotional release, timely medical follow-up, information-seeking, peer encouragement, personal growth through crisis, emotional control, humor or distraction, gradual emotional stabilization.</w:t>
            </w:r>
          </w:p>
        </w:tc>
      </w:tr>
      <w:tr w:rsidR="00F044EB" w:rsidRPr="00F044EB" w:rsidTr="004B0550">
        <w:tc>
          <w:tcPr>
            <w:tcW w:w="0" w:type="auto"/>
            <w:hideMark/>
          </w:tcPr>
          <w:p w:rsidR="00F044EB" w:rsidRPr="00F044EB" w:rsidRDefault="00F044EB" w:rsidP="00F044EB">
            <w:pPr>
              <w:rPr>
                <w:rFonts w:ascii="Times New Roman" w:hAnsi="Times New Roman" w:cs="Times New Roman"/>
                <w:kern w:val="0"/>
              </w:rPr>
            </w:pP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Ineffective coping styles</w:t>
            </w:r>
          </w:p>
        </w:tc>
        <w:tc>
          <w:tcPr>
            <w:tcW w:w="0" w:type="auto"/>
            <w:hideMark/>
          </w:tcPr>
          <w:p w:rsidR="00F044EB" w:rsidRPr="00F044EB" w:rsidRDefault="00F044EB" w:rsidP="00F044EB">
            <w:pPr>
              <w:spacing w:before="100" w:beforeAutospacing="1" w:after="100" w:afterAutospacing="1"/>
              <w:rPr>
                <w:rFonts w:ascii="Times New Roman" w:hAnsi="Times New Roman" w:cs="Times New Roman"/>
                <w:kern w:val="0"/>
              </w:rPr>
            </w:pPr>
            <w:r w:rsidRPr="00F044EB">
              <w:rPr>
                <w:rFonts w:ascii="Times New Roman" w:hAnsi="Times New Roman" w:cs="Times New Roman"/>
                <w:kern w:val="0"/>
              </w:rPr>
              <w:t>Inability to regulate emotions, persistence of distress, avoidance or denial as coping strategies.</w:t>
            </w:r>
          </w:p>
        </w:tc>
      </w:tr>
    </w:tbl>
    <w:p w:rsidR="00647645" w:rsidRPr="004B0550" w:rsidRDefault="00647645" w:rsidP="004B0550">
      <w:pPr>
        <w:spacing w:after="0" w:line="240" w:lineRule="auto"/>
        <w:rPr>
          <w:rFonts w:ascii="Times New Roman" w:hAnsi="Times New Roman" w:cs="Times New Roman" w:hint="cs"/>
          <w:kern w:val="0"/>
          <w:rtl/>
          <w:lang w:bidi="fa-IR"/>
        </w:rPr>
      </w:pPr>
    </w:p>
    <w:sectPr w:rsidR="00647645" w:rsidRPr="004B0550" w:rsidSect="00B44C3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13156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compat>
    <w:useFELayout/>
  </w:compat>
  <w:rsids>
    <w:rsidRoot w:val="00647645"/>
    <w:rsid w:val="00013BFF"/>
    <w:rsid w:val="00070510"/>
    <w:rsid w:val="000E00E7"/>
    <w:rsid w:val="002B5A4D"/>
    <w:rsid w:val="002C1762"/>
    <w:rsid w:val="00305132"/>
    <w:rsid w:val="004B0550"/>
    <w:rsid w:val="00542CEA"/>
    <w:rsid w:val="005475FD"/>
    <w:rsid w:val="005B7FD7"/>
    <w:rsid w:val="00623BB2"/>
    <w:rsid w:val="00647645"/>
    <w:rsid w:val="006D359F"/>
    <w:rsid w:val="0071102D"/>
    <w:rsid w:val="0084722A"/>
    <w:rsid w:val="00894737"/>
    <w:rsid w:val="008D6691"/>
    <w:rsid w:val="00A33D8B"/>
    <w:rsid w:val="00A66EC0"/>
    <w:rsid w:val="00B14805"/>
    <w:rsid w:val="00B44C39"/>
    <w:rsid w:val="00B72F39"/>
    <w:rsid w:val="00B879FF"/>
    <w:rsid w:val="00BD373D"/>
    <w:rsid w:val="00C26AD1"/>
    <w:rsid w:val="00DF791A"/>
    <w:rsid w:val="00F044E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C39"/>
  </w:style>
  <w:style w:type="paragraph" w:styleId="Heading1">
    <w:name w:val="heading 1"/>
    <w:basedOn w:val="Normal"/>
    <w:next w:val="Normal"/>
    <w:link w:val="Heading1Char"/>
    <w:uiPriority w:val="9"/>
    <w:qFormat/>
    <w:rsid w:val="006476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476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476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76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76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76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6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6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6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6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76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76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76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76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76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6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6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645"/>
    <w:rPr>
      <w:rFonts w:eastAsiaTheme="majorEastAsia" w:cstheme="majorBidi"/>
      <w:color w:val="272727" w:themeColor="text1" w:themeTint="D8"/>
    </w:rPr>
  </w:style>
  <w:style w:type="paragraph" w:styleId="Title">
    <w:name w:val="Title"/>
    <w:basedOn w:val="Normal"/>
    <w:next w:val="Normal"/>
    <w:link w:val="TitleChar"/>
    <w:uiPriority w:val="10"/>
    <w:qFormat/>
    <w:rsid w:val="00647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6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6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6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645"/>
    <w:pPr>
      <w:spacing w:before="160"/>
      <w:jc w:val="center"/>
    </w:pPr>
    <w:rPr>
      <w:i/>
      <w:iCs/>
      <w:color w:val="404040" w:themeColor="text1" w:themeTint="BF"/>
    </w:rPr>
  </w:style>
  <w:style w:type="character" w:customStyle="1" w:styleId="QuoteChar">
    <w:name w:val="Quote Char"/>
    <w:basedOn w:val="DefaultParagraphFont"/>
    <w:link w:val="Quote"/>
    <w:uiPriority w:val="29"/>
    <w:rsid w:val="00647645"/>
    <w:rPr>
      <w:i/>
      <w:iCs/>
      <w:color w:val="404040" w:themeColor="text1" w:themeTint="BF"/>
    </w:rPr>
  </w:style>
  <w:style w:type="paragraph" w:styleId="ListParagraph">
    <w:name w:val="List Paragraph"/>
    <w:basedOn w:val="Normal"/>
    <w:uiPriority w:val="34"/>
    <w:qFormat/>
    <w:rsid w:val="00647645"/>
    <w:pPr>
      <w:ind w:left="720"/>
      <w:contextualSpacing/>
    </w:pPr>
  </w:style>
  <w:style w:type="character" w:styleId="IntenseEmphasis">
    <w:name w:val="Intense Emphasis"/>
    <w:basedOn w:val="DefaultParagraphFont"/>
    <w:uiPriority w:val="21"/>
    <w:qFormat/>
    <w:rsid w:val="00647645"/>
    <w:rPr>
      <w:i/>
      <w:iCs/>
      <w:color w:val="2F5496" w:themeColor="accent1" w:themeShade="BF"/>
    </w:rPr>
  </w:style>
  <w:style w:type="paragraph" w:styleId="IntenseQuote">
    <w:name w:val="Intense Quote"/>
    <w:basedOn w:val="Normal"/>
    <w:next w:val="Normal"/>
    <w:link w:val="IntenseQuoteChar"/>
    <w:uiPriority w:val="30"/>
    <w:qFormat/>
    <w:rsid w:val="006476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7645"/>
    <w:rPr>
      <w:i/>
      <w:iCs/>
      <w:color w:val="2F5496" w:themeColor="accent1" w:themeShade="BF"/>
    </w:rPr>
  </w:style>
  <w:style w:type="character" w:styleId="IntenseReference">
    <w:name w:val="Intense Reference"/>
    <w:basedOn w:val="DefaultParagraphFont"/>
    <w:uiPriority w:val="32"/>
    <w:qFormat/>
    <w:rsid w:val="00647645"/>
    <w:rPr>
      <w:b/>
      <w:bCs/>
      <w:smallCaps/>
      <w:color w:val="2F5496" w:themeColor="accent1" w:themeShade="BF"/>
      <w:spacing w:val="5"/>
    </w:rPr>
  </w:style>
  <w:style w:type="paragraph" w:customStyle="1" w:styleId="p1">
    <w:name w:val="p1"/>
    <w:basedOn w:val="Normal"/>
    <w:rsid w:val="00647645"/>
    <w:pPr>
      <w:spacing w:before="100" w:beforeAutospacing="1" w:after="100" w:afterAutospacing="1" w:line="240" w:lineRule="auto"/>
    </w:pPr>
    <w:rPr>
      <w:rFonts w:ascii="Times New Roman" w:hAnsi="Times New Roman" w:cs="Times New Roman"/>
      <w:kern w:val="0"/>
    </w:rPr>
  </w:style>
  <w:style w:type="character" w:customStyle="1" w:styleId="s1">
    <w:name w:val="s1"/>
    <w:basedOn w:val="DefaultParagraphFont"/>
    <w:rsid w:val="00647645"/>
  </w:style>
  <w:style w:type="paragraph" w:customStyle="1" w:styleId="p2">
    <w:name w:val="p2"/>
    <w:basedOn w:val="Normal"/>
    <w:rsid w:val="00647645"/>
    <w:pPr>
      <w:spacing w:before="100" w:beforeAutospacing="1" w:after="100" w:afterAutospacing="1" w:line="240" w:lineRule="auto"/>
    </w:pPr>
    <w:rPr>
      <w:rFonts w:ascii="Times New Roman" w:hAnsi="Times New Roman" w:cs="Times New Roman"/>
      <w:kern w:val="0"/>
    </w:rPr>
  </w:style>
  <w:style w:type="character" w:customStyle="1" w:styleId="s2">
    <w:name w:val="s2"/>
    <w:basedOn w:val="DefaultParagraphFont"/>
    <w:rsid w:val="00647645"/>
  </w:style>
  <w:style w:type="paragraph" w:customStyle="1" w:styleId="p3">
    <w:name w:val="p3"/>
    <w:basedOn w:val="Normal"/>
    <w:rsid w:val="00647645"/>
    <w:pPr>
      <w:spacing w:before="100" w:beforeAutospacing="1" w:after="100" w:afterAutospacing="1" w:line="240" w:lineRule="auto"/>
    </w:pPr>
    <w:rPr>
      <w:rFonts w:ascii="Times New Roman" w:hAnsi="Times New Roman" w:cs="Times New Roman"/>
      <w:kern w:val="0"/>
    </w:rPr>
  </w:style>
  <w:style w:type="character" w:customStyle="1" w:styleId="s3">
    <w:name w:val="s3"/>
    <w:basedOn w:val="DefaultParagraphFont"/>
    <w:rsid w:val="00647645"/>
  </w:style>
  <w:style w:type="character" w:customStyle="1" w:styleId="s4">
    <w:name w:val="s4"/>
    <w:basedOn w:val="DefaultParagraphFont"/>
    <w:rsid w:val="0071102D"/>
  </w:style>
  <w:style w:type="paragraph" w:customStyle="1" w:styleId="p4">
    <w:name w:val="p4"/>
    <w:basedOn w:val="Normal"/>
    <w:rsid w:val="0071102D"/>
    <w:pPr>
      <w:spacing w:before="100" w:beforeAutospacing="1" w:after="100" w:afterAutospacing="1" w:line="240" w:lineRule="auto"/>
    </w:pPr>
    <w:rPr>
      <w:rFonts w:ascii="Times New Roman" w:hAnsi="Times New Roman" w:cs="Times New Roman"/>
      <w:kern w:val="0"/>
    </w:rPr>
  </w:style>
  <w:style w:type="character" w:customStyle="1" w:styleId="apple-tab-span">
    <w:name w:val="apple-tab-span"/>
    <w:basedOn w:val="DefaultParagraphFont"/>
    <w:rsid w:val="0071102D"/>
  </w:style>
  <w:style w:type="paragraph" w:customStyle="1" w:styleId="p5">
    <w:name w:val="p5"/>
    <w:basedOn w:val="Normal"/>
    <w:rsid w:val="0071102D"/>
    <w:pPr>
      <w:spacing w:before="100" w:beforeAutospacing="1" w:after="100" w:afterAutospacing="1" w:line="240" w:lineRule="auto"/>
    </w:pPr>
    <w:rPr>
      <w:rFonts w:ascii="Times New Roman" w:hAnsi="Times New Roman" w:cs="Times New Roman"/>
      <w:kern w:val="0"/>
    </w:rPr>
  </w:style>
  <w:style w:type="paragraph" w:styleId="HTMLPreformatted">
    <w:name w:val="HTML Preformatted"/>
    <w:basedOn w:val="Normal"/>
    <w:link w:val="HTMLPreformattedChar"/>
    <w:uiPriority w:val="99"/>
    <w:semiHidden/>
    <w:unhideWhenUsed/>
    <w:rsid w:val="00847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sz w:val="20"/>
      <w:szCs w:val="20"/>
    </w:rPr>
  </w:style>
  <w:style w:type="character" w:customStyle="1" w:styleId="HTMLPreformattedChar">
    <w:name w:val="HTML Preformatted Char"/>
    <w:basedOn w:val="DefaultParagraphFont"/>
    <w:link w:val="HTMLPreformatted"/>
    <w:uiPriority w:val="99"/>
    <w:semiHidden/>
    <w:rsid w:val="0084722A"/>
    <w:rPr>
      <w:rFonts w:ascii="Courier New" w:hAnsi="Courier New" w:cs="Courier New"/>
      <w:kern w:val="0"/>
      <w:sz w:val="20"/>
      <w:szCs w:val="20"/>
    </w:rPr>
  </w:style>
  <w:style w:type="character" w:styleId="HTMLCode">
    <w:name w:val="HTML Code"/>
    <w:basedOn w:val="DefaultParagraphFont"/>
    <w:uiPriority w:val="99"/>
    <w:semiHidden/>
    <w:unhideWhenUsed/>
    <w:rsid w:val="0084722A"/>
    <w:rPr>
      <w:rFonts w:ascii="Courier New" w:eastAsiaTheme="minorEastAsia" w:hAnsi="Courier New" w:cs="Courier New"/>
      <w:sz w:val="20"/>
      <w:szCs w:val="20"/>
    </w:rPr>
  </w:style>
  <w:style w:type="character" w:customStyle="1" w:styleId="apple-converted-space">
    <w:name w:val="apple-converted-space"/>
    <w:basedOn w:val="DefaultParagraphFont"/>
    <w:rsid w:val="00542CEA"/>
  </w:style>
  <w:style w:type="table" w:styleId="TableGrid">
    <w:name w:val="Table Grid"/>
    <w:basedOn w:val="TableNormal"/>
    <w:uiPriority w:val="39"/>
    <w:rsid w:val="004B05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6292050">
      <w:bodyDiv w:val="1"/>
      <w:marLeft w:val="0"/>
      <w:marRight w:val="0"/>
      <w:marTop w:val="0"/>
      <w:marBottom w:val="0"/>
      <w:divBdr>
        <w:top w:val="none" w:sz="0" w:space="0" w:color="auto"/>
        <w:left w:val="none" w:sz="0" w:space="0" w:color="auto"/>
        <w:bottom w:val="none" w:sz="0" w:space="0" w:color="auto"/>
        <w:right w:val="none" w:sz="0" w:space="0" w:color="auto"/>
      </w:divBdr>
    </w:div>
    <w:div w:id="477961418">
      <w:bodyDiv w:val="1"/>
      <w:marLeft w:val="0"/>
      <w:marRight w:val="0"/>
      <w:marTop w:val="0"/>
      <w:marBottom w:val="0"/>
      <w:divBdr>
        <w:top w:val="none" w:sz="0" w:space="0" w:color="auto"/>
        <w:left w:val="none" w:sz="0" w:space="0" w:color="auto"/>
        <w:bottom w:val="none" w:sz="0" w:space="0" w:color="auto"/>
        <w:right w:val="none" w:sz="0" w:space="0" w:color="auto"/>
      </w:divBdr>
    </w:div>
    <w:div w:id="514266344">
      <w:bodyDiv w:val="1"/>
      <w:marLeft w:val="0"/>
      <w:marRight w:val="0"/>
      <w:marTop w:val="0"/>
      <w:marBottom w:val="0"/>
      <w:divBdr>
        <w:top w:val="none" w:sz="0" w:space="0" w:color="auto"/>
        <w:left w:val="none" w:sz="0" w:space="0" w:color="auto"/>
        <w:bottom w:val="none" w:sz="0" w:space="0" w:color="auto"/>
        <w:right w:val="none" w:sz="0" w:space="0" w:color="auto"/>
      </w:divBdr>
    </w:div>
    <w:div w:id="737558189">
      <w:bodyDiv w:val="1"/>
      <w:marLeft w:val="0"/>
      <w:marRight w:val="0"/>
      <w:marTop w:val="0"/>
      <w:marBottom w:val="0"/>
      <w:divBdr>
        <w:top w:val="none" w:sz="0" w:space="0" w:color="auto"/>
        <w:left w:val="none" w:sz="0" w:space="0" w:color="auto"/>
        <w:bottom w:val="none" w:sz="0" w:space="0" w:color="auto"/>
        <w:right w:val="none" w:sz="0" w:space="0" w:color="auto"/>
      </w:divBdr>
    </w:div>
    <w:div w:id="1038971582">
      <w:bodyDiv w:val="1"/>
      <w:marLeft w:val="0"/>
      <w:marRight w:val="0"/>
      <w:marTop w:val="0"/>
      <w:marBottom w:val="0"/>
      <w:divBdr>
        <w:top w:val="none" w:sz="0" w:space="0" w:color="auto"/>
        <w:left w:val="none" w:sz="0" w:space="0" w:color="auto"/>
        <w:bottom w:val="none" w:sz="0" w:space="0" w:color="auto"/>
        <w:right w:val="none" w:sz="0" w:space="0" w:color="auto"/>
      </w:divBdr>
    </w:div>
    <w:div w:id="1304653252">
      <w:bodyDiv w:val="1"/>
      <w:marLeft w:val="0"/>
      <w:marRight w:val="0"/>
      <w:marTop w:val="0"/>
      <w:marBottom w:val="0"/>
      <w:divBdr>
        <w:top w:val="none" w:sz="0" w:space="0" w:color="auto"/>
        <w:left w:val="none" w:sz="0" w:space="0" w:color="auto"/>
        <w:bottom w:val="none" w:sz="0" w:space="0" w:color="auto"/>
        <w:right w:val="none" w:sz="0" w:space="0" w:color="auto"/>
      </w:divBdr>
    </w:div>
    <w:div w:id="2107845975">
      <w:bodyDiv w:val="1"/>
      <w:marLeft w:val="0"/>
      <w:marRight w:val="0"/>
      <w:marTop w:val="0"/>
      <w:marBottom w:val="0"/>
      <w:divBdr>
        <w:top w:val="none" w:sz="0" w:space="0" w:color="auto"/>
        <w:left w:val="none" w:sz="0" w:space="0" w:color="auto"/>
        <w:bottom w:val="none" w:sz="0" w:space="0" w:color="auto"/>
        <w:right w:val="none" w:sz="0" w:space="0" w:color="auto"/>
      </w:divBdr>
    </w:div>
    <w:div w:id="212049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824</Words>
  <Characters>4702</Characters>
  <Application>Microsoft Office Word</Application>
  <DocSecurity>0</DocSecurity>
  <Lines>39</Lines>
  <Paragraphs>11</Paragraphs>
  <ScaleCrop>false</ScaleCrop>
  <Company/>
  <LinksUpToDate>false</LinksUpToDate>
  <CharactersWithSpaces>5515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zhalehjamali@icloud.com</dc:creator>
  <cp:lastModifiedBy>kian rayaneh</cp:lastModifiedBy>
  <cp:revision>2</cp:revision>
  <dcterms:created xsi:type="dcterms:W3CDTF">2025-11-13T04:32:00Z</dcterms:created>
  <dcterms:modified xsi:type="dcterms:W3CDTF">2025-11-13T04:32:00Z</dcterms:modified>
</cp:coreProperties>
</file>