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15DB5" w14:textId="009255B6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Supplemental Table 1: </w:t>
      </w:r>
      <w:r w:rsidRPr="00D20A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List of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256</w:t>
      </w:r>
      <w:r w:rsidRPr="00D20A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variables included in the mobility predictor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D20AFD" w:rsidRPr="00D20AFD" w14:paraId="3603A355" w14:textId="77777777" w:rsidTr="00D20AFD">
        <w:trPr>
          <w:trHeight w:val="300"/>
        </w:trPr>
        <w:tc>
          <w:tcPr>
            <w:tcW w:w="9350" w:type="dxa"/>
            <w:noWrap/>
          </w:tcPr>
          <w:p w14:paraId="135EC6F7" w14:textId="405AE1AB" w:rsidR="00D20AFD" w:rsidRPr="00D20AFD" w:rsidRDefault="00D20AF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Predictors</w:t>
            </w:r>
          </w:p>
        </w:tc>
      </w:tr>
      <w:tr w:rsidR="00D20AFD" w:rsidRPr="00D20AFD" w14:paraId="47870D09" w14:textId="77777777" w:rsidTr="00D20AFD">
        <w:trPr>
          <w:trHeight w:val="300"/>
        </w:trPr>
        <w:tc>
          <w:tcPr>
            <w:tcW w:w="9350" w:type="dxa"/>
            <w:noWrap/>
          </w:tcPr>
          <w:p w14:paraId="114963D1" w14:textId="401F968D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Age in years</w:t>
            </w:r>
          </w:p>
        </w:tc>
      </w:tr>
      <w:tr w:rsidR="00D20AFD" w:rsidRPr="00D20AFD" w14:paraId="76540D3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49DD72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Beer consumed on weekdays (number of drinks)</w:t>
            </w:r>
          </w:p>
        </w:tc>
      </w:tr>
      <w:tr w:rsidR="00D20AFD" w:rsidRPr="00D20AFD" w14:paraId="443179D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18C089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Beer consumed on weekends (number of drinks)</w:t>
            </w:r>
          </w:p>
        </w:tc>
      </w:tr>
      <w:tr w:rsidR="00D20AFD" w:rsidRPr="00D20AFD" w14:paraId="6231E07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91B2A4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Binge drinking female</w:t>
            </w:r>
          </w:p>
        </w:tc>
      </w:tr>
      <w:tr w:rsidR="00D20AFD" w:rsidRPr="00D20AFD" w14:paraId="79B5C92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E7C82E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alcohol consumption past 12 months</w:t>
            </w:r>
          </w:p>
        </w:tc>
      </w:tr>
      <w:tr w:rsidR="00D20AFD" w:rsidRPr="00D20AFD" w14:paraId="1B7C6BB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DF3C29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Alcohol consumption compared to heaviest drinking period</w:t>
            </w:r>
          </w:p>
        </w:tc>
      </w:tr>
      <w:tr w:rsidR="00D20AFD" w:rsidRPr="00D20AFD" w14:paraId="4799F68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F3D8EB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Liquors consumed on weekdays (number of drinks)</w:t>
            </w:r>
          </w:p>
        </w:tc>
      </w:tr>
      <w:tr w:rsidR="00D20AFD" w:rsidRPr="00D20AFD" w14:paraId="2289D37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892606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Liquors consumed on weekends (number of drinks)</w:t>
            </w:r>
          </w:p>
        </w:tc>
      </w:tr>
      <w:tr w:rsidR="00D20AFD" w:rsidRPr="00D20AFD" w14:paraId="7A28532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C8374E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Binge drinking male</w:t>
            </w:r>
          </w:p>
        </w:tc>
      </w:tr>
      <w:tr w:rsidR="00D20AFD" w:rsidRPr="00D20AFD" w14:paraId="51EC423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80AD07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Another kind of alcohol consumed on weekdays (number of drinks)</w:t>
            </w:r>
          </w:p>
        </w:tc>
      </w:tr>
      <w:tr w:rsidR="00D20AFD" w:rsidRPr="00D20AFD" w14:paraId="12E09B4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FB521D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Another kind of alcohol consumed on weekends (number of drinks)</w:t>
            </w:r>
          </w:p>
        </w:tc>
      </w:tr>
      <w:tr w:rsidR="00D20AFD" w:rsidRPr="00D20AFD" w14:paraId="4483B01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DB2195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Red wine consumed on weekdays (number of drinks)</w:t>
            </w:r>
          </w:p>
        </w:tc>
      </w:tr>
      <w:tr w:rsidR="00D20AFD" w:rsidRPr="00D20AFD" w14:paraId="354B9A6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B07621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Red wine consumed on weekends (number of drinks)</w:t>
            </w:r>
          </w:p>
        </w:tc>
      </w:tr>
      <w:tr w:rsidR="00D20AFD" w:rsidRPr="00D20AFD" w14:paraId="2E64FF2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06F06C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White wine consumed on weekdays (number of drinks)</w:t>
            </w:r>
          </w:p>
        </w:tc>
      </w:tr>
      <w:tr w:rsidR="00D20AFD" w:rsidRPr="00D20AFD" w14:paraId="195FA5F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39E423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White wine consumed on weekends (number of drinks)</w:t>
            </w:r>
          </w:p>
        </w:tc>
      </w:tr>
      <w:tr w:rsidR="00D20AFD" w:rsidRPr="00D20AFD" w14:paraId="7517569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56E574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Albumin</w:t>
            </w:r>
          </w:p>
        </w:tc>
      </w:tr>
      <w:tr w:rsidR="00D20AFD" w:rsidRPr="00D20AFD" w14:paraId="1A7C91B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B62059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Estimated Glomerular Filtration Rate</w:t>
            </w:r>
          </w:p>
        </w:tc>
      </w:tr>
      <w:tr w:rsidR="00D20AFD" w:rsidRPr="00D20AFD" w14:paraId="7036C10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7EF3E5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Ferritin</w:t>
            </w:r>
          </w:p>
        </w:tc>
      </w:tr>
      <w:tr w:rsidR="00D20AFD" w:rsidRPr="00D20AFD" w14:paraId="65EBA75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F972EC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Granulocytes (absolute number)</w:t>
            </w:r>
          </w:p>
        </w:tc>
      </w:tr>
      <w:tr w:rsidR="00D20AFD" w:rsidRPr="00D20AFD" w14:paraId="486AC0E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C7ED2D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Hemoglobin A1c</w:t>
            </w:r>
          </w:p>
        </w:tc>
      </w:tr>
      <w:tr w:rsidR="00D20AFD" w:rsidRPr="00D20AFD" w14:paraId="0979981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277D02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High-Density Lipoprotein</w:t>
            </w:r>
          </w:p>
        </w:tc>
      </w:tr>
      <w:tr w:rsidR="00D20AFD" w:rsidRPr="00D20AFD" w14:paraId="074C1ED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8CCE3C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Hemoglobin</w:t>
            </w:r>
          </w:p>
        </w:tc>
      </w:tr>
      <w:tr w:rsidR="00D20AFD" w:rsidRPr="00D20AFD" w14:paraId="5708A34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E470E9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High Sensitivity C-Reactive Protein</w:t>
            </w:r>
          </w:p>
        </w:tc>
      </w:tr>
      <w:tr w:rsidR="00D20AFD" w:rsidRPr="00D20AFD" w14:paraId="6D788BE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16DD45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Low-Density Lipoprotein, calculated</w:t>
            </w:r>
          </w:p>
        </w:tc>
      </w:tr>
      <w:tr w:rsidR="00D20AFD" w:rsidRPr="00D20AFD" w14:paraId="3CA4690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49C563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Lymphocytes (absolute number)</w:t>
            </w:r>
          </w:p>
        </w:tc>
      </w:tr>
      <w:tr w:rsidR="00D20AFD" w:rsidRPr="00D20AFD" w14:paraId="2E4FDCC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A5D09D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Mean corpuscular hemoglobin</w:t>
            </w:r>
          </w:p>
        </w:tc>
      </w:tr>
      <w:tr w:rsidR="00D20AFD" w:rsidRPr="00D20AFD" w14:paraId="351D3B9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8D52C9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Mean corpuscular volume</w:t>
            </w:r>
          </w:p>
        </w:tc>
      </w:tr>
      <w:tr w:rsidR="00D20AFD" w:rsidRPr="00D20AFD" w14:paraId="2074314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D84887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Monocytes (absolute number)</w:t>
            </w:r>
          </w:p>
        </w:tc>
      </w:tr>
      <w:tr w:rsidR="00D20AFD" w:rsidRPr="00D20AFD" w14:paraId="5AB5B9B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493F1F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Platelets</w:t>
            </w:r>
          </w:p>
        </w:tc>
      </w:tr>
      <w:tr w:rsidR="00D20AFD" w:rsidRPr="00D20AFD" w14:paraId="7F89D58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8A365E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Red blood cells</w:t>
            </w:r>
          </w:p>
        </w:tc>
      </w:tr>
      <w:tr w:rsidR="00D20AFD" w:rsidRPr="00D20AFD" w14:paraId="44A09F1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5D201E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Red blood cell distribution width</w:t>
            </w:r>
          </w:p>
        </w:tc>
      </w:tr>
      <w:tr w:rsidR="00D20AFD" w:rsidRPr="00D20AFD" w14:paraId="4CC8A3F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1030AF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Triglycerides</w:t>
            </w:r>
          </w:p>
        </w:tc>
      </w:tr>
      <w:tr w:rsidR="00D20AFD" w:rsidRPr="00D20AFD" w14:paraId="070A875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847D6D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Thyroid-Stimulating Hormone</w:t>
            </w:r>
          </w:p>
        </w:tc>
      </w:tr>
      <w:tr w:rsidR="00D20AFD" w:rsidRPr="00D20AFD" w14:paraId="7BF1103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9F80BF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25-hydroxyvitamin D</w:t>
            </w:r>
          </w:p>
        </w:tc>
      </w:tr>
      <w:tr w:rsidR="00D20AFD" w:rsidRPr="00D20AFD" w14:paraId="5B4CE89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A084BB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White blood cells</w:t>
            </w:r>
          </w:p>
        </w:tc>
      </w:tr>
      <w:tr w:rsidR="00D20AFD" w:rsidRPr="00D20AFD" w14:paraId="2BE470F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082FB0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Average Diastolic Blood Pressure (All measurements)</w:t>
            </w:r>
          </w:p>
        </w:tc>
      </w:tr>
      <w:tr w:rsidR="00D20AFD" w:rsidRPr="00D20AFD" w14:paraId="34222CB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5CF7E0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Average Pulse (All measurements)</w:t>
            </w:r>
          </w:p>
        </w:tc>
      </w:tr>
      <w:tr w:rsidR="00D20AFD" w:rsidRPr="00D20AFD" w14:paraId="60C24A0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E19D9B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lastRenderedPageBreak/>
              <w:t>Average Systolic Blood Pressure (All measurements)</w:t>
            </w:r>
          </w:p>
        </w:tc>
      </w:tr>
      <w:tr w:rsidR="00D20AFD" w:rsidRPr="00D20AFD" w14:paraId="75F13C2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89DB9E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Relationship of the Main Care Recipient</w:t>
            </w:r>
          </w:p>
        </w:tc>
      </w:tr>
      <w:tr w:rsidR="00D20AFD" w:rsidRPr="00D20AFD" w14:paraId="1C76B99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29D028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Cancer domain</w:t>
            </w:r>
          </w:p>
        </w:tc>
      </w:tr>
      <w:tr w:rsidR="00D20AFD" w:rsidRPr="00D20AFD" w14:paraId="545A5D5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1BB2A8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Cardiovascular domain</w:t>
            </w:r>
          </w:p>
        </w:tc>
      </w:tr>
      <w:tr w:rsidR="00D20AFD" w:rsidRPr="00D20AFD" w14:paraId="4D61366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9BCDC6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Endocrine domain</w:t>
            </w:r>
          </w:p>
        </w:tc>
      </w:tr>
      <w:tr w:rsidR="00D20AFD" w:rsidRPr="00D20AFD" w14:paraId="03E9B07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5713AC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Genitourinary domain</w:t>
            </w:r>
          </w:p>
        </w:tc>
      </w:tr>
      <w:tr w:rsidR="00D20AFD" w:rsidRPr="00D20AFD" w14:paraId="56D4A1F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7230DC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Gastrointestinal domain</w:t>
            </w:r>
          </w:p>
        </w:tc>
      </w:tr>
      <w:tr w:rsidR="00D20AFD" w:rsidRPr="00D20AFD" w14:paraId="36F7EDC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656B20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Musculoskeletal domain</w:t>
            </w:r>
          </w:p>
        </w:tc>
      </w:tr>
      <w:tr w:rsidR="00D20AFD" w:rsidRPr="00D20AFD" w14:paraId="63D6AD1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06A29E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Neurological domain</w:t>
            </w:r>
          </w:p>
        </w:tc>
      </w:tr>
      <w:tr w:rsidR="00D20AFD" w:rsidRPr="00D20AFD" w14:paraId="413805F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DBAC58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Opthalmalogic domain</w:t>
            </w:r>
          </w:p>
        </w:tc>
      </w:tr>
      <w:tr w:rsidR="00D20AFD" w:rsidRPr="00D20AFD" w14:paraId="4C6DF2A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D4A74C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Renal domain</w:t>
            </w:r>
          </w:p>
        </w:tc>
      </w:tr>
      <w:tr w:rsidR="00D20AFD" w:rsidRPr="00D20AFD" w14:paraId="46CE5CC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102785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Respiratory domain</w:t>
            </w:r>
          </w:p>
        </w:tc>
      </w:tr>
      <w:tr w:rsidR="00D20AFD" w:rsidRPr="00D20AFD" w14:paraId="589311B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5C9C4E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Comorbidity: Total count</w:t>
            </w:r>
          </w:p>
        </w:tc>
      </w:tr>
      <w:tr w:rsidR="00D20AFD" w:rsidRPr="00D20AFD" w14:paraId="31D312D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D1B0D1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Animal fluency test: score 1</w:t>
            </w:r>
          </w:p>
        </w:tc>
      </w:tr>
      <w:tr w:rsidR="00D20AFD" w:rsidRPr="00D20AFD" w14:paraId="2BC937A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9876F6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Animal fluency test: score 2</w:t>
            </w:r>
          </w:p>
        </w:tc>
      </w:tr>
      <w:tr w:rsidR="00D20AFD" w:rsidRPr="00D20AFD" w14:paraId="6B55738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167EF5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Mental alternation test score</w:t>
            </w:r>
          </w:p>
        </w:tc>
      </w:tr>
      <w:tr w:rsidR="00D20AFD" w:rsidRPr="00D20AFD" w14:paraId="1141961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83E189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Rey I: Auditory Verbal Learning Test</w:t>
            </w:r>
          </w:p>
        </w:tc>
      </w:tr>
      <w:tr w:rsidR="00D20AFD" w:rsidRPr="00D20AFD" w14:paraId="442D452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C27F6A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Rey II: Auditory Verbal Learning Test</w:t>
            </w:r>
          </w:p>
        </w:tc>
      </w:tr>
      <w:tr w:rsidR="00D20AFD" w:rsidRPr="00D20AFD" w14:paraId="1BE706D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7C2814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Relationship of Main Caregiver</w:t>
            </w:r>
          </w:p>
        </w:tc>
      </w:tr>
      <w:tr w:rsidR="00D20AFD" w:rsidRPr="00D20AFD" w14:paraId="7B8BD8C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8FD615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Flag for Receiving Formal or Informal Home Care (Last 12 Months)</w:t>
            </w:r>
          </w:p>
        </w:tc>
      </w:tr>
      <w:tr w:rsidR="00D20AFD" w:rsidRPr="00D20AFD" w14:paraId="6AE8C10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F0982B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Mean Reaction Time (in ms)</w:t>
            </w:r>
          </w:p>
        </w:tc>
      </w:tr>
      <w:tr w:rsidR="00D20AFD" w:rsidRPr="00D20AFD" w14:paraId="71F138F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E432BB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Died since bl visit</w:t>
            </w:r>
          </w:p>
        </w:tc>
      </w:tr>
      <w:tr w:rsidR="00D20AFD" w:rsidRPr="00D20AFD" w14:paraId="126CA22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E223C3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Center for Epidemiological Studies Short Depression Scale (CES-D 10) score</w:t>
            </w:r>
          </w:p>
        </w:tc>
      </w:tr>
      <w:tr w:rsidR="00D20AFD" w:rsidRPr="00D20AFD" w14:paraId="6C411E8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C96B23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CES-D 10: count of missing items</w:t>
            </w:r>
          </w:p>
        </w:tc>
      </w:tr>
      <w:tr w:rsidR="00D20AFD" w:rsidRPr="00D20AFD" w14:paraId="5FC5B3D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93D4D2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Body Composition Index</w:t>
            </w:r>
          </w:p>
        </w:tc>
      </w:tr>
      <w:tr w:rsidR="00D20AFD" w:rsidRPr="00D20AFD" w14:paraId="6C3B1A8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E916E2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Pure lean mass (without bone) in limbs</w:t>
            </w:r>
          </w:p>
        </w:tc>
      </w:tr>
      <w:tr w:rsidR="00D20AFD" w:rsidRPr="00D20AFD" w14:paraId="77E5FF0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2761A9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Pure lean mass (without bone) in head</w:t>
            </w:r>
          </w:p>
        </w:tc>
      </w:tr>
      <w:tr w:rsidR="00D20AFD" w:rsidRPr="00D20AFD" w14:paraId="2939C19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D75548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Pure lean mass (without bone) in left leg</w:t>
            </w:r>
          </w:p>
        </w:tc>
      </w:tr>
      <w:tr w:rsidR="00D20AFD" w:rsidRPr="00D20AFD" w14:paraId="47F76F5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7C4E7A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Pure lean mass (without bone) in left arm</w:t>
            </w:r>
          </w:p>
        </w:tc>
      </w:tr>
      <w:tr w:rsidR="00D20AFD" w:rsidRPr="00D20AFD" w14:paraId="524F8A6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A776AF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Pure lean mass (without bone) in right leg</w:t>
            </w:r>
          </w:p>
        </w:tc>
      </w:tr>
      <w:tr w:rsidR="00D20AFD" w:rsidRPr="00D20AFD" w14:paraId="1CFAD9D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07E6BD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Pure lean mass (without bone) in right arm</w:t>
            </w:r>
          </w:p>
        </w:tc>
      </w:tr>
      <w:tr w:rsidR="00D20AFD" w:rsidRPr="00D20AFD" w14:paraId="00829A2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E83C75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Total pure lean mass (without bone) excluding head region</w:t>
            </w:r>
          </w:p>
        </w:tc>
      </w:tr>
      <w:tr w:rsidR="00D20AFD" w:rsidRPr="00D20AFD" w14:paraId="7CD798C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D60FD0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Pure lean mass (without bone) in trunk</w:t>
            </w:r>
          </w:p>
        </w:tc>
      </w:tr>
      <w:tr w:rsidR="00D20AFD" w:rsidRPr="00D20AFD" w14:paraId="4EB56CC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60C3E0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Length of Left Hip Axis in cm</w:t>
            </w:r>
          </w:p>
        </w:tc>
      </w:tr>
      <w:tr w:rsidR="00D20AFD" w:rsidRPr="00D20AFD" w14:paraId="2DDE558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11B42C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Average Cortical Thickness (cm) - left hip</w:t>
            </w:r>
          </w:p>
        </w:tc>
      </w:tr>
      <w:tr w:rsidR="00D20AFD" w:rsidRPr="00D20AFD" w14:paraId="03C7699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584694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Buckling Ratio (dimensionless) - left hip</w:t>
            </w:r>
          </w:p>
        </w:tc>
      </w:tr>
      <w:tr w:rsidR="00D20AFD" w:rsidRPr="00D20AFD" w14:paraId="6232114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42B74F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Center of Mass Position (dimensionless) - left hip</w:t>
            </w:r>
          </w:p>
        </w:tc>
      </w:tr>
      <w:tr w:rsidR="00D20AFD" w:rsidRPr="00D20AFD" w14:paraId="29DF0B2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5CD8E7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Cross Sectional Area (cm2) - left hip</w:t>
            </w:r>
          </w:p>
        </w:tc>
      </w:tr>
      <w:tr w:rsidR="00D20AFD" w:rsidRPr="00D20AFD" w14:paraId="73F0548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CBB992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Cross Sectional Moment of Inertia (cm4) - left hip</w:t>
            </w:r>
          </w:p>
        </w:tc>
      </w:tr>
      <w:tr w:rsidR="00D20AFD" w:rsidRPr="00D20AFD" w14:paraId="7BFBA03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5E7783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Endocortical Diameter (cm) - left hip</w:t>
            </w:r>
          </w:p>
        </w:tc>
      </w:tr>
      <w:tr w:rsidR="00D20AFD" w:rsidRPr="00D20AFD" w14:paraId="2DB799A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F3EF7D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Profile Center Distance (cm) - left hip</w:t>
            </w:r>
          </w:p>
        </w:tc>
      </w:tr>
      <w:tr w:rsidR="00D20AFD" w:rsidRPr="00D20AFD" w14:paraId="29AD0E0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78E505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lastRenderedPageBreak/>
              <w:t>Femur Shaft Section Modulus (cm3) - left hip</w:t>
            </w:r>
          </w:p>
        </w:tc>
      </w:tr>
      <w:tr w:rsidR="00D20AFD" w:rsidRPr="00D20AFD" w14:paraId="0613725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F00A05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Femur Shaft Subperiosteal Width (cm) - left hip</w:t>
            </w:r>
          </w:p>
        </w:tc>
      </w:tr>
      <w:tr w:rsidR="00D20AFD" w:rsidRPr="00D20AFD" w14:paraId="4B62F4E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31518B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Average Cortical Thickness (cm) - left hip</w:t>
            </w:r>
          </w:p>
        </w:tc>
      </w:tr>
      <w:tr w:rsidR="00D20AFD" w:rsidRPr="00D20AFD" w14:paraId="5AE90B6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E5A57D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Buckling Ratio (dimensionless) - left hip</w:t>
            </w:r>
          </w:p>
        </w:tc>
      </w:tr>
      <w:tr w:rsidR="00D20AFD" w:rsidRPr="00D20AFD" w14:paraId="7198990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9684E8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Center of Mass Position (dimensionless) - left hip</w:t>
            </w:r>
          </w:p>
        </w:tc>
      </w:tr>
      <w:tr w:rsidR="00D20AFD" w:rsidRPr="00D20AFD" w14:paraId="6363BAA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632BC0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Cross Sectional Area (cm2) - left hip</w:t>
            </w:r>
          </w:p>
        </w:tc>
      </w:tr>
      <w:tr w:rsidR="00D20AFD" w:rsidRPr="00D20AFD" w14:paraId="7E47788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3FC39F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Cross Sectional Moment of Inertia (cm4) - left hip</w:t>
            </w:r>
          </w:p>
        </w:tc>
      </w:tr>
      <w:tr w:rsidR="00D20AFD" w:rsidRPr="00D20AFD" w14:paraId="62A67F3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6E8237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Endocortical Diameter (cm) - left hip</w:t>
            </w:r>
          </w:p>
        </w:tc>
      </w:tr>
      <w:tr w:rsidR="00D20AFD" w:rsidRPr="00D20AFD" w14:paraId="1F7AF0C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86AACF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Profile Center Distance (cm) - left hip</w:t>
            </w:r>
          </w:p>
        </w:tc>
      </w:tr>
      <w:tr w:rsidR="00D20AFD" w:rsidRPr="00D20AFD" w14:paraId="560261D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A73C2B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Section Modulus (cm3) - left hip</w:t>
            </w:r>
          </w:p>
        </w:tc>
      </w:tr>
      <w:tr w:rsidR="00D20AFD" w:rsidRPr="00D20AFD" w14:paraId="7862E38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47144A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Intertrochanter Subperiosteal Width (cm) - left hip</w:t>
            </w:r>
          </w:p>
        </w:tc>
      </w:tr>
      <w:tr w:rsidR="00D20AFD" w:rsidRPr="00D20AFD" w14:paraId="41F91F3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4BF825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T-score for Neck Bone analysis - left hip</w:t>
            </w:r>
          </w:p>
        </w:tc>
      </w:tr>
      <w:tr w:rsidR="00D20AFD" w:rsidRPr="00D20AFD" w14:paraId="539DBD4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D2EB33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Average Cortical Thickness (cm) - left hip</w:t>
            </w:r>
          </w:p>
        </w:tc>
      </w:tr>
      <w:tr w:rsidR="00D20AFD" w:rsidRPr="00D20AFD" w14:paraId="784B3C1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572985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Bone Mineral Density (g/cm2) -Left hip</w:t>
            </w:r>
          </w:p>
        </w:tc>
      </w:tr>
      <w:tr w:rsidR="00D20AFD" w:rsidRPr="00D20AFD" w14:paraId="400A9BD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94DFDB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Buckling Ratio (dimensionless) - left hip</w:t>
            </w:r>
          </w:p>
        </w:tc>
      </w:tr>
      <w:tr w:rsidR="00D20AFD" w:rsidRPr="00D20AFD" w14:paraId="0B6F154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20A2D0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Center of Mass Position (dimensionless) - left hip</w:t>
            </w:r>
          </w:p>
        </w:tc>
      </w:tr>
      <w:tr w:rsidR="00D20AFD" w:rsidRPr="00D20AFD" w14:paraId="3B9A586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F91133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Cross Sectional Area (cm2) - left hip</w:t>
            </w:r>
          </w:p>
        </w:tc>
      </w:tr>
      <w:tr w:rsidR="00D20AFD" w:rsidRPr="00D20AFD" w14:paraId="1070FA9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B3E4F3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Cross Sectional Moment of Inertia (cm4) - left hip</w:t>
            </w:r>
          </w:p>
        </w:tc>
      </w:tr>
      <w:tr w:rsidR="00D20AFD" w:rsidRPr="00D20AFD" w14:paraId="1838579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94A735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Endocortical Diameter (cm) - left hip</w:t>
            </w:r>
          </w:p>
        </w:tc>
      </w:tr>
      <w:tr w:rsidR="00D20AFD" w:rsidRPr="00D20AFD" w14:paraId="551373B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4859E3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Profile Center Distance (cm) - left hip</w:t>
            </w:r>
          </w:p>
        </w:tc>
      </w:tr>
      <w:tr w:rsidR="00D20AFD" w:rsidRPr="00D20AFD" w14:paraId="5892898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64AA46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Section Modulus (cm3) - left hip</w:t>
            </w:r>
          </w:p>
        </w:tc>
      </w:tr>
      <w:tr w:rsidR="00D20AFD" w:rsidRPr="00D20AFD" w14:paraId="414BF25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8B2755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Narrow Neck Subperiosteal Width (cm) - left hip</w:t>
            </w:r>
          </w:p>
        </w:tc>
      </w:tr>
      <w:tr w:rsidR="00D20AFD" w:rsidRPr="00D20AFD" w14:paraId="1F1D9CE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99C600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DXA total fat mass</w:t>
            </w:r>
          </w:p>
        </w:tc>
      </w:tr>
      <w:tr w:rsidR="00D20AFD" w:rsidRPr="00D20AFD" w14:paraId="347AE6C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E191D0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Total BMD</w:t>
            </w:r>
          </w:p>
        </w:tc>
      </w:tr>
      <w:tr w:rsidR="00D20AFD" w:rsidRPr="00D20AFD" w14:paraId="68AC4C2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9F4A00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 Duration</w:t>
            </w:r>
          </w:p>
        </w:tc>
      </w:tr>
      <w:tr w:rsidR="00D20AFD" w:rsidRPr="00D20AFD" w14:paraId="3CCD020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4F1D6D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 Offset</w:t>
            </w:r>
          </w:p>
        </w:tc>
      </w:tr>
      <w:tr w:rsidR="00D20AFD" w:rsidRPr="00D20AFD" w14:paraId="13862F3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FD3984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 Onset</w:t>
            </w:r>
          </w:p>
        </w:tc>
      </w:tr>
      <w:tr w:rsidR="00D20AFD" w:rsidRPr="00D20AFD" w14:paraId="2F30179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DCF27A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PP Interval</w:t>
            </w:r>
          </w:p>
        </w:tc>
      </w:tr>
      <w:tr w:rsidR="00D20AFD" w:rsidRPr="00D20AFD" w14:paraId="17872DD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306D0D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PQ Interval</w:t>
            </w:r>
          </w:p>
        </w:tc>
      </w:tr>
      <w:tr w:rsidR="00D20AFD" w:rsidRPr="00D20AFD" w14:paraId="7D2D9FB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7F6412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Q Offset</w:t>
            </w:r>
          </w:p>
        </w:tc>
      </w:tr>
      <w:tr w:rsidR="00D20AFD" w:rsidRPr="00D20AFD" w14:paraId="3EA9914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A565FE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Q Onset</w:t>
            </w:r>
          </w:p>
        </w:tc>
      </w:tr>
      <w:tr w:rsidR="00D20AFD" w:rsidRPr="00D20AFD" w14:paraId="64E3432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A366C3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QRS Duration</w:t>
            </w:r>
          </w:p>
        </w:tc>
      </w:tr>
      <w:tr w:rsidR="00D20AFD" w:rsidRPr="00D20AFD" w14:paraId="219D8D8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D9393E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QRS Number</w:t>
            </w:r>
          </w:p>
        </w:tc>
      </w:tr>
      <w:tr w:rsidR="00D20AFD" w:rsidRPr="00D20AFD" w14:paraId="52D62B9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44B966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QT Interval</w:t>
            </w:r>
          </w:p>
        </w:tc>
      </w:tr>
      <w:tr w:rsidR="00D20AFD" w:rsidRPr="00D20AFD" w14:paraId="7253954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D52F37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QTC Interval</w:t>
            </w:r>
          </w:p>
        </w:tc>
      </w:tr>
      <w:tr w:rsidR="00D20AFD" w:rsidRPr="00D20AFD" w14:paraId="288E04B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B932F6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RR Interval</w:t>
            </w:r>
          </w:p>
        </w:tc>
      </w:tr>
      <w:tr w:rsidR="00D20AFD" w:rsidRPr="00D20AFD" w14:paraId="45B2966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B58B8B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 Offset</w:t>
            </w:r>
          </w:p>
        </w:tc>
      </w:tr>
      <w:tr w:rsidR="00D20AFD" w:rsidRPr="00D20AFD" w14:paraId="1F186F7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F40AC2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Ventricular Rate</w:t>
            </w:r>
          </w:p>
        </w:tc>
      </w:tr>
      <w:tr w:rsidR="00D20AFD" w:rsidRPr="00D20AFD" w14:paraId="4799467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778FD4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Highest Level of Education - Respondent, 4 Levels</w:t>
            </w:r>
          </w:p>
        </w:tc>
      </w:tr>
      <w:tr w:rsidR="00D20AFD" w:rsidRPr="00D20AFD" w14:paraId="3EEA48F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E31FE0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Highest Level of Education - Respondent, 11 Levels</w:t>
            </w:r>
          </w:p>
        </w:tc>
      </w:tr>
      <w:tr w:rsidR="00D20AFD" w:rsidRPr="00D20AFD" w14:paraId="06935DA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CFE65C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Fall Status - 12 months</w:t>
            </w:r>
          </w:p>
        </w:tc>
      </w:tr>
      <w:tr w:rsidR="00D20AFD" w:rsidRPr="00D20AFD" w14:paraId="7595ABC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E7CD21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lastRenderedPageBreak/>
              <w:t>FAS test: __ score</w:t>
            </w:r>
          </w:p>
        </w:tc>
      </w:tr>
      <w:tr w:rsidR="00D20AFD" w:rsidRPr="00D20AFD" w14:paraId="5CC1E91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9ECCEB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10 year probability (x 100) of hip fracture, without knowing BMD</w:t>
            </w:r>
          </w:p>
        </w:tc>
      </w:tr>
      <w:tr w:rsidR="00D20AFD" w:rsidRPr="00D20AFD" w14:paraId="52646B8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618D9B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10 year probability (x 100) of osteoporotic fracture, without knowing BMD</w:t>
            </w:r>
          </w:p>
        </w:tc>
      </w:tr>
      <w:tr w:rsidR="00D20AFD" w:rsidRPr="00D20AFD" w14:paraId="174A26C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17E59D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Baseline gate speed (m/s)</w:t>
            </w:r>
          </w:p>
        </w:tc>
      </w:tr>
      <w:tr w:rsidR="00D20AFD" w:rsidRPr="00D20AFD" w14:paraId="182AD2D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2BDD89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Play games cards etc</w:t>
            </w:r>
          </w:p>
        </w:tc>
      </w:tr>
      <w:tr w:rsidR="00D20AFD" w:rsidRPr="00D20AFD" w14:paraId="7EA2B91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DE7BF4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Perceived Health</w:t>
            </w:r>
          </w:p>
        </w:tc>
      </w:tr>
      <w:tr w:rsidR="00D20AFD" w:rsidRPr="00D20AFD" w14:paraId="0144844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3A3E2E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Perceived Mental Health</w:t>
            </w:r>
          </w:p>
        </w:tc>
      </w:tr>
      <w:tr w:rsidR="00D20AFD" w:rsidRPr="00D20AFD" w14:paraId="7482C3E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C93286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Self-rated general health</w:t>
            </w:r>
          </w:p>
        </w:tc>
      </w:tr>
      <w:tr w:rsidR="00D20AFD" w:rsidRPr="00D20AFD" w14:paraId="61D4B9F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7A14B5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Self-rated mental health</w:t>
            </w:r>
          </w:p>
        </w:tc>
      </w:tr>
      <w:tr w:rsidR="00D20AFD" w:rsidRPr="00D20AFD" w14:paraId="3008214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8EE7B9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Play musical instrument or sing</w:t>
            </w:r>
          </w:p>
        </w:tc>
      </w:tr>
      <w:tr w:rsidR="00D20AFD" w:rsidRPr="00D20AFD" w14:paraId="6A055FE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2F271D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Self-rated healthy aging</w:t>
            </w:r>
          </w:p>
        </w:tc>
      </w:tr>
      <w:tr w:rsidR="00D20AFD" w:rsidRPr="00D20AFD" w14:paraId="78A6BDB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B3C055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Average grip strength for all trials</w:t>
            </w:r>
          </w:p>
        </w:tc>
      </w:tr>
      <w:tr w:rsidR="00D20AFD" w:rsidRPr="00D20AFD" w14:paraId="26E8894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FC8015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Average height in m</w:t>
            </w:r>
          </w:p>
        </w:tc>
      </w:tr>
      <w:tr w:rsidR="00D20AFD" w:rsidRPr="00D20AFD" w14:paraId="5C2B5E1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1E7296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Hearing rating</w:t>
            </w:r>
          </w:p>
        </w:tc>
      </w:tr>
      <w:tr w:rsidR="00D20AFD" w:rsidRPr="00D20AFD" w14:paraId="77D0846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6C612E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Body Mass Index</w:t>
            </w:r>
          </w:p>
        </w:tc>
      </w:tr>
      <w:tr w:rsidR="00D20AFD" w:rsidRPr="00D20AFD" w14:paraId="52E189A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5755F9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Highest source of household income</w:t>
            </w:r>
          </w:p>
        </w:tc>
      </w:tr>
      <w:tr w:rsidR="00D20AFD" w:rsidRPr="00D20AFD" w14:paraId="6F62D36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16AF5C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Highest source of personal income</w:t>
            </w:r>
          </w:p>
        </w:tc>
      </w:tr>
      <w:tr w:rsidR="00D20AFD" w:rsidRPr="00D20AFD" w14:paraId="6CF9904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D547AD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Second highest source of personal income</w:t>
            </w:r>
          </w:p>
        </w:tc>
      </w:tr>
      <w:tr w:rsidR="00D20AFD" w:rsidRPr="00D20AFD" w14:paraId="52D08F4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D21C00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Total personal income</w:t>
            </w:r>
          </w:p>
        </w:tc>
      </w:tr>
      <w:tr w:rsidR="00D20AFD" w:rsidRPr="00D20AFD" w14:paraId="46E4237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616771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Second highest source of household income</w:t>
            </w:r>
          </w:p>
        </w:tc>
      </w:tr>
      <w:tr w:rsidR="00D20AFD" w:rsidRPr="00D20AFD" w14:paraId="635A750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9328D1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Total household income</w:t>
            </w:r>
          </w:p>
        </w:tc>
      </w:tr>
      <w:tr w:rsidR="00D20AFD" w:rsidRPr="00D20AFD" w14:paraId="3D55B83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049768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times injured (past 12 months)</w:t>
            </w:r>
          </w:p>
        </w:tc>
      </w:tr>
      <w:tr w:rsidR="00D20AFD" w:rsidRPr="00D20AFD" w14:paraId="75F39E5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C8A052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been to places outside town</w:t>
            </w:r>
          </w:p>
        </w:tc>
      </w:tr>
      <w:tr w:rsidR="00D20AFD" w:rsidRPr="00D20AFD" w14:paraId="108F794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E0DC01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been to places in the neighbourhood</w:t>
            </w:r>
          </w:p>
        </w:tc>
      </w:tr>
      <w:tr w:rsidR="00D20AFD" w:rsidRPr="00D20AFD" w14:paraId="35EE4AF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B2CEF8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been to outside area of home</w:t>
            </w:r>
          </w:p>
        </w:tc>
      </w:tr>
      <w:tr w:rsidR="00D20AFD" w:rsidRPr="00D20AFD" w14:paraId="35112AA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1BDAFE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been to places outside neighbourhood but within town</w:t>
            </w:r>
          </w:p>
        </w:tc>
      </w:tr>
      <w:tr w:rsidR="00D20AFD" w:rsidRPr="00D20AFD" w14:paraId="3AFF0A3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E9DE8F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whole wheat breads, bran breads, multigrain breads, ryebreads</w:t>
            </w:r>
          </w:p>
        </w:tc>
      </w:tr>
      <w:tr w:rsidR="00D20AFD" w:rsidRPr="00D20AFD" w14:paraId="2E749C2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537F31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butter or regular margarine</w:t>
            </w:r>
          </w:p>
        </w:tc>
      </w:tr>
      <w:tr w:rsidR="00D20AFD" w:rsidRPr="00D20AFD" w14:paraId="3145479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A97813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other calcium-fortified beverages</w:t>
            </w:r>
          </w:p>
        </w:tc>
      </w:tr>
      <w:tr w:rsidR="00D20AFD" w:rsidRPr="00D20AFD" w14:paraId="2E54E0F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9D93F0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Calcium-fortified juices</w:t>
            </w:r>
          </w:p>
        </w:tc>
      </w:tr>
      <w:tr w:rsidR="00D20AFD" w:rsidRPr="00D20AFD" w14:paraId="67A24AE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94643C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calcium-fortified foods</w:t>
            </w:r>
          </w:p>
        </w:tc>
      </w:tr>
      <w:tr w:rsidR="00D20AFD" w:rsidRPr="00D20AFD" w14:paraId="5024FB6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81F9F0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calcium-fortified milk (35% more calcium)</w:t>
            </w:r>
          </w:p>
        </w:tc>
      </w:tr>
      <w:tr w:rsidR="00D20AFD" w:rsidRPr="00D20AFD" w14:paraId="4CF7D31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5CE78A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chicken, turkey</w:t>
            </w:r>
          </w:p>
        </w:tc>
      </w:tr>
      <w:tr w:rsidR="00D20AFD" w:rsidRPr="00D20AFD" w14:paraId="35A23AC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A6A288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chocolate bars</w:t>
            </w:r>
          </w:p>
        </w:tc>
      </w:tr>
      <w:tr w:rsidR="00D20AFD" w:rsidRPr="00D20AFD" w14:paraId="56B31BF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BB4EB4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all regular cheeses</w:t>
            </w:r>
          </w:p>
        </w:tc>
      </w:tr>
      <w:tr w:rsidR="00D20AFD" w:rsidRPr="00D20AFD" w14:paraId="3A70E7A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043F73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carrots</w:t>
            </w:r>
          </w:p>
        </w:tc>
      </w:tr>
      <w:tr w:rsidR="00D20AFD" w:rsidRPr="00D20AFD" w14:paraId="55467FC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874D61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milk-based desserts</w:t>
            </w:r>
          </w:p>
        </w:tc>
      </w:tr>
      <w:tr w:rsidR="00D20AFD" w:rsidRPr="00D20AFD" w14:paraId="7236769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CA006E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regular vinaigrettes, dressings, and dips</w:t>
            </w:r>
          </w:p>
        </w:tc>
      </w:tr>
      <w:tr w:rsidR="00D20AFD" w:rsidRPr="00D20AFD" w14:paraId="1BA4B98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E700CB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pasteries</w:t>
            </w:r>
          </w:p>
        </w:tc>
      </w:tr>
      <w:tr w:rsidR="00D20AFD" w:rsidRPr="00D20AFD" w14:paraId="5460C35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96F0D5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all egg dishes except omega 3 eggs</w:t>
            </w:r>
          </w:p>
        </w:tc>
      </w:tr>
      <w:tr w:rsidR="00D20AFD" w:rsidRPr="00D20AFD" w14:paraId="19109E0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F33961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lastRenderedPageBreak/>
              <w:t>Frequency of consumption (times per day) of high fibre breakfast cereals</w:t>
            </w:r>
          </w:p>
        </w:tc>
      </w:tr>
      <w:tr w:rsidR="00D20AFD" w:rsidRPr="00D20AFD" w14:paraId="5A84322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D8B77E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fish</w:t>
            </w:r>
          </w:p>
        </w:tc>
      </w:tr>
      <w:tr w:rsidR="00D20AFD" w:rsidRPr="00D20AFD" w14:paraId="168A4F5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C84324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french fries or pan-fried potatoes, poutine</w:t>
            </w:r>
          </w:p>
        </w:tc>
      </w:tr>
      <w:tr w:rsidR="00D20AFD" w:rsidRPr="00D20AFD" w14:paraId="701B7C5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311E21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fruit</w:t>
            </w:r>
          </w:p>
        </w:tc>
      </w:tr>
      <w:tr w:rsidR="00D20AFD" w:rsidRPr="00D20AFD" w14:paraId="508323E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97F378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green salad</w:t>
            </w:r>
          </w:p>
        </w:tc>
      </w:tr>
      <w:tr w:rsidR="00D20AFD" w:rsidRPr="00D20AFD" w14:paraId="4296B48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205C65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legumes: beans, peas, lentils</w:t>
            </w:r>
          </w:p>
        </w:tc>
      </w:tr>
      <w:tr w:rsidR="00D20AFD" w:rsidRPr="00D20AFD" w14:paraId="2EC27F9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A98460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2%, 1%, skim milk</w:t>
            </w:r>
          </w:p>
        </w:tc>
      </w:tr>
      <w:tr w:rsidR="00D20AFD" w:rsidRPr="00D20AFD" w14:paraId="44756E5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6A5748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all low-fat cheeses</w:t>
            </w:r>
          </w:p>
        </w:tc>
      </w:tr>
      <w:tr w:rsidR="00D20AFD" w:rsidRPr="00D20AFD" w14:paraId="49AD40A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816B1B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yogurt (low-fat)</w:t>
            </w:r>
          </w:p>
        </w:tc>
      </w:tr>
      <w:tr w:rsidR="00D20AFD" w:rsidRPr="00D20AFD" w14:paraId="75787F5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695375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beef, pork</w:t>
            </w:r>
          </w:p>
        </w:tc>
      </w:tr>
      <w:tr w:rsidR="00D20AFD" w:rsidRPr="00D20AFD" w14:paraId="5BF8773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ABAD13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other meats (veal, lamb, game)</w:t>
            </w:r>
          </w:p>
        </w:tc>
      </w:tr>
      <w:tr w:rsidR="00D20AFD" w:rsidRPr="00D20AFD" w14:paraId="73BC9A6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601F26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nuts, seeds and peanut butter</w:t>
            </w:r>
          </w:p>
        </w:tc>
      </w:tr>
      <w:tr w:rsidR="00D20AFD" w:rsidRPr="00D20AFD" w14:paraId="2B5BB4E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57C447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omega-3 eggs</w:t>
            </w:r>
          </w:p>
        </w:tc>
      </w:tr>
      <w:tr w:rsidR="00D20AFD" w:rsidRPr="00D20AFD" w14:paraId="0183509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8376DF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patÃ©s, cretons, terrines</w:t>
            </w:r>
          </w:p>
        </w:tc>
      </w:tr>
      <w:tr w:rsidR="00D20AFD" w:rsidRPr="00D20AFD" w14:paraId="2C25FD3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5B8587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potatoes</w:t>
            </w:r>
          </w:p>
        </w:tc>
      </w:tr>
      <w:tr w:rsidR="00D20AFD" w:rsidRPr="00D20AFD" w14:paraId="02218A0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86FBFE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100% pure fruit juices</w:t>
            </w:r>
          </w:p>
        </w:tc>
      </w:tr>
      <w:tr w:rsidR="00D20AFD" w:rsidRPr="00D20AFD" w14:paraId="5C48681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BB8D17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salty snacks</w:t>
            </w:r>
          </w:p>
        </w:tc>
      </w:tr>
      <w:tr w:rsidR="00D20AFD" w:rsidRPr="00D20AFD" w14:paraId="420DC92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0CD60F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sausages, hot dogs, ham, smoked meat, bacon</w:t>
            </w:r>
          </w:p>
        </w:tc>
      </w:tr>
      <w:tr w:rsidR="00D20AFD" w:rsidRPr="00D20AFD" w14:paraId="66234B8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5EBE7A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sauces and gravies</w:t>
            </w:r>
          </w:p>
        </w:tc>
      </w:tr>
      <w:tr w:rsidR="00D20AFD" w:rsidRPr="00D20AFD" w14:paraId="4374371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3168EE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other vegetables (except carrots, potatoes or salad)</w:t>
            </w:r>
          </w:p>
        </w:tc>
      </w:tr>
      <w:tr w:rsidR="00D20AFD" w:rsidRPr="00D20AFD" w14:paraId="23A1433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C722FD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whole milk 3.25% m.f</w:t>
            </w:r>
          </w:p>
        </w:tc>
      </w:tr>
      <w:tr w:rsidR="00D20AFD" w:rsidRPr="00D20AFD" w14:paraId="6D3BF05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C9B4F3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consumption (times per day) of yogurt (regular)</w:t>
            </w:r>
          </w:p>
        </w:tc>
      </w:tr>
      <w:tr w:rsidR="00D20AFD" w:rsidRPr="00D20AFD" w14:paraId="38CB0B8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F7F116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Dwelling type</w:t>
            </w:r>
          </w:p>
        </w:tc>
      </w:tr>
      <w:tr w:rsidR="00D20AFD" w:rsidRPr="00D20AFD" w14:paraId="41741C6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0874BC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Dwelling ownership/ rent status</w:t>
            </w:r>
          </w:p>
        </w:tc>
      </w:tr>
      <w:tr w:rsidR="00D20AFD" w:rsidRPr="00D20AFD" w14:paraId="15966B2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E71FA2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Accuracy of Response</w:t>
            </w:r>
          </w:p>
        </w:tc>
      </w:tr>
      <w:tr w:rsidR="00D20AFD" w:rsidRPr="00D20AFD" w14:paraId="6CA458B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698BD5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Intention to perform</w:t>
            </w:r>
          </w:p>
        </w:tc>
      </w:tr>
      <w:tr w:rsidR="00D20AFD" w:rsidRPr="00D20AFD" w14:paraId="67FB93D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7ED5C5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Need of Reminders</w:t>
            </w:r>
          </w:p>
        </w:tc>
      </w:tr>
      <w:tr w:rsidR="00D20AFD" w:rsidRPr="00D20AFD" w14:paraId="20EB390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962DDF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Primary Care Posttraumatic Stress Disorder (PC-PTSD) score</w:t>
            </w:r>
          </w:p>
        </w:tc>
      </w:tr>
      <w:tr w:rsidR="00D20AFD" w:rsidRPr="00D20AFD" w14:paraId="0E99C50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AF7C6F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missing items on PC-PTSD</w:t>
            </w:r>
          </w:p>
        </w:tc>
      </w:tr>
      <w:tr w:rsidR="00D20AFD" w:rsidRPr="00D20AFD" w14:paraId="57AC2A8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C27A33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Subjective retirement status</w:t>
            </w:r>
          </w:p>
        </w:tc>
      </w:tr>
      <w:tr w:rsidR="00D20AFD" w:rsidRPr="00D20AFD" w14:paraId="21CAE24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2E8387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Aboriginal identity</w:t>
            </w:r>
          </w:p>
        </w:tc>
      </w:tr>
      <w:tr w:rsidR="00D20AFD" w:rsidRPr="00D20AFD" w14:paraId="61D662B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F57AEB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Cultural / Racial Background</w:t>
            </w:r>
          </w:p>
        </w:tc>
      </w:tr>
      <w:tr w:rsidR="00D20AFD" w:rsidRPr="00D20AFD" w14:paraId="0A241C8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89513C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First Official Language Learned and Still Understood</w:t>
            </w:r>
          </w:p>
        </w:tc>
      </w:tr>
      <w:tr w:rsidR="00D20AFD" w:rsidRPr="00D20AFD" w14:paraId="582163A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666FDC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Language(s) in Which Respondent Can Converse</w:t>
            </w:r>
          </w:p>
        </w:tc>
      </w:tr>
      <w:tr w:rsidR="00D20AFD" w:rsidRPr="00D20AFD" w14:paraId="480F5A5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3F8BA4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Immigration Flag</w:t>
            </w:r>
          </w:p>
        </w:tc>
      </w:tr>
      <w:tr w:rsidR="00D20AFD" w:rsidRPr="00D20AFD" w14:paraId="544AD20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0096A9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Country of Birth - grouped</w:t>
            </w:r>
          </w:p>
        </w:tc>
      </w:tr>
      <w:tr w:rsidR="00D20AFD" w:rsidRPr="00D20AFD" w14:paraId="499102D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56973E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Marital/partner status</w:t>
            </w:r>
          </w:p>
        </w:tc>
      </w:tr>
      <w:tr w:rsidR="00D20AFD" w:rsidRPr="00D20AFD" w14:paraId="00F9891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B26F7B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Sexual orientation</w:t>
            </w:r>
          </w:p>
        </w:tc>
      </w:tr>
      <w:tr w:rsidR="00D20AFD" w:rsidRPr="00D20AFD" w14:paraId="63D13DB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00BE80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Religion</w:t>
            </w:r>
          </w:p>
        </w:tc>
      </w:tr>
      <w:tr w:rsidR="00D20AFD" w:rsidRPr="00D20AFD" w14:paraId="798A44A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D3A884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Urban/ rural classification</w:t>
            </w:r>
          </w:p>
        </w:tc>
      </w:tr>
      <w:tr w:rsidR="00D20AFD" w:rsidRPr="00D20AFD" w14:paraId="067BD5E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879DF6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lastRenderedPageBreak/>
              <w:t>Biological sex</w:t>
            </w:r>
          </w:p>
        </w:tc>
      </w:tr>
      <w:tr w:rsidR="00D20AFD" w:rsidRPr="00D20AFD" w14:paraId="46619B7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7C89DF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Required more than 30 min to fall asleep</w:t>
            </w:r>
          </w:p>
        </w:tc>
      </w:tr>
      <w:tr w:rsidR="00D20AFD" w:rsidRPr="00D20AFD" w14:paraId="5F0BE391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995488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sleep hours during past month</w:t>
            </w:r>
          </w:p>
        </w:tc>
      </w:tr>
      <w:tr w:rsidR="00D20AFD" w:rsidRPr="00D20AFD" w14:paraId="5E2426A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62615E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waking up and having difficulty falling asleep again</w:t>
            </w:r>
          </w:p>
        </w:tc>
      </w:tr>
      <w:tr w:rsidR="00D20AFD" w:rsidRPr="00D20AFD" w14:paraId="0626215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BEB8A5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Satisfaction with current sleep pattern</w:t>
            </w:r>
          </w:p>
        </w:tc>
      </w:tr>
      <w:tr w:rsidR="00D20AFD" w:rsidRPr="00D20AFD" w14:paraId="0647E23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FDAC1C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finding difficulty to stay awake during normal hours</w:t>
            </w:r>
          </w:p>
        </w:tc>
      </w:tr>
      <w:tr w:rsidR="00D20AFD" w:rsidRPr="00D20AFD" w14:paraId="20229F6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EBDBDA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Satisfaction with Life Scale (SWLS) - Classification</w:t>
            </w:r>
          </w:p>
        </w:tc>
      </w:tr>
      <w:tr w:rsidR="00D20AFD" w:rsidRPr="00D20AFD" w14:paraId="26D8AA6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B4A923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SWLS: The conditions of my life are excellent - Grouped</w:t>
            </w:r>
          </w:p>
        </w:tc>
      </w:tr>
      <w:tr w:rsidR="00D20AFD" w:rsidRPr="00D20AFD" w14:paraId="039EF32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10E7B5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SWLS: I have gotten the important things I want in life - Grouped</w:t>
            </w:r>
          </w:p>
        </w:tc>
      </w:tr>
      <w:tr w:rsidR="00D20AFD" w:rsidRPr="00D20AFD" w14:paraId="5999B33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3E3EA2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SWLS: Life is close to my ideal - Grouped</w:t>
            </w:r>
          </w:p>
        </w:tc>
      </w:tr>
      <w:tr w:rsidR="00D20AFD" w:rsidRPr="00D20AFD" w14:paraId="0613D52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87D9D9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SWLS: If I could live my life over, I would change almost nothing - Grouped</w:t>
            </w:r>
          </w:p>
        </w:tc>
      </w:tr>
      <w:tr w:rsidR="00D20AFD" w:rsidRPr="00D20AFD" w14:paraId="7C30BC8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1E4A8E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SWLS: I am satisfied with my life - Grouped</w:t>
            </w:r>
          </w:p>
        </w:tc>
      </w:tr>
      <w:tr w:rsidR="00D20AFD" w:rsidRPr="00D20AFD" w14:paraId="1B0A8B9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4BD3E4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Satisfaction with Life Scale (SWLS) - Score</w:t>
            </w:r>
          </w:p>
        </w:tc>
      </w:tr>
      <w:tr w:rsidR="00D20AFD" w:rsidRPr="00D20AFD" w14:paraId="7E673C1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7E9A3EC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Type of Smoker</w:t>
            </w:r>
          </w:p>
        </w:tc>
      </w:tr>
      <w:tr w:rsidR="00D20AFD" w:rsidRPr="00D20AFD" w14:paraId="20D1071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97962D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cigarette packs per year</w:t>
            </w:r>
          </w:p>
        </w:tc>
      </w:tr>
      <w:tr w:rsidR="00D20AFD" w:rsidRPr="00D20AFD" w14:paraId="3CD6386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E0A511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living children</w:t>
            </w:r>
          </w:p>
        </w:tc>
      </w:tr>
      <w:tr w:rsidR="00D20AFD" w:rsidRPr="00D20AFD" w14:paraId="78B5397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13F693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Persons in Household Greater Than or Equal to 65 Years of Age</w:t>
            </w:r>
          </w:p>
        </w:tc>
      </w:tr>
      <w:tr w:rsidR="00D20AFD" w:rsidRPr="00D20AFD" w14:paraId="2E682A9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B6AE1E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Persons in Household Between 16 and 64 Years of Age</w:t>
            </w:r>
          </w:p>
        </w:tc>
      </w:tr>
      <w:tr w:rsidR="00D20AFD" w:rsidRPr="00D20AFD" w14:paraId="0822F79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D37938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Living/Family Arrangement of Participant (generational households)</w:t>
            </w:r>
          </w:p>
        </w:tc>
      </w:tr>
      <w:tr w:rsidR="00D20AFD" w:rsidRPr="00D20AFD" w14:paraId="0A09104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080033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Persons in Household Less Than 16 Years of Age</w:t>
            </w:r>
          </w:p>
        </w:tc>
      </w:tr>
      <w:tr w:rsidR="00D20AFD" w:rsidRPr="00D20AFD" w14:paraId="7322FAC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8C25AD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close friends</w:t>
            </w:r>
          </w:p>
        </w:tc>
      </w:tr>
      <w:tr w:rsidR="00D20AFD" w:rsidRPr="00D20AFD" w14:paraId="779C738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FFAE7D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people living in household (excluding the participant)</w:t>
            </w:r>
          </w:p>
        </w:tc>
      </w:tr>
      <w:tr w:rsidR="00D20AFD" w:rsidRPr="00D20AFD" w14:paraId="14F1356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808CEC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Children Living in Household</w:t>
            </w:r>
          </w:p>
        </w:tc>
      </w:tr>
      <w:tr w:rsidR="00D20AFD" w:rsidRPr="00D20AFD" w14:paraId="3C3D438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49AA87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neighbours</w:t>
            </w:r>
          </w:p>
        </w:tc>
      </w:tr>
      <w:tr w:rsidR="00D20AFD" w:rsidRPr="00D20AFD" w14:paraId="66BDC09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55486A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people known through other activities</w:t>
            </w:r>
          </w:p>
        </w:tc>
      </w:tr>
      <w:tr w:rsidR="00D20AFD" w:rsidRPr="00D20AFD" w14:paraId="51CDBF6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892C64A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people known through community involvement</w:t>
            </w:r>
          </w:p>
        </w:tc>
      </w:tr>
      <w:tr w:rsidR="00D20AFD" w:rsidRPr="00D20AFD" w14:paraId="47F51AD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D34A6F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people known through work or school</w:t>
            </w:r>
          </w:p>
        </w:tc>
      </w:tr>
      <w:tr w:rsidR="00D20AFD" w:rsidRPr="00D20AFD" w14:paraId="7703EA7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113287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living relatives</w:t>
            </w:r>
          </w:p>
        </w:tc>
      </w:tr>
      <w:tr w:rsidR="00D20AFD" w:rsidRPr="00D20AFD" w14:paraId="181F57C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C47C36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Last get together with children outside of household</w:t>
            </w:r>
          </w:p>
        </w:tc>
      </w:tr>
      <w:tr w:rsidR="00D20AFD" w:rsidRPr="00D20AFD" w14:paraId="2214972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5762FC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Last get together with close friends outside of household</w:t>
            </w:r>
          </w:p>
        </w:tc>
      </w:tr>
      <w:tr w:rsidR="00D20AFD" w:rsidRPr="00D20AFD" w14:paraId="52CA3B5A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AF7782E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Last get together with neighbours</w:t>
            </w:r>
          </w:p>
        </w:tc>
      </w:tr>
      <w:tr w:rsidR="00D20AFD" w:rsidRPr="00D20AFD" w14:paraId="2EF3744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3353BFD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Last get together with relatives outside of household</w:t>
            </w:r>
          </w:p>
        </w:tc>
      </w:tr>
      <w:tr w:rsidR="00D20AFD" w:rsidRPr="00D20AFD" w14:paraId="0A664FD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CC05AC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Last get together with siblings outside of household</w:t>
            </w:r>
          </w:p>
        </w:tc>
      </w:tr>
      <w:tr w:rsidR="00D20AFD" w:rsidRPr="00D20AFD" w14:paraId="74BC93F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212C281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Number of living siblings</w:t>
            </w:r>
          </w:p>
        </w:tc>
      </w:tr>
      <w:tr w:rsidR="00D20AFD" w:rsidRPr="00D20AFD" w14:paraId="569D5290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18496E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Frequency of Community-Related Activity Participation (past 12 months)</w:t>
            </w:r>
          </w:p>
        </w:tc>
      </w:tr>
      <w:tr w:rsidR="00D20AFD" w:rsidRPr="00D20AFD" w14:paraId="68F7E1CB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C753ED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Max forced expiratory volume</w:t>
            </w:r>
          </w:p>
        </w:tc>
      </w:tr>
      <w:tr w:rsidR="00D20AFD" w:rsidRPr="00D20AFD" w14:paraId="3217F7A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89E0AF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Max forced vital capacity</w:t>
            </w:r>
          </w:p>
        </w:tc>
      </w:tr>
      <w:tr w:rsidR="00D20AFD" w:rsidRPr="00D20AFD" w14:paraId="0E4D8F3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C85A666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Affection - MOS Subscale</w:t>
            </w:r>
          </w:p>
        </w:tc>
      </w:tr>
      <w:tr w:rsidR="00D20AFD" w:rsidRPr="00D20AFD" w14:paraId="663BC76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07CFE7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Emotional and Informational Support - MOS Subscale</w:t>
            </w:r>
          </w:p>
        </w:tc>
      </w:tr>
      <w:tr w:rsidR="00D20AFD" w:rsidRPr="00D20AFD" w14:paraId="798E551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E5D3A32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Positive Social Interaction - MOS Subscale</w:t>
            </w:r>
          </w:p>
        </w:tc>
      </w:tr>
      <w:tr w:rsidR="00D20AFD" w:rsidRPr="00D20AFD" w14:paraId="57EA1D3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4637E1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Tangible Social Support - MOS Subscale</w:t>
            </w:r>
          </w:p>
        </w:tc>
      </w:tr>
      <w:tr w:rsidR="00D20AFD" w:rsidRPr="00D20AFD" w14:paraId="37DAF27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B708CE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lastRenderedPageBreak/>
              <w:t>Language used at start of interview</w:t>
            </w:r>
          </w:p>
        </w:tc>
      </w:tr>
      <w:tr w:rsidR="00D20AFD" w:rsidRPr="00D20AFD" w14:paraId="02649E9F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594393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Stroop test score</w:t>
            </w:r>
          </w:p>
        </w:tc>
      </w:tr>
      <w:tr w:rsidR="00D20AFD" w:rsidRPr="00D20AFD" w14:paraId="713B959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925FBD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Accuracy of Response</w:t>
            </w:r>
          </w:p>
        </w:tc>
      </w:tr>
      <w:tr w:rsidR="00D20AFD" w:rsidRPr="00D20AFD" w14:paraId="711D15B3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15E79A74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Intention to perform</w:t>
            </w:r>
          </w:p>
        </w:tc>
      </w:tr>
      <w:tr w:rsidR="00D20AFD" w:rsidRPr="00D20AFD" w14:paraId="54D6F186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3D671C3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Need of Reminders</w:t>
            </w:r>
          </w:p>
        </w:tc>
      </w:tr>
      <w:tr w:rsidR="00D20AFD" w:rsidRPr="00D20AFD" w14:paraId="748315D7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4FC778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Intaocular pressure - left eye</w:t>
            </w:r>
          </w:p>
        </w:tc>
      </w:tr>
      <w:tr w:rsidR="00D20AFD" w:rsidRPr="00D20AFD" w14:paraId="1B6DF27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3E9CD1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Intaocular pressure - right eye</w:t>
            </w:r>
          </w:p>
        </w:tc>
      </w:tr>
      <w:tr w:rsidR="00D20AFD" w:rsidRPr="00D20AFD" w14:paraId="320A211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3FB12B9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Visual acuity test result for both eyes</w:t>
            </w:r>
          </w:p>
        </w:tc>
      </w:tr>
      <w:tr w:rsidR="00D20AFD" w:rsidRPr="00D20AFD" w14:paraId="42058D64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49A4600C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Visual acuity test result for left eye</w:t>
            </w:r>
          </w:p>
        </w:tc>
      </w:tr>
      <w:tr w:rsidR="00D20AFD" w:rsidRPr="00D20AFD" w14:paraId="39B3476C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A0E17C8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Visual acuity test result for right eye</w:t>
            </w:r>
          </w:p>
        </w:tc>
      </w:tr>
      <w:tr w:rsidR="00D20AFD" w:rsidRPr="00D20AFD" w14:paraId="640626C2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DC7C610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Eyesight rating</w:t>
            </w:r>
          </w:p>
        </w:tc>
      </w:tr>
      <w:tr w:rsidR="00D20AFD" w:rsidRPr="00D20AFD" w14:paraId="1FADA20E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5B09BD3D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Average weight in kg</w:t>
            </w:r>
          </w:p>
        </w:tc>
      </w:tr>
      <w:tr w:rsidR="00D20AFD" w:rsidRPr="00D20AFD" w14:paraId="14505F18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32EC535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Waist to hip ratio</w:t>
            </w:r>
          </w:p>
        </w:tc>
      </w:tr>
      <w:tr w:rsidR="00D20AFD" w:rsidRPr="00D20AFD" w14:paraId="05D31F59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6A5CD137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Ever used hormone replacement therapy</w:t>
            </w:r>
          </w:p>
        </w:tc>
      </w:tr>
      <w:tr w:rsidR="00D20AFD" w:rsidRPr="00D20AFD" w14:paraId="631ECD0D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0F66502F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Occurrence of menopause</w:t>
            </w:r>
          </w:p>
        </w:tc>
      </w:tr>
      <w:tr w:rsidR="00D20AFD" w:rsidRPr="00D20AFD" w14:paraId="26358CC5" w14:textId="77777777" w:rsidTr="00D20AFD">
        <w:trPr>
          <w:trHeight w:val="300"/>
        </w:trPr>
        <w:tc>
          <w:tcPr>
            <w:tcW w:w="9350" w:type="dxa"/>
            <w:noWrap/>
            <w:hideMark/>
          </w:tcPr>
          <w:p w14:paraId="2FAD4B7B" w14:textId="77777777" w:rsidR="00D20AFD" w:rsidRPr="00D20AFD" w:rsidRDefault="00D20AFD" w:rsidP="00D20AFD">
            <w:pPr>
              <w:rPr>
                <w:rFonts w:ascii="Times New Roman" w:eastAsia="Times New Roman" w:hAnsi="Times New Roman" w:cs="Times New Roman"/>
              </w:rPr>
            </w:pPr>
            <w:r w:rsidRPr="00D20AFD">
              <w:rPr>
                <w:rFonts w:ascii="Times New Roman" w:eastAsia="Times New Roman" w:hAnsi="Times New Roman" w:cs="Times New Roman"/>
              </w:rPr>
              <w:t>Age of menopause onset</w:t>
            </w:r>
          </w:p>
        </w:tc>
      </w:tr>
    </w:tbl>
    <w:p w14:paraId="5890384E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EDB46C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E35917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6061754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BF1FCC8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3D05E42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9DE2AB2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9C67F9F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4B87EFC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CC751F7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E403868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CA6083B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318B466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5FF706B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3C02058" w14:textId="77777777" w:rsidR="00D20AFD" w:rsidRDefault="00D20AFD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734C8A" w14:textId="64A2211E" w:rsidR="00CC0547" w:rsidRPr="00CC0547" w:rsidRDefault="00CC0547" w:rsidP="00CC0547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79D17EC4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Supplementa</w:t>
      </w:r>
      <w:r w:rsidR="00D20AFD">
        <w:rPr>
          <w:rFonts w:ascii="Times New Roman" w:eastAsia="Times New Roman" w:hAnsi="Times New Roman" w:cs="Times New Roman"/>
          <w:b/>
          <w:bCs/>
          <w:sz w:val="28"/>
          <w:szCs w:val="28"/>
        </w:rPr>
        <w:t>l</w:t>
      </w:r>
      <w:r w:rsidRPr="79D17EC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20AFD">
        <w:rPr>
          <w:rFonts w:ascii="Times New Roman" w:eastAsia="Times New Roman" w:hAnsi="Times New Roman" w:cs="Times New Roman"/>
          <w:b/>
          <w:bCs/>
          <w:sz w:val="28"/>
          <w:szCs w:val="28"/>
        </w:rPr>
        <w:t>Figure 1</w:t>
      </w:r>
      <w:r w:rsidRPr="79D17EC4">
        <w:rPr>
          <w:rFonts w:ascii="Times New Roman" w:eastAsia="Times New Roman" w:hAnsi="Times New Roman" w:cs="Times New Roman"/>
          <w:b/>
          <w:bCs/>
          <w:sz w:val="28"/>
          <w:szCs w:val="28"/>
        </w:rPr>
        <w:t>: R packages used in the analysis</w:t>
      </w:r>
    </w:p>
    <w:p w14:paraId="704C3102" w14:textId="77777777" w:rsidR="00CC0547" w:rsidRDefault="00CC0547" w:rsidP="00CC0547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360102A1" wp14:editId="13DDFABF">
            <wp:extent cx="6914051" cy="5353050"/>
            <wp:effectExtent l="0" t="1" r="0" b="0"/>
            <wp:docPr id="1427750008" name="drawing" descr="A close 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50008" name="drawing" descr="A close up of text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914051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A7095" w14:textId="77777777" w:rsidR="00CC0547" w:rsidRDefault="00CC0547" w:rsidP="79D17EC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8EE1C4E" w14:textId="77777777" w:rsidR="00CC0547" w:rsidRDefault="00CC0547" w:rsidP="79D17EC4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52B39EE" w14:textId="52ADEB6B" w:rsidR="05763ADF" w:rsidRDefault="05763ADF" w:rsidP="3D0FDEB7">
      <w:pPr>
        <w:rPr>
          <w:rFonts w:ascii="Aptos" w:eastAsia="Aptos" w:hAnsi="Aptos" w:cs="Aptos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B8E45FD" wp14:editId="4A904098">
            <wp:extent cx="5943600" cy="3219450"/>
            <wp:effectExtent l="0" t="0" r="0" b="0"/>
            <wp:docPr id="1527630092" name="Picture 1527630092" descr="Picture 521116118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FC3F" w14:textId="4DF44E83" w:rsidR="05763ADF" w:rsidRDefault="00DE56E6" w:rsidP="79D17EC4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="05763ADF" w:rsidRPr="79D17EC4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2</w:t>
      </w:r>
      <w:r w:rsidR="05763ADF" w:rsidRPr="79D17EC4">
        <w:rPr>
          <w:rFonts w:ascii="Times New Roman" w:eastAsia="Times New Roman" w:hAnsi="Times New Roman" w:cs="Times New Roman"/>
          <w:b/>
          <w:bCs/>
        </w:rPr>
        <w:t xml:space="preserve">: Predictive performance of quantile regression models on the test set across four </w:t>
      </w:r>
      <w:r w:rsidR="143E3C65" w:rsidRPr="79D17EC4">
        <w:rPr>
          <w:rFonts w:ascii="Times New Roman" w:eastAsia="Times New Roman" w:hAnsi="Times New Roman" w:cs="Times New Roman"/>
          <w:b/>
          <w:bCs/>
        </w:rPr>
        <w:t>feature engineering</w:t>
      </w:r>
      <w:r w:rsidR="05763ADF" w:rsidRPr="79D17EC4">
        <w:rPr>
          <w:rFonts w:ascii="Times New Roman" w:eastAsia="Times New Roman" w:hAnsi="Times New Roman" w:cs="Times New Roman"/>
          <w:b/>
          <w:bCs/>
        </w:rPr>
        <w:t xml:space="preserve"> strategies. Across the quantiles, </w:t>
      </w:r>
      <w:r w:rsidR="793E3B56" w:rsidRPr="79D17EC4">
        <w:rPr>
          <w:rFonts w:ascii="Times New Roman" w:eastAsia="Times New Roman" w:hAnsi="Times New Roman" w:cs="Times New Roman"/>
          <w:b/>
          <w:bCs/>
        </w:rPr>
        <w:t xml:space="preserve">the strategy using </w:t>
      </w:r>
      <w:r w:rsidR="05763ADF" w:rsidRPr="79D17EC4">
        <w:rPr>
          <w:rFonts w:ascii="Times New Roman" w:eastAsia="Times New Roman" w:hAnsi="Times New Roman" w:cs="Times New Roman"/>
          <w:b/>
          <w:bCs/>
        </w:rPr>
        <w:t xml:space="preserve">splines and </w:t>
      </w:r>
      <w:r w:rsidR="408CDE2C" w:rsidRPr="79D17EC4">
        <w:rPr>
          <w:rFonts w:ascii="Times New Roman" w:eastAsia="Times New Roman" w:hAnsi="Times New Roman" w:cs="Times New Roman"/>
          <w:b/>
          <w:bCs/>
        </w:rPr>
        <w:t>no</w:t>
      </w:r>
      <w:r w:rsidR="05763ADF" w:rsidRPr="79D17EC4">
        <w:rPr>
          <w:rFonts w:ascii="Times New Roman" w:eastAsia="Times New Roman" w:hAnsi="Times New Roman" w:cs="Times New Roman"/>
          <w:b/>
          <w:bCs/>
        </w:rPr>
        <w:t xml:space="preserve"> transformations or interactions</w:t>
      </w:r>
      <w:r w:rsidR="695BECCF" w:rsidRPr="79D17EC4">
        <w:rPr>
          <w:rFonts w:ascii="Times New Roman" w:eastAsia="Times New Roman" w:hAnsi="Times New Roman" w:cs="Times New Roman"/>
          <w:b/>
          <w:bCs/>
        </w:rPr>
        <w:t xml:space="preserve"> (s_no_ti</w:t>
      </w:r>
      <w:r w:rsidR="3EA2FD53" w:rsidRPr="79D17EC4">
        <w:rPr>
          <w:rFonts w:ascii="Times New Roman" w:eastAsia="Times New Roman" w:hAnsi="Times New Roman" w:cs="Times New Roman"/>
          <w:b/>
          <w:bCs/>
        </w:rPr>
        <w:t xml:space="preserve"> or yellow</w:t>
      </w:r>
      <w:r w:rsidR="695BECCF" w:rsidRPr="79D17EC4">
        <w:rPr>
          <w:rFonts w:ascii="Times New Roman" w:eastAsia="Times New Roman" w:hAnsi="Times New Roman" w:cs="Times New Roman"/>
          <w:b/>
          <w:bCs/>
        </w:rPr>
        <w:t>)</w:t>
      </w:r>
      <w:r w:rsidR="05763ADF" w:rsidRPr="79D17EC4">
        <w:rPr>
          <w:rFonts w:ascii="Times New Roman" w:eastAsia="Times New Roman" w:hAnsi="Times New Roman" w:cs="Times New Roman"/>
          <w:b/>
          <w:bCs/>
        </w:rPr>
        <w:t>, generalized best</w:t>
      </w:r>
      <w:r w:rsidR="00B34018">
        <w:rPr>
          <w:rFonts w:ascii="Times New Roman" w:eastAsia="Times New Roman" w:hAnsi="Times New Roman" w:cs="Times New Roman"/>
          <w:b/>
          <w:bCs/>
        </w:rPr>
        <w:t>.</w:t>
      </w:r>
    </w:p>
    <w:p w14:paraId="6A53C69F" w14:textId="13B299C7" w:rsidR="3D0FDEB7" w:rsidRDefault="3D0FDEB7" w:rsidP="3D0FDEB7">
      <w:pPr>
        <w:rPr>
          <w:rFonts w:ascii="Times New Roman" w:eastAsia="Times New Roman" w:hAnsi="Times New Roman" w:cs="Times New Roman"/>
        </w:rPr>
      </w:pPr>
    </w:p>
    <w:p w14:paraId="4383DDFD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432FEB17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4F5E263E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6AF2EEE0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44B3DC61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61AC3735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6589B8C7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7EDCE975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07631074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4C6E6892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3A7B5372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456DF2E8" w14:textId="77777777" w:rsidR="00DE56E6" w:rsidRDefault="00DE56E6" w:rsidP="00DE56E6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A925624" wp14:editId="6AFF70C7">
            <wp:extent cx="5943600" cy="3219450"/>
            <wp:effectExtent l="0" t="0" r="0" b="0"/>
            <wp:docPr id="733488575" name="Picture 733488575" descr="Picture 1250125398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C8D38" w14:textId="0E46B715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3</w:t>
      </w:r>
      <w:r w:rsidRPr="06EF0ACF">
        <w:rPr>
          <w:rFonts w:ascii="Times New Roman" w:eastAsia="Times New Roman" w:hAnsi="Times New Roman" w:cs="Times New Roman"/>
          <w:b/>
          <w:bCs/>
        </w:rPr>
        <w:t>: Coefficient L</w:t>
      </w:r>
      <w:r w:rsidRPr="06EF0ACF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 norms at the 78th quantile, based on training set results using the λ selected via 10fCV. Four predictors stand out due to their large coefficient L</w:t>
      </w:r>
      <w:r w:rsidRPr="06EF0ACF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 norms: baseline gait speed, age, BMI, and comorbidity count. Predictors with ranks five through twelve exhibits substantially smaller L</w:t>
      </w:r>
      <w:r w:rsidRPr="06EF0ACF">
        <w:rPr>
          <w:rFonts w:ascii="Times New Roman" w:eastAsia="Times New Roman" w:hAnsi="Times New Roman" w:cs="Times New Roman"/>
          <w:b/>
          <w:bCs/>
          <w:vertAlign w:val="superscript"/>
        </w:rPr>
        <w:t xml:space="preserve">2 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norms, suggesting their associations with follow-up gait speed may be less stable.  </w:t>
      </w:r>
    </w:p>
    <w:p w14:paraId="4C51B8DA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6AE44235" w14:textId="3C89EE6A" w:rsidR="2D8EA907" w:rsidRDefault="2D8EA907" w:rsidP="06EF0ACF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738DB7" wp14:editId="7DF523C8">
            <wp:extent cx="5943600" cy="3219450"/>
            <wp:effectExtent l="0" t="0" r="0" b="0"/>
            <wp:docPr id="2139359233" name="Picture 2139359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="211D4355" w:rsidRPr="06EF0ACF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4</w:t>
      </w:r>
      <w:r w:rsidR="211D4355" w:rsidRPr="06EF0ACF">
        <w:rPr>
          <w:rFonts w:ascii="Times New Roman" w:eastAsia="Times New Roman" w:hAnsi="Times New Roman" w:cs="Times New Roman"/>
          <w:b/>
          <w:bCs/>
        </w:rPr>
        <w:t xml:space="preserve">: </w:t>
      </w:r>
      <w:r w:rsidR="7908EAE7" w:rsidRPr="06EF0ACF">
        <w:rPr>
          <w:rFonts w:ascii="Times New Roman" w:eastAsia="Times New Roman" w:hAnsi="Times New Roman" w:cs="Times New Roman"/>
          <w:b/>
          <w:bCs/>
        </w:rPr>
        <w:t xml:space="preserve">Coefficient </w:t>
      </w:r>
      <w:r w:rsidR="63EECF8F" w:rsidRPr="06EF0ACF">
        <w:rPr>
          <w:rFonts w:ascii="Times New Roman" w:eastAsia="Times New Roman" w:hAnsi="Times New Roman" w:cs="Times New Roman"/>
          <w:b/>
          <w:bCs/>
        </w:rPr>
        <w:t>L</w:t>
      </w:r>
      <w:r w:rsidR="63EECF8F" w:rsidRPr="06EF0ACF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="7908EAE7" w:rsidRPr="06EF0ACF">
        <w:rPr>
          <w:rFonts w:ascii="Times New Roman" w:eastAsia="Times New Roman" w:hAnsi="Times New Roman" w:cs="Times New Roman"/>
          <w:b/>
          <w:bCs/>
        </w:rPr>
        <w:t xml:space="preserve"> norms at the 16th quantile, based on training set results using the λ selected via </w:t>
      </w:r>
      <w:r w:rsidR="77F6323C" w:rsidRPr="06EF0ACF">
        <w:rPr>
          <w:rFonts w:ascii="Times New Roman" w:eastAsia="Times New Roman" w:hAnsi="Times New Roman" w:cs="Times New Roman"/>
          <w:b/>
          <w:bCs/>
        </w:rPr>
        <w:t>10fCV</w:t>
      </w:r>
      <w:r w:rsidR="7908EAE7" w:rsidRPr="06EF0ACF">
        <w:rPr>
          <w:rFonts w:ascii="Times New Roman" w:eastAsia="Times New Roman" w:hAnsi="Times New Roman" w:cs="Times New Roman"/>
          <w:b/>
          <w:bCs/>
        </w:rPr>
        <w:t>.</w:t>
      </w:r>
    </w:p>
    <w:p w14:paraId="216D109F" w14:textId="34E26141" w:rsidR="3D0FDEB7" w:rsidRDefault="3D0FDEB7" w:rsidP="3D0FDEB7">
      <w:pPr>
        <w:rPr>
          <w:rFonts w:ascii="Times New Roman" w:eastAsia="Times New Roman" w:hAnsi="Times New Roman" w:cs="Times New Roman"/>
        </w:rPr>
      </w:pPr>
    </w:p>
    <w:p w14:paraId="796D1E18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2F438DED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57C765F4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4C3888B1" w14:textId="25E7A3DA" w:rsidR="211D4355" w:rsidRDefault="211D4355" w:rsidP="06EF0ACF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3D95DDD4" wp14:editId="37BA37A2">
            <wp:extent cx="5943600" cy="3219450"/>
            <wp:effectExtent l="0" t="0" r="0" b="0"/>
            <wp:docPr id="1801858380" name="Picture 1801858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="40CBF210" w:rsidRPr="06EF0ACF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5</w:t>
      </w:r>
      <w:r w:rsidR="40CBF210" w:rsidRPr="06EF0ACF">
        <w:rPr>
          <w:rFonts w:ascii="Times New Roman" w:eastAsia="Times New Roman" w:hAnsi="Times New Roman" w:cs="Times New Roman"/>
          <w:b/>
          <w:bCs/>
        </w:rPr>
        <w:t>:</w:t>
      </w:r>
      <w:r w:rsidR="23A28F1C" w:rsidRPr="06EF0ACF">
        <w:rPr>
          <w:rFonts w:ascii="Times New Roman" w:eastAsia="Times New Roman" w:hAnsi="Times New Roman" w:cs="Times New Roman"/>
          <w:b/>
          <w:bCs/>
        </w:rPr>
        <w:t xml:space="preserve"> Stability results for the 16th quantile: blue dots show ranks from the </w:t>
      </w:r>
      <w:r w:rsidR="77F6323C" w:rsidRPr="06EF0ACF">
        <w:rPr>
          <w:rFonts w:ascii="Times New Roman" w:eastAsia="Times New Roman" w:hAnsi="Times New Roman" w:cs="Times New Roman"/>
          <w:b/>
          <w:bCs/>
        </w:rPr>
        <w:t>10fCV</w:t>
      </w:r>
      <w:r w:rsidR="23A28F1C" w:rsidRPr="06EF0ACF">
        <w:rPr>
          <w:rFonts w:ascii="Times New Roman" w:eastAsia="Times New Roman" w:hAnsi="Times New Roman" w:cs="Times New Roman"/>
          <w:b/>
          <w:bCs/>
        </w:rPr>
        <w:t>, red lines indicate 50% percentile rank intervals, and yellow lines represent 95% intervals.</w:t>
      </w:r>
    </w:p>
    <w:p w14:paraId="68736136" w14:textId="24CF149A" w:rsidR="3D0FDEB7" w:rsidRDefault="3D0FDEB7" w:rsidP="3D0FDEB7">
      <w:pPr>
        <w:rPr>
          <w:rFonts w:ascii="Times New Roman" w:eastAsia="Times New Roman" w:hAnsi="Times New Roman" w:cs="Times New Roman"/>
          <w:b/>
          <w:bCs/>
        </w:rPr>
      </w:pPr>
    </w:p>
    <w:p w14:paraId="4F49DFB5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1333C58A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34C6598E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4E611F31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0F9096F0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19A6AD27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773492F0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1386CEC6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4F7D547B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367963C6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0ABA77FE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62C0D516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2AE7E03F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3E67F8E0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7EB28D6C" w14:textId="1E77835C" w:rsidR="00DE56E6" w:rsidRDefault="00DE56E6" w:rsidP="00DE56E6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2E86777" wp14:editId="556B9BF9">
            <wp:extent cx="5943600" cy="3219450"/>
            <wp:effectExtent l="0" t="0" r="0" b="0"/>
            <wp:docPr id="1449241675" name="Picture 1449241675" descr="A graph with numbers and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241675" name="Picture 1449241675" descr="A graph with numbers and line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6</w:t>
      </w:r>
      <w:r w:rsidRPr="06EF0ACF">
        <w:rPr>
          <w:rFonts w:ascii="Times New Roman" w:eastAsia="Times New Roman" w:hAnsi="Times New Roman" w:cs="Times New Roman"/>
          <w:b/>
          <w:bCs/>
        </w:rPr>
        <w:t>: Coefficient L</w:t>
      </w:r>
      <w:r w:rsidRPr="06EF0ACF">
        <w:rPr>
          <w:rFonts w:ascii="Times New Roman" w:eastAsia="Times New Roman" w:hAnsi="Times New Roman" w:cs="Times New Roman"/>
          <w:b/>
          <w:bCs/>
          <w:vertAlign w:val="superscript"/>
        </w:rPr>
        <w:t>2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 norms at the 50th quantile, based on training set results using the λ selected via 10fCV.</w:t>
      </w:r>
    </w:p>
    <w:p w14:paraId="29FAB63B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3C4EFEFD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32AAA156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25B484A6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188452BF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5179C9DB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1D0A545B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77E990AB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38266240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4F5AFB78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495934BA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42B497DA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17C094C6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03F3545F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5C479C72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124D8974" w14:textId="487DDC4F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439EDCF0" wp14:editId="7F347020">
            <wp:extent cx="5943600" cy="3219450"/>
            <wp:effectExtent l="0" t="0" r="0" b="0"/>
            <wp:docPr id="1013523305" name="Picture 1013523305" descr="A graph with blue and orang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23305" name="Picture 1013523305" descr="A graph with blue and orange dot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7</w:t>
      </w:r>
      <w:r w:rsidRPr="06EF0ACF">
        <w:rPr>
          <w:rFonts w:ascii="Times New Roman" w:eastAsia="Times New Roman" w:hAnsi="Times New Roman" w:cs="Times New Roman"/>
          <w:b/>
          <w:bCs/>
        </w:rPr>
        <w:t>: Stability results for the 50th quantile: blue dots show ranks from the 10fCV, red lines indicate 50% percentile rank intervals, and yellow lines represent 95% intervals.</w:t>
      </w:r>
    </w:p>
    <w:p w14:paraId="1F8D7EFE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418AA6F9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3B90068A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01DBCF6B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67F78E33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58EFECB5" w14:textId="77777777" w:rsidR="00DE56E6" w:rsidRDefault="00DE56E6" w:rsidP="3D0FDEB7">
      <w:pPr>
        <w:rPr>
          <w:rFonts w:ascii="Times New Roman" w:eastAsia="Times New Roman" w:hAnsi="Times New Roman" w:cs="Times New Roman"/>
          <w:b/>
          <w:bCs/>
        </w:rPr>
      </w:pPr>
    </w:p>
    <w:p w14:paraId="2A47B44B" w14:textId="77777777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747C0BE3" w14:textId="77777777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3090B453" w14:textId="77777777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727E0BB3" w14:textId="77777777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0700F51F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0489096E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3AA42D3C" w14:textId="47681763" w:rsidR="00DE56E6" w:rsidRDefault="00DE56E6" w:rsidP="00DE56E6">
      <w:pPr>
        <w:tabs>
          <w:tab w:val="left" w:pos="94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2076AEB4" w14:textId="77777777" w:rsidR="00DE56E6" w:rsidRDefault="00DE56E6" w:rsidP="00DE56E6">
      <w:pPr>
        <w:tabs>
          <w:tab w:val="left" w:pos="945"/>
        </w:tabs>
        <w:rPr>
          <w:rFonts w:ascii="Times New Roman" w:eastAsia="Times New Roman" w:hAnsi="Times New Roman" w:cs="Times New Roman"/>
        </w:rPr>
      </w:pPr>
    </w:p>
    <w:p w14:paraId="4C1A156C" w14:textId="77777777" w:rsidR="00DE56E6" w:rsidRDefault="00DE56E6" w:rsidP="00DE56E6">
      <w:pPr>
        <w:tabs>
          <w:tab w:val="left" w:pos="945"/>
        </w:tabs>
        <w:rPr>
          <w:rFonts w:ascii="Times New Roman" w:eastAsia="Times New Roman" w:hAnsi="Times New Roman" w:cs="Times New Roman"/>
        </w:rPr>
      </w:pPr>
    </w:p>
    <w:p w14:paraId="795BD4B0" w14:textId="1A068E52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52FB6124" wp14:editId="46031562">
            <wp:extent cx="5943600" cy="3219450"/>
            <wp:effectExtent l="0" t="0" r="0" b="0"/>
            <wp:docPr id="1243979477" name="Picture 1243979477" descr="A graph with numbers and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979477" name="Picture 1243979477" descr="A graph with numbers and a lin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8</w:t>
      </w:r>
      <w:r w:rsidRPr="06EF0ACF">
        <w:rPr>
          <w:rFonts w:ascii="Times New Roman" w:eastAsia="Times New Roman" w:hAnsi="Times New Roman" w:cs="Times New Roman"/>
          <w:b/>
          <w:bCs/>
        </w:rPr>
        <w:t>: Data splitting results at the 78</w:t>
      </w:r>
      <w:r w:rsidRPr="06EF0ACF">
        <w:rPr>
          <w:rFonts w:ascii="Times New Roman" w:eastAsia="Times New Roman" w:hAnsi="Times New Roman" w:cs="Times New Roman"/>
          <w:b/>
          <w:bCs/>
          <w:vertAlign w:val="superscript"/>
        </w:rPr>
        <w:t>th</w:t>
      </w:r>
      <w:r w:rsidRPr="06EF0ACF">
        <w:rPr>
          <w:rFonts w:ascii="Times New Roman" w:eastAsia="Times New Roman" w:hAnsi="Times New Roman" w:cs="Times New Roman"/>
          <w:b/>
          <w:bCs/>
        </w:rPr>
        <w:t xml:space="preserve"> quantile. The model using predictors with an upper 95th percentile ranks ≤ 25 (ss_78b) has fewer predictors than the one from 10fCV (cv_78) and generalizes to new data equally well based on a region of practical equivalence of 0.005. The cv_78 model and the model with predictors having an upper 95th percentile ranks ≤ 20 (ss_78a) fell just below the equivalence threshold of 0.95. All comparisons showed equivalence when the ROPE was widened to 0.01.</w:t>
      </w:r>
      <w:r w:rsidRPr="06EF0ACF">
        <w:rPr>
          <w:rFonts w:ascii="Times New Roman" w:eastAsia="Times New Roman" w:hAnsi="Times New Roman" w:cs="Times New Roman"/>
        </w:rPr>
        <w:t xml:space="preserve"> </w:t>
      </w:r>
    </w:p>
    <w:p w14:paraId="6EE2441C" w14:textId="77777777" w:rsidR="00DE56E6" w:rsidRPr="00DE56E6" w:rsidRDefault="00DE56E6" w:rsidP="00DE56E6">
      <w:pPr>
        <w:tabs>
          <w:tab w:val="left" w:pos="945"/>
        </w:tabs>
        <w:rPr>
          <w:rFonts w:ascii="Times New Roman" w:eastAsia="Times New Roman" w:hAnsi="Times New Roman" w:cs="Times New Roman"/>
        </w:rPr>
      </w:pPr>
    </w:p>
    <w:p w14:paraId="7459DF93" w14:textId="638E8886" w:rsidR="40CBF210" w:rsidRDefault="40CBF210" w:rsidP="3D0FDEB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6148A72A" wp14:editId="2ADB3CDA">
            <wp:extent cx="5943600" cy="3219450"/>
            <wp:effectExtent l="0" t="0" r="0" b="0"/>
            <wp:docPr id="510059128" name="Picture 510059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Pr="3D0FDEB7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9</w:t>
      </w:r>
      <w:r w:rsidR="09123354" w:rsidRPr="3D0FDEB7">
        <w:rPr>
          <w:rFonts w:ascii="Times New Roman" w:eastAsia="Times New Roman" w:hAnsi="Times New Roman" w:cs="Times New Roman"/>
          <w:b/>
          <w:bCs/>
        </w:rPr>
        <w:t>: Data splitting results at the 16</w:t>
      </w:r>
      <w:r w:rsidR="09123354" w:rsidRPr="3D0FDEB7">
        <w:rPr>
          <w:rFonts w:ascii="Times New Roman" w:eastAsia="Times New Roman" w:hAnsi="Times New Roman" w:cs="Times New Roman"/>
          <w:b/>
          <w:bCs/>
          <w:vertAlign w:val="superscript"/>
        </w:rPr>
        <w:t>th</w:t>
      </w:r>
      <w:r w:rsidR="09123354" w:rsidRPr="3D0FDEB7">
        <w:rPr>
          <w:rFonts w:ascii="Times New Roman" w:eastAsia="Times New Roman" w:hAnsi="Times New Roman" w:cs="Times New Roman"/>
          <w:b/>
          <w:bCs/>
        </w:rPr>
        <w:t xml:space="preserve"> quantile. The model using the </w:t>
      </w:r>
      <w:r w:rsidR="1ED2D82D" w:rsidRPr="3D0FDEB7">
        <w:rPr>
          <w:rFonts w:ascii="Times New Roman" w:eastAsia="Times New Roman" w:hAnsi="Times New Roman" w:cs="Times New Roman"/>
          <w:b/>
          <w:bCs/>
        </w:rPr>
        <w:t>top ten</w:t>
      </w:r>
      <w:r w:rsidR="09123354" w:rsidRPr="3D0FDEB7">
        <w:rPr>
          <w:rFonts w:ascii="Times New Roman" w:eastAsia="Times New Roman" w:hAnsi="Times New Roman" w:cs="Times New Roman"/>
          <w:b/>
          <w:bCs/>
        </w:rPr>
        <w:t xml:space="preserve"> predictors from 10fCV (cv_</w:t>
      </w:r>
      <w:r w:rsidR="56BAD1A2" w:rsidRPr="3D0FDEB7">
        <w:rPr>
          <w:rFonts w:ascii="Times New Roman" w:eastAsia="Times New Roman" w:hAnsi="Times New Roman" w:cs="Times New Roman"/>
          <w:b/>
          <w:bCs/>
        </w:rPr>
        <w:t>16</w:t>
      </w:r>
      <w:r w:rsidR="09123354" w:rsidRPr="3D0FDEB7">
        <w:rPr>
          <w:rFonts w:ascii="Times New Roman" w:eastAsia="Times New Roman" w:hAnsi="Times New Roman" w:cs="Times New Roman"/>
          <w:b/>
          <w:bCs/>
        </w:rPr>
        <w:t xml:space="preserve">) generalizes to new data </w:t>
      </w:r>
      <w:r w:rsidR="39D04EA2" w:rsidRPr="3D0FDEB7">
        <w:rPr>
          <w:rFonts w:ascii="Times New Roman" w:eastAsia="Times New Roman" w:hAnsi="Times New Roman" w:cs="Times New Roman"/>
          <w:b/>
          <w:bCs/>
        </w:rPr>
        <w:t xml:space="preserve">best and is superior to the other models using a </w:t>
      </w:r>
      <w:r w:rsidR="6640569E" w:rsidRPr="3D0FDEB7">
        <w:rPr>
          <w:rFonts w:ascii="Times New Roman" w:eastAsia="Times New Roman" w:hAnsi="Times New Roman" w:cs="Times New Roman"/>
          <w:b/>
          <w:bCs/>
        </w:rPr>
        <w:t>r</w:t>
      </w:r>
      <w:r w:rsidR="39D04EA2" w:rsidRPr="3D0FDEB7">
        <w:rPr>
          <w:rFonts w:ascii="Times New Roman" w:eastAsia="Times New Roman" w:hAnsi="Times New Roman" w:cs="Times New Roman"/>
          <w:b/>
          <w:bCs/>
        </w:rPr>
        <w:t xml:space="preserve">egion </w:t>
      </w:r>
      <w:r w:rsidR="5AD490BF" w:rsidRPr="3D0FDEB7">
        <w:rPr>
          <w:rFonts w:ascii="Times New Roman" w:eastAsia="Times New Roman" w:hAnsi="Times New Roman" w:cs="Times New Roman"/>
          <w:b/>
          <w:bCs/>
        </w:rPr>
        <w:t>o</w:t>
      </w:r>
      <w:r w:rsidR="39D04EA2" w:rsidRPr="3D0FDEB7">
        <w:rPr>
          <w:rFonts w:ascii="Times New Roman" w:eastAsia="Times New Roman" w:hAnsi="Times New Roman" w:cs="Times New Roman"/>
          <w:b/>
          <w:bCs/>
        </w:rPr>
        <w:t xml:space="preserve">f </w:t>
      </w:r>
      <w:r w:rsidR="0AB1926B" w:rsidRPr="3D0FDEB7">
        <w:rPr>
          <w:rFonts w:ascii="Times New Roman" w:eastAsia="Times New Roman" w:hAnsi="Times New Roman" w:cs="Times New Roman"/>
          <w:b/>
          <w:bCs/>
        </w:rPr>
        <w:t>p</w:t>
      </w:r>
      <w:r w:rsidR="39D04EA2" w:rsidRPr="3D0FDEB7">
        <w:rPr>
          <w:rFonts w:ascii="Times New Roman" w:eastAsia="Times New Roman" w:hAnsi="Times New Roman" w:cs="Times New Roman"/>
          <w:b/>
          <w:bCs/>
        </w:rPr>
        <w:t xml:space="preserve">ractical </w:t>
      </w:r>
      <w:r w:rsidR="0986664F" w:rsidRPr="3D0FDEB7">
        <w:rPr>
          <w:rFonts w:ascii="Times New Roman" w:eastAsia="Times New Roman" w:hAnsi="Times New Roman" w:cs="Times New Roman"/>
          <w:b/>
          <w:bCs/>
        </w:rPr>
        <w:t>e</w:t>
      </w:r>
      <w:r w:rsidR="39D04EA2" w:rsidRPr="3D0FDEB7">
        <w:rPr>
          <w:rFonts w:ascii="Times New Roman" w:eastAsia="Times New Roman" w:hAnsi="Times New Roman" w:cs="Times New Roman"/>
          <w:b/>
          <w:bCs/>
        </w:rPr>
        <w:t xml:space="preserve">quivalence </w:t>
      </w:r>
      <w:r w:rsidR="0577C51A" w:rsidRPr="3D0FDEB7">
        <w:rPr>
          <w:rFonts w:ascii="Times New Roman" w:eastAsia="Times New Roman" w:hAnsi="Times New Roman" w:cs="Times New Roman"/>
          <w:b/>
          <w:bCs/>
        </w:rPr>
        <w:t>of 0</w:t>
      </w:r>
      <w:r w:rsidR="09123354" w:rsidRPr="3D0FDEB7">
        <w:rPr>
          <w:rFonts w:ascii="Times New Roman" w:eastAsia="Times New Roman" w:hAnsi="Times New Roman" w:cs="Times New Roman"/>
          <w:b/>
          <w:bCs/>
        </w:rPr>
        <w:t>.</w:t>
      </w:r>
      <w:r w:rsidR="6318A36C" w:rsidRPr="3D0FDEB7">
        <w:rPr>
          <w:rFonts w:ascii="Times New Roman" w:eastAsia="Times New Roman" w:hAnsi="Times New Roman" w:cs="Times New Roman"/>
          <w:b/>
          <w:bCs/>
        </w:rPr>
        <w:t>005 and 0.01.</w:t>
      </w:r>
    </w:p>
    <w:p w14:paraId="6430DD3C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55FF9FC6" w14:textId="77777777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2BB319BC" w14:textId="77777777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3EFF6A40" w14:textId="77777777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64DACA40" w14:textId="77777777" w:rsidR="00DE56E6" w:rsidRDefault="00DE56E6" w:rsidP="3D0FDEB7">
      <w:pPr>
        <w:rPr>
          <w:rFonts w:ascii="Times New Roman" w:eastAsia="Times New Roman" w:hAnsi="Times New Roman" w:cs="Times New Roman"/>
        </w:rPr>
      </w:pPr>
    </w:p>
    <w:p w14:paraId="35E1D444" w14:textId="339911B1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p w14:paraId="00FFF66C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0A6670AE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16F27644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675774C7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13174F9C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745B9EC5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28326442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2D9D01BE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783B411B" w14:textId="77777777" w:rsidR="00DE56E6" w:rsidRDefault="00DE56E6" w:rsidP="00DE56E6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B0B5B1D" wp14:editId="7ECC0978">
            <wp:extent cx="5943600" cy="3219450"/>
            <wp:effectExtent l="0" t="0" r="0" b="0"/>
            <wp:docPr id="665478292" name="Picture 665478292" descr="A graph with a line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478292" name="Picture 665478292" descr="A graph with a line and tex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D9F0C" w14:textId="78109516" w:rsidR="00DE56E6" w:rsidRDefault="00C1036E" w:rsidP="00DE56E6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="00DE56E6" w:rsidRPr="3D0FDEB7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20AFD">
        <w:rPr>
          <w:rFonts w:ascii="Times New Roman" w:eastAsia="Times New Roman" w:hAnsi="Times New Roman" w:cs="Times New Roman"/>
          <w:b/>
          <w:bCs/>
        </w:rPr>
        <w:t>10</w:t>
      </w:r>
      <w:r w:rsidR="00DE56E6" w:rsidRPr="3D0FDEB7">
        <w:rPr>
          <w:rFonts w:ascii="Times New Roman" w:eastAsia="Times New Roman" w:hAnsi="Times New Roman" w:cs="Times New Roman"/>
          <w:b/>
          <w:bCs/>
        </w:rPr>
        <w:t>: Data splitting results at the 50</w:t>
      </w:r>
      <w:r w:rsidR="00DE56E6" w:rsidRPr="3D0FDEB7">
        <w:rPr>
          <w:rFonts w:ascii="Times New Roman" w:eastAsia="Times New Roman" w:hAnsi="Times New Roman" w:cs="Times New Roman"/>
          <w:b/>
          <w:bCs/>
          <w:vertAlign w:val="superscript"/>
        </w:rPr>
        <w:t>th</w:t>
      </w:r>
      <w:r w:rsidR="00DE56E6" w:rsidRPr="3D0FDEB7">
        <w:rPr>
          <w:rFonts w:ascii="Times New Roman" w:eastAsia="Times New Roman" w:hAnsi="Times New Roman" w:cs="Times New Roman"/>
          <w:b/>
          <w:bCs/>
        </w:rPr>
        <w:t xml:space="preserve"> quantile. There is little improvement in the model's predictive performance when adding predictors beyond the top four (top4): baseline gait speed, number of comorbidities, age and BMI. Models with ranks 1 through 4 are equivalent using a region of practical equivalence of 0.005.</w:t>
      </w:r>
    </w:p>
    <w:p w14:paraId="16536AA9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502F7E59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5C7179E4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19063DDF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1A9351EF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2C861050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195C0750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30EDE293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4D2FC68A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0ACCDB1D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17707E0A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00D3FC78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407FB4DC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4818C1EC" w14:textId="77777777" w:rsidR="00DE56E6" w:rsidRDefault="00DE56E6" w:rsidP="00DE56E6">
      <w:pPr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32DCF0E" wp14:editId="2E2CA99A">
            <wp:extent cx="5943600" cy="3219450"/>
            <wp:effectExtent l="0" t="0" r="0" b="0"/>
            <wp:docPr id="1668467982" name="Picture 1668467982" descr="A line graph of different colo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67982" name="Picture 1668467982" descr="A line graph of different color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44A28" w14:textId="06DE250E" w:rsidR="00DE56E6" w:rsidRDefault="00C1036E" w:rsidP="00DE56E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="00DE56E6" w:rsidRPr="06EF0ACF">
        <w:rPr>
          <w:rFonts w:ascii="Times New Roman" w:eastAsia="Times New Roman" w:hAnsi="Times New Roman" w:cs="Times New Roman"/>
          <w:b/>
          <w:bCs/>
        </w:rPr>
        <w:t>Figure 1</w:t>
      </w:r>
      <w:r w:rsidR="00D20AFD">
        <w:rPr>
          <w:rFonts w:ascii="Times New Roman" w:eastAsia="Times New Roman" w:hAnsi="Times New Roman" w:cs="Times New Roman"/>
          <w:b/>
          <w:bCs/>
        </w:rPr>
        <w:t>1</w:t>
      </w:r>
      <w:r w:rsidR="00DE56E6" w:rsidRPr="06EF0ACF">
        <w:rPr>
          <w:rFonts w:ascii="Times New Roman" w:eastAsia="Times New Roman" w:hAnsi="Times New Roman" w:cs="Times New Roman"/>
          <w:b/>
          <w:bCs/>
        </w:rPr>
        <w:t>: Illustrates how chronological age affects gait speed at follow-up 1 across the three quantiles. As the quantiles increase, participants less than 60 years old have a sharper decline in gait speed. The 95% CIs are point-wise confidence intervals.</w:t>
      </w:r>
    </w:p>
    <w:p w14:paraId="7D6B0920" w14:textId="77777777" w:rsidR="00DE56E6" w:rsidRDefault="00DE56E6" w:rsidP="00DE56E6">
      <w:pPr>
        <w:rPr>
          <w:rFonts w:ascii="Times New Roman" w:eastAsia="Times New Roman" w:hAnsi="Times New Roman" w:cs="Times New Roman"/>
          <w:b/>
          <w:bCs/>
        </w:rPr>
      </w:pPr>
    </w:p>
    <w:p w14:paraId="1345CFA2" w14:textId="77777777" w:rsidR="00DE56E6" w:rsidRDefault="00DE56E6" w:rsidP="00DE56E6">
      <w:pPr>
        <w:tabs>
          <w:tab w:val="left" w:pos="1485"/>
        </w:tabs>
        <w:rPr>
          <w:rFonts w:ascii="Times New Roman" w:eastAsia="Times New Roman" w:hAnsi="Times New Roman" w:cs="Times New Roman"/>
        </w:rPr>
      </w:pPr>
    </w:p>
    <w:p w14:paraId="30818767" w14:textId="2095455C" w:rsidR="3D0FDEB7" w:rsidRDefault="3D0FDEB7" w:rsidP="3D0FDEB7">
      <w:pPr>
        <w:rPr>
          <w:rFonts w:ascii="Times New Roman" w:eastAsia="Times New Roman" w:hAnsi="Times New Roman" w:cs="Times New Roman"/>
          <w:b/>
          <w:bCs/>
        </w:rPr>
      </w:pPr>
      <w:r w:rsidRPr="00DE56E6">
        <w:rPr>
          <w:rFonts w:ascii="Times New Roman" w:eastAsia="Times New Roman" w:hAnsi="Times New Roman" w:cs="Times New Roman"/>
        </w:rPr>
        <w:br w:type="page"/>
      </w:r>
      <w:r w:rsidR="6257EE06">
        <w:rPr>
          <w:noProof/>
        </w:rPr>
        <w:lastRenderedPageBreak/>
        <w:drawing>
          <wp:inline distT="0" distB="0" distL="0" distR="0" wp14:anchorId="34097971" wp14:editId="32F2E22A">
            <wp:extent cx="5943600" cy="3219450"/>
            <wp:effectExtent l="0" t="0" r="0" b="0"/>
            <wp:docPr id="64680594" name="Picture 64680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="6257EE06" w:rsidRPr="3D0FDEB7">
        <w:rPr>
          <w:rFonts w:ascii="Times New Roman" w:eastAsia="Times New Roman" w:hAnsi="Times New Roman" w:cs="Times New Roman"/>
          <w:b/>
          <w:bCs/>
        </w:rPr>
        <w:t xml:space="preserve">Figure </w:t>
      </w:r>
      <w:r w:rsidR="00DE56E6">
        <w:rPr>
          <w:rFonts w:ascii="Times New Roman" w:eastAsia="Times New Roman" w:hAnsi="Times New Roman" w:cs="Times New Roman"/>
          <w:b/>
          <w:bCs/>
        </w:rPr>
        <w:t>1</w:t>
      </w:r>
      <w:r w:rsidR="00D20AFD">
        <w:rPr>
          <w:rFonts w:ascii="Times New Roman" w:eastAsia="Times New Roman" w:hAnsi="Times New Roman" w:cs="Times New Roman"/>
          <w:b/>
          <w:bCs/>
        </w:rPr>
        <w:t>2</w:t>
      </w:r>
      <w:r w:rsidR="6257EE06" w:rsidRPr="3D0FDEB7">
        <w:rPr>
          <w:rFonts w:ascii="Times New Roman" w:eastAsia="Times New Roman" w:hAnsi="Times New Roman" w:cs="Times New Roman"/>
          <w:b/>
          <w:bCs/>
        </w:rPr>
        <w:t>:</w:t>
      </w:r>
      <w:r w:rsidR="6114E5A8" w:rsidRPr="3D0FDEB7">
        <w:rPr>
          <w:rFonts w:ascii="Times New Roman" w:eastAsia="Times New Roman" w:hAnsi="Times New Roman" w:cs="Times New Roman"/>
          <w:b/>
          <w:bCs/>
        </w:rPr>
        <w:t xml:space="preserve"> Depicts how </w:t>
      </w:r>
      <w:r w:rsidR="6114E5A8" w:rsidRPr="3D0FDEB7">
        <w:rPr>
          <w:rFonts w:ascii="Times New Roman" w:eastAsia="Times New Roman" w:hAnsi="Times New Roman" w:cs="Times New Roman"/>
          <w:b/>
          <w:bCs/>
          <w:color w:val="000000" w:themeColor="text1"/>
        </w:rPr>
        <w:t>10-year probability of hip fracture</w:t>
      </w:r>
      <w:r w:rsidR="6114E5A8" w:rsidRPr="3D0FDEB7">
        <w:rPr>
          <w:rFonts w:ascii="Times New Roman" w:eastAsia="Times New Roman" w:hAnsi="Times New Roman" w:cs="Times New Roman"/>
          <w:b/>
          <w:bCs/>
        </w:rPr>
        <w:t xml:space="preserve"> affects the </w:t>
      </w:r>
      <w:r w:rsidR="3381249F" w:rsidRPr="3D0FDEB7">
        <w:rPr>
          <w:rFonts w:ascii="Times New Roman" w:eastAsia="Times New Roman" w:hAnsi="Times New Roman" w:cs="Times New Roman"/>
          <w:b/>
          <w:bCs/>
        </w:rPr>
        <w:t>16</w:t>
      </w:r>
      <w:r w:rsidR="6114E5A8" w:rsidRPr="3D0FDEB7">
        <w:rPr>
          <w:rFonts w:ascii="Times New Roman" w:eastAsia="Times New Roman" w:hAnsi="Times New Roman" w:cs="Times New Roman"/>
          <w:b/>
          <w:bCs/>
          <w:vertAlign w:val="superscript"/>
        </w:rPr>
        <w:t>th</w:t>
      </w:r>
      <w:r w:rsidR="6114E5A8" w:rsidRPr="3D0FDEB7">
        <w:rPr>
          <w:rFonts w:ascii="Times New Roman" w:eastAsia="Times New Roman" w:hAnsi="Times New Roman" w:cs="Times New Roman"/>
          <w:b/>
          <w:bCs/>
        </w:rPr>
        <w:t xml:space="preserve"> quantile of gait speed at 3 years. There is a </w:t>
      </w:r>
      <w:r w:rsidR="69068524" w:rsidRPr="3D0FDEB7">
        <w:rPr>
          <w:rFonts w:ascii="Times New Roman" w:eastAsia="Times New Roman" w:hAnsi="Times New Roman" w:cs="Times New Roman"/>
          <w:b/>
          <w:bCs/>
        </w:rPr>
        <w:t xml:space="preserve">rapid decline in the 16th quantile, which slows as </w:t>
      </w:r>
      <w:r w:rsidR="7BABCFE7" w:rsidRPr="3D0FDEB7">
        <w:rPr>
          <w:rFonts w:ascii="Times New Roman" w:eastAsia="Times New Roman" w:hAnsi="Times New Roman" w:cs="Times New Roman"/>
          <w:b/>
          <w:bCs/>
        </w:rPr>
        <w:t xml:space="preserve">the probability </w:t>
      </w:r>
      <w:r w:rsidR="6114E5A8" w:rsidRPr="3D0FDEB7">
        <w:rPr>
          <w:rFonts w:ascii="Times New Roman" w:eastAsia="Times New Roman" w:hAnsi="Times New Roman" w:cs="Times New Roman"/>
          <w:b/>
          <w:bCs/>
        </w:rPr>
        <w:t>approach</w:t>
      </w:r>
      <w:r w:rsidR="14D413A1" w:rsidRPr="3D0FDEB7">
        <w:rPr>
          <w:rFonts w:ascii="Times New Roman" w:eastAsia="Times New Roman" w:hAnsi="Times New Roman" w:cs="Times New Roman"/>
          <w:b/>
          <w:bCs/>
        </w:rPr>
        <w:t>es</w:t>
      </w:r>
      <w:r w:rsidR="6114E5A8" w:rsidRPr="3D0FDEB7">
        <w:rPr>
          <w:rFonts w:ascii="Times New Roman" w:eastAsia="Times New Roman" w:hAnsi="Times New Roman" w:cs="Times New Roman"/>
          <w:b/>
          <w:bCs/>
        </w:rPr>
        <w:t xml:space="preserve"> </w:t>
      </w:r>
      <w:r w:rsidR="30D8ECAE" w:rsidRPr="3D0FDEB7">
        <w:rPr>
          <w:rFonts w:ascii="Times New Roman" w:eastAsia="Times New Roman" w:hAnsi="Times New Roman" w:cs="Times New Roman"/>
          <w:b/>
          <w:bCs/>
        </w:rPr>
        <w:t>5%</w:t>
      </w:r>
      <w:r w:rsidR="6114E5A8" w:rsidRPr="3D0FDEB7">
        <w:rPr>
          <w:rFonts w:ascii="Times New Roman" w:eastAsia="Times New Roman" w:hAnsi="Times New Roman" w:cs="Times New Roman"/>
          <w:b/>
          <w:bCs/>
        </w:rPr>
        <w:t>. The 95% CIs are point-wise confidence intervals.</w:t>
      </w:r>
    </w:p>
    <w:p w14:paraId="540AA140" w14:textId="1004FECF" w:rsidR="3D0FDEB7" w:rsidRDefault="3D0FDEB7" w:rsidP="3D0FDEB7">
      <w:pPr>
        <w:rPr>
          <w:rFonts w:ascii="Times New Roman" w:eastAsia="Times New Roman" w:hAnsi="Times New Roman" w:cs="Times New Roman"/>
        </w:rPr>
      </w:pPr>
    </w:p>
    <w:p w14:paraId="36BD85F3" w14:textId="2AF5810B" w:rsidR="00DE56E6" w:rsidRPr="00DE56E6" w:rsidRDefault="00DE56E6" w:rsidP="00DE56E6">
      <w:pPr>
        <w:rPr>
          <w:rFonts w:ascii="Times New Roman" w:eastAsia="Times New Roman" w:hAnsi="Times New Roman" w:cs="Times New Roman"/>
        </w:rPr>
      </w:pPr>
    </w:p>
    <w:p w14:paraId="5713A015" w14:textId="6DF07054" w:rsidR="3D0FDEB7" w:rsidRPr="00DE56E6" w:rsidRDefault="3D0FDEB7" w:rsidP="3D0FDEB7">
      <w:pPr>
        <w:rPr>
          <w:rFonts w:ascii="Times New Roman" w:eastAsia="Times New Roman" w:hAnsi="Times New Roman" w:cs="Times New Roman"/>
          <w:b/>
          <w:bCs/>
        </w:rPr>
      </w:pPr>
      <w:r w:rsidRPr="00DE56E6">
        <w:br w:type="page"/>
      </w:r>
    </w:p>
    <w:p w14:paraId="211E1E2D" w14:textId="29A4BC56" w:rsidR="4BF89E5B" w:rsidRDefault="4BF89E5B" w:rsidP="3D0FDEB7">
      <w:pPr>
        <w:rPr>
          <w:rFonts w:ascii="Times New Roman" w:eastAsia="Times New Roman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26671BC6" wp14:editId="7C889E85">
            <wp:extent cx="5943600" cy="4343400"/>
            <wp:effectExtent l="0" t="0" r="0" b="0"/>
            <wp:docPr id="1907131984" name="Picture 1907131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36E" w:rsidRPr="00C1036E">
        <w:rPr>
          <w:rFonts w:ascii="Times New Roman" w:eastAsia="Times New Roman" w:hAnsi="Times New Roman" w:cs="Times New Roman"/>
          <w:b/>
          <w:bCs/>
        </w:rPr>
        <w:t xml:space="preserve"> </w:t>
      </w:r>
      <w:r w:rsidR="00C1036E">
        <w:rPr>
          <w:rFonts w:ascii="Times New Roman" w:eastAsia="Times New Roman" w:hAnsi="Times New Roman" w:cs="Times New Roman"/>
          <w:b/>
          <w:bCs/>
        </w:rPr>
        <w:t xml:space="preserve">Supplemental </w:t>
      </w:r>
      <w:r w:rsidRPr="3D0FDEB7">
        <w:rPr>
          <w:rFonts w:ascii="Times New Roman" w:eastAsia="Times New Roman" w:hAnsi="Times New Roman" w:cs="Times New Roman"/>
          <w:b/>
          <w:bCs/>
        </w:rPr>
        <w:t xml:space="preserve">Figure </w:t>
      </w:r>
      <w:r w:rsidR="37D788E8" w:rsidRPr="3D0FDEB7">
        <w:rPr>
          <w:rFonts w:ascii="Times New Roman" w:eastAsia="Times New Roman" w:hAnsi="Times New Roman" w:cs="Times New Roman"/>
          <w:b/>
          <w:bCs/>
        </w:rPr>
        <w:t>1</w:t>
      </w:r>
      <w:r w:rsidR="00D20AFD">
        <w:rPr>
          <w:rFonts w:ascii="Times New Roman" w:eastAsia="Times New Roman" w:hAnsi="Times New Roman" w:cs="Times New Roman"/>
          <w:b/>
          <w:bCs/>
        </w:rPr>
        <w:t>3</w:t>
      </w:r>
      <w:r w:rsidR="0BD36A49" w:rsidRPr="3D0FDEB7">
        <w:rPr>
          <w:rFonts w:ascii="Times New Roman" w:eastAsia="Times New Roman" w:hAnsi="Times New Roman" w:cs="Times New Roman"/>
          <w:b/>
          <w:bCs/>
        </w:rPr>
        <w:t>: Depicts</w:t>
      </w:r>
      <w:r w:rsidR="7FBA36E4" w:rsidRPr="3D0FDEB7">
        <w:rPr>
          <w:rFonts w:ascii="Times New Roman" w:eastAsia="Times New Roman" w:hAnsi="Times New Roman" w:cs="Times New Roman"/>
          <w:b/>
          <w:bCs/>
        </w:rPr>
        <w:t xml:space="preserve"> how </w:t>
      </w:r>
      <w:r w:rsidR="077B0E8C" w:rsidRPr="3D0FDEB7">
        <w:rPr>
          <w:rFonts w:ascii="Times New Roman" w:eastAsia="Times New Roman" w:hAnsi="Times New Roman" w:cs="Times New Roman"/>
          <w:b/>
          <w:bCs/>
        </w:rPr>
        <w:t>m</w:t>
      </w:r>
      <w:r w:rsidR="077B0E8C" w:rsidRPr="3D0FDEB7">
        <w:rPr>
          <w:rFonts w:ascii="Times New Roman" w:eastAsia="Times New Roman" w:hAnsi="Times New Roman" w:cs="Times New Roman"/>
          <w:b/>
          <w:bCs/>
          <w:color w:val="000000" w:themeColor="text1"/>
        </w:rPr>
        <w:t>ean reaction time</w:t>
      </w:r>
      <w:r w:rsidR="7FBA36E4" w:rsidRPr="3D0FDEB7">
        <w:rPr>
          <w:rFonts w:ascii="Times New Roman" w:eastAsia="Times New Roman" w:hAnsi="Times New Roman" w:cs="Times New Roman"/>
          <w:b/>
          <w:bCs/>
        </w:rPr>
        <w:t xml:space="preserve"> affects</w:t>
      </w:r>
      <w:r w:rsidR="2C94EB43" w:rsidRPr="3D0FDEB7">
        <w:rPr>
          <w:rFonts w:ascii="Times New Roman" w:eastAsia="Times New Roman" w:hAnsi="Times New Roman" w:cs="Times New Roman"/>
          <w:b/>
          <w:bCs/>
        </w:rPr>
        <w:t xml:space="preserve"> the 78th quantile of</w:t>
      </w:r>
      <w:r w:rsidR="7FBA36E4" w:rsidRPr="3D0FDEB7">
        <w:rPr>
          <w:rFonts w:ascii="Times New Roman" w:eastAsia="Times New Roman" w:hAnsi="Times New Roman" w:cs="Times New Roman"/>
          <w:b/>
          <w:bCs/>
        </w:rPr>
        <w:t xml:space="preserve"> gait speed at 3 years.</w:t>
      </w:r>
      <w:r w:rsidR="01821336" w:rsidRPr="3D0FDEB7">
        <w:rPr>
          <w:rFonts w:ascii="Times New Roman" w:eastAsia="Times New Roman" w:hAnsi="Times New Roman" w:cs="Times New Roman"/>
          <w:b/>
          <w:bCs/>
        </w:rPr>
        <w:t xml:space="preserve"> There is a slope change approaching 1000ms, </w:t>
      </w:r>
      <w:r w:rsidR="489C821B" w:rsidRPr="3D0FDEB7">
        <w:rPr>
          <w:rFonts w:ascii="Times New Roman" w:eastAsia="Times New Roman" w:hAnsi="Times New Roman" w:cs="Times New Roman"/>
          <w:b/>
          <w:bCs/>
        </w:rPr>
        <w:t>attenuating</w:t>
      </w:r>
      <w:r w:rsidR="01821336" w:rsidRPr="3D0FDEB7">
        <w:rPr>
          <w:rFonts w:ascii="Times New Roman" w:eastAsia="Times New Roman" w:hAnsi="Times New Roman" w:cs="Times New Roman"/>
          <w:b/>
          <w:bCs/>
        </w:rPr>
        <w:t xml:space="preserve"> the dec</w:t>
      </w:r>
      <w:r w:rsidR="3EF6C68B" w:rsidRPr="3D0FDEB7">
        <w:rPr>
          <w:rFonts w:ascii="Times New Roman" w:eastAsia="Times New Roman" w:hAnsi="Times New Roman" w:cs="Times New Roman"/>
          <w:b/>
          <w:bCs/>
        </w:rPr>
        <w:t xml:space="preserve">line in </w:t>
      </w:r>
      <w:r w:rsidR="3CEBF282" w:rsidRPr="3D0FDEB7">
        <w:rPr>
          <w:rFonts w:ascii="Times New Roman" w:eastAsia="Times New Roman" w:hAnsi="Times New Roman" w:cs="Times New Roman"/>
          <w:b/>
          <w:bCs/>
        </w:rPr>
        <w:t>the 78th quantile</w:t>
      </w:r>
      <w:r w:rsidR="01821336" w:rsidRPr="3D0FDEB7">
        <w:rPr>
          <w:rFonts w:ascii="Times New Roman" w:eastAsia="Times New Roman" w:hAnsi="Times New Roman" w:cs="Times New Roman"/>
          <w:b/>
          <w:bCs/>
        </w:rPr>
        <w:t>. The</w:t>
      </w:r>
      <w:r w:rsidR="7FBA36E4" w:rsidRPr="3D0FDEB7">
        <w:rPr>
          <w:rFonts w:ascii="Times New Roman" w:eastAsia="Times New Roman" w:hAnsi="Times New Roman" w:cs="Times New Roman"/>
          <w:b/>
          <w:bCs/>
        </w:rPr>
        <w:t xml:space="preserve"> 95% CIs are point-wise confidence intervals</w:t>
      </w:r>
      <w:r w:rsidR="74FEA0E5" w:rsidRPr="3D0FDEB7">
        <w:rPr>
          <w:rFonts w:ascii="Times New Roman" w:eastAsia="Times New Roman" w:hAnsi="Times New Roman" w:cs="Times New Roman"/>
          <w:b/>
          <w:bCs/>
        </w:rPr>
        <w:t>.</w:t>
      </w:r>
    </w:p>
    <w:p w14:paraId="2635F3EA" w14:textId="2E227166" w:rsidR="3D0FDEB7" w:rsidRDefault="3D0FDEB7" w:rsidP="3D0FDEB7">
      <w:pPr>
        <w:rPr>
          <w:rFonts w:ascii="Times New Roman" w:eastAsia="Times New Roman" w:hAnsi="Times New Roman" w:cs="Times New Roman"/>
        </w:rPr>
      </w:pPr>
    </w:p>
    <w:p w14:paraId="088C1353" w14:textId="0F9082D5" w:rsidR="3D0FDEB7" w:rsidRDefault="3D0FDEB7" w:rsidP="3D0FDEB7">
      <w:pPr>
        <w:rPr>
          <w:rFonts w:ascii="Times New Roman" w:eastAsia="Times New Roman" w:hAnsi="Times New Roman" w:cs="Times New Roman"/>
        </w:rPr>
      </w:pPr>
    </w:p>
    <w:p w14:paraId="1A94EC5A" w14:textId="22F960B8" w:rsidR="3D0FDEB7" w:rsidRDefault="3D0FDEB7" w:rsidP="3D0FDEB7">
      <w:pPr>
        <w:rPr>
          <w:rFonts w:ascii="Times New Roman" w:eastAsia="Times New Roman" w:hAnsi="Times New Roman" w:cs="Times New Roman"/>
        </w:rPr>
      </w:pPr>
    </w:p>
    <w:p w14:paraId="5902795E" w14:textId="35B59115" w:rsidR="06EF0ACF" w:rsidRPr="00DE56E6" w:rsidRDefault="06EF0ACF">
      <w:pPr>
        <w:rPr>
          <w:rFonts w:ascii="Times New Roman" w:eastAsia="Times New Roman" w:hAnsi="Times New Roman" w:cs="Times New Roman"/>
        </w:rPr>
      </w:pPr>
    </w:p>
    <w:sectPr w:rsidR="06EF0ACF" w:rsidRPr="00DE56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76099" w14:textId="77777777" w:rsidR="003874E0" w:rsidRDefault="003874E0" w:rsidP="00DE56E6">
      <w:pPr>
        <w:spacing w:after="0" w:line="240" w:lineRule="auto"/>
      </w:pPr>
      <w:r>
        <w:separator/>
      </w:r>
    </w:p>
  </w:endnote>
  <w:endnote w:type="continuationSeparator" w:id="0">
    <w:p w14:paraId="5DC20C3C" w14:textId="77777777" w:rsidR="003874E0" w:rsidRDefault="003874E0" w:rsidP="00DE56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C5AEF8" w14:textId="77777777" w:rsidR="003874E0" w:rsidRDefault="003874E0" w:rsidP="00DE56E6">
      <w:pPr>
        <w:spacing w:after="0" w:line="240" w:lineRule="auto"/>
      </w:pPr>
      <w:r>
        <w:separator/>
      </w:r>
    </w:p>
  </w:footnote>
  <w:footnote w:type="continuationSeparator" w:id="0">
    <w:p w14:paraId="3A3C20BD" w14:textId="77777777" w:rsidR="003874E0" w:rsidRDefault="003874E0" w:rsidP="00DE56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0AEC318"/>
    <w:rsid w:val="00314A67"/>
    <w:rsid w:val="00320C25"/>
    <w:rsid w:val="003874E0"/>
    <w:rsid w:val="005F1774"/>
    <w:rsid w:val="00B32DE5"/>
    <w:rsid w:val="00B34018"/>
    <w:rsid w:val="00C1036E"/>
    <w:rsid w:val="00CC0547"/>
    <w:rsid w:val="00D20AFD"/>
    <w:rsid w:val="00DE56E6"/>
    <w:rsid w:val="00E85E8D"/>
    <w:rsid w:val="00EF7D2A"/>
    <w:rsid w:val="012F0431"/>
    <w:rsid w:val="01821336"/>
    <w:rsid w:val="01AF22C7"/>
    <w:rsid w:val="01B52971"/>
    <w:rsid w:val="023B0C26"/>
    <w:rsid w:val="028976B6"/>
    <w:rsid w:val="02DAECD8"/>
    <w:rsid w:val="04166246"/>
    <w:rsid w:val="044958A9"/>
    <w:rsid w:val="05763ADF"/>
    <w:rsid w:val="0577C51A"/>
    <w:rsid w:val="05DAF0A3"/>
    <w:rsid w:val="06EF0ACF"/>
    <w:rsid w:val="077B0E8C"/>
    <w:rsid w:val="07FC4EDC"/>
    <w:rsid w:val="0853A47F"/>
    <w:rsid w:val="09123354"/>
    <w:rsid w:val="0986664F"/>
    <w:rsid w:val="0A4E4912"/>
    <w:rsid w:val="0A7626C9"/>
    <w:rsid w:val="0AAEC264"/>
    <w:rsid w:val="0AB1926B"/>
    <w:rsid w:val="0B194B01"/>
    <w:rsid w:val="0BD36A49"/>
    <w:rsid w:val="0C891452"/>
    <w:rsid w:val="0D1FFAC2"/>
    <w:rsid w:val="0ECB9F50"/>
    <w:rsid w:val="0ED567F6"/>
    <w:rsid w:val="0F45437A"/>
    <w:rsid w:val="10101760"/>
    <w:rsid w:val="10332DCF"/>
    <w:rsid w:val="10856719"/>
    <w:rsid w:val="12C5EC9D"/>
    <w:rsid w:val="1319159A"/>
    <w:rsid w:val="143E3C65"/>
    <w:rsid w:val="144AFB1E"/>
    <w:rsid w:val="14D413A1"/>
    <w:rsid w:val="1524CDE4"/>
    <w:rsid w:val="1601F3BF"/>
    <w:rsid w:val="166222AD"/>
    <w:rsid w:val="166AC057"/>
    <w:rsid w:val="16BED8D4"/>
    <w:rsid w:val="1A0DC74E"/>
    <w:rsid w:val="1A148AFE"/>
    <w:rsid w:val="1A8BF907"/>
    <w:rsid w:val="1AF23FDF"/>
    <w:rsid w:val="1B550786"/>
    <w:rsid w:val="1BA3B2ED"/>
    <w:rsid w:val="1CD7EB24"/>
    <w:rsid w:val="1D2889A1"/>
    <w:rsid w:val="1D76B001"/>
    <w:rsid w:val="1ED2D82D"/>
    <w:rsid w:val="1EFF4A85"/>
    <w:rsid w:val="1F8F8009"/>
    <w:rsid w:val="1FBAACF7"/>
    <w:rsid w:val="2077E8B6"/>
    <w:rsid w:val="211D4355"/>
    <w:rsid w:val="21A06A62"/>
    <w:rsid w:val="22A2B83A"/>
    <w:rsid w:val="23A28F1C"/>
    <w:rsid w:val="24CF43A9"/>
    <w:rsid w:val="255E582A"/>
    <w:rsid w:val="25E7C307"/>
    <w:rsid w:val="28AC4527"/>
    <w:rsid w:val="2AC0FBC7"/>
    <w:rsid w:val="2B26E173"/>
    <w:rsid w:val="2BDA11B6"/>
    <w:rsid w:val="2C94EB43"/>
    <w:rsid w:val="2CDA6264"/>
    <w:rsid w:val="2CE4DE5A"/>
    <w:rsid w:val="2D8EA907"/>
    <w:rsid w:val="2DA741C0"/>
    <w:rsid w:val="2E5DAC1E"/>
    <w:rsid w:val="30D8ECAE"/>
    <w:rsid w:val="31395E76"/>
    <w:rsid w:val="31F2F8C8"/>
    <w:rsid w:val="3248CF6E"/>
    <w:rsid w:val="32655378"/>
    <w:rsid w:val="32B6612A"/>
    <w:rsid w:val="3381249F"/>
    <w:rsid w:val="33A1E717"/>
    <w:rsid w:val="3709373B"/>
    <w:rsid w:val="37D788E8"/>
    <w:rsid w:val="38F08BFF"/>
    <w:rsid w:val="38FF78C9"/>
    <w:rsid w:val="390290D0"/>
    <w:rsid w:val="397C5368"/>
    <w:rsid w:val="39D04EA2"/>
    <w:rsid w:val="3B6078E2"/>
    <w:rsid w:val="3CC41B34"/>
    <w:rsid w:val="3CEBF282"/>
    <w:rsid w:val="3D0FDEB7"/>
    <w:rsid w:val="3D1E0E0A"/>
    <w:rsid w:val="3D71D2A6"/>
    <w:rsid w:val="3EA2FD53"/>
    <w:rsid w:val="3EF6C68B"/>
    <w:rsid w:val="3F3915AE"/>
    <w:rsid w:val="3F8AC103"/>
    <w:rsid w:val="3FCB8085"/>
    <w:rsid w:val="408CDE2C"/>
    <w:rsid w:val="40AEC318"/>
    <w:rsid w:val="40CBF210"/>
    <w:rsid w:val="42018EA0"/>
    <w:rsid w:val="432CE3A4"/>
    <w:rsid w:val="467F1BA9"/>
    <w:rsid w:val="471CE36F"/>
    <w:rsid w:val="485372C9"/>
    <w:rsid w:val="489C821B"/>
    <w:rsid w:val="491A4E4C"/>
    <w:rsid w:val="49855300"/>
    <w:rsid w:val="49A32E95"/>
    <w:rsid w:val="4AA99D52"/>
    <w:rsid w:val="4B026008"/>
    <w:rsid w:val="4B62329D"/>
    <w:rsid w:val="4B768946"/>
    <w:rsid w:val="4BD13CB2"/>
    <w:rsid w:val="4BF89E5B"/>
    <w:rsid w:val="4D5C57A2"/>
    <w:rsid w:val="4DA8990D"/>
    <w:rsid w:val="4F7F362F"/>
    <w:rsid w:val="51047FB3"/>
    <w:rsid w:val="51110D47"/>
    <w:rsid w:val="513085F4"/>
    <w:rsid w:val="51A52D7C"/>
    <w:rsid w:val="52197843"/>
    <w:rsid w:val="5245AA80"/>
    <w:rsid w:val="530A6047"/>
    <w:rsid w:val="54492B86"/>
    <w:rsid w:val="558B4CD1"/>
    <w:rsid w:val="56368172"/>
    <w:rsid w:val="56BAD1A2"/>
    <w:rsid w:val="570F5B7D"/>
    <w:rsid w:val="57A0D267"/>
    <w:rsid w:val="580E1A7E"/>
    <w:rsid w:val="58118EB8"/>
    <w:rsid w:val="5866B536"/>
    <w:rsid w:val="58D3644A"/>
    <w:rsid w:val="58DAC85C"/>
    <w:rsid w:val="5AD490BF"/>
    <w:rsid w:val="5B537D58"/>
    <w:rsid w:val="5C2AB0FB"/>
    <w:rsid w:val="5ED1E534"/>
    <w:rsid w:val="5F7F3DDE"/>
    <w:rsid w:val="5F96036F"/>
    <w:rsid w:val="5FAEEFED"/>
    <w:rsid w:val="6084350F"/>
    <w:rsid w:val="60956B37"/>
    <w:rsid w:val="6114E5A8"/>
    <w:rsid w:val="61E69E10"/>
    <w:rsid w:val="6257EE06"/>
    <w:rsid w:val="626F6599"/>
    <w:rsid w:val="6318A36C"/>
    <w:rsid w:val="635E4F8B"/>
    <w:rsid w:val="63DD23E4"/>
    <w:rsid w:val="63EECF8F"/>
    <w:rsid w:val="63F89AC7"/>
    <w:rsid w:val="63FCAC0E"/>
    <w:rsid w:val="64EDE889"/>
    <w:rsid w:val="64F1BACE"/>
    <w:rsid w:val="6561EAC2"/>
    <w:rsid w:val="65B82281"/>
    <w:rsid w:val="6640569E"/>
    <w:rsid w:val="66590189"/>
    <w:rsid w:val="6687888E"/>
    <w:rsid w:val="6856AF9F"/>
    <w:rsid w:val="68614745"/>
    <w:rsid w:val="68C38073"/>
    <w:rsid w:val="69068524"/>
    <w:rsid w:val="695BECCF"/>
    <w:rsid w:val="69945B00"/>
    <w:rsid w:val="6AB761F9"/>
    <w:rsid w:val="6B975FCD"/>
    <w:rsid w:val="6C03EE03"/>
    <w:rsid w:val="6D07DDEB"/>
    <w:rsid w:val="6D94B0C4"/>
    <w:rsid w:val="6E82DA8F"/>
    <w:rsid w:val="6ED7292A"/>
    <w:rsid w:val="6F118530"/>
    <w:rsid w:val="71CD259B"/>
    <w:rsid w:val="71EDA66A"/>
    <w:rsid w:val="72FE829B"/>
    <w:rsid w:val="73601A3D"/>
    <w:rsid w:val="74C6386A"/>
    <w:rsid w:val="74FEA0E5"/>
    <w:rsid w:val="761D065D"/>
    <w:rsid w:val="77794769"/>
    <w:rsid w:val="77F6323C"/>
    <w:rsid w:val="782240D8"/>
    <w:rsid w:val="78CAECA2"/>
    <w:rsid w:val="7908EAE7"/>
    <w:rsid w:val="793E3B56"/>
    <w:rsid w:val="79467045"/>
    <w:rsid w:val="79C04DBE"/>
    <w:rsid w:val="79D17EC4"/>
    <w:rsid w:val="7B955FE5"/>
    <w:rsid w:val="7BABCFE7"/>
    <w:rsid w:val="7C00D521"/>
    <w:rsid w:val="7C4C119C"/>
    <w:rsid w:val="7D22C2BE"/>
    <w:rsid w:val="7EF45750"/>
    <w:rsid w:val="7F68DE08"/>
    <w:rsid w:val="7FBA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EC318"/>
  <w15:chartTrackingRefBased/>
  <w15:docId w15:val="{038437AB-3435-4E08-9970-8E83894B2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E5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56E6"/>
  </w:style>
  <w:style w:type="paragraph" w:styleId="Footer">
    <w:name w:val="footer"/>
    <w:basedOn w:val="Normal"/>
    <w:link w:val="FooterChar"/>
    <w:uiPriority w:val="99"/>
    <w:unhideWhenUsed/>
    <w:rsid w:val="00DE56E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56E6"/>
  </w:style>
  <w:style w:type="table" w:styleId="TableGrid">
    <w:name w:val="Table Grid"/>
    <w:basedOn w:val="TableNormal"/>
    <w:uiPriority w:val="39"/>
    <w:rsid w:val="00D20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1F487A9339744CB40B80950313E58A" ma:contentTypeVersion="11" ma:contentTypeDescription="Create a new document." ma:contentTypeScope="" ma:versionID="df9d84be8630d9b1dedd9da2ba02727a">
  <xsd:schema xmlns:xsd="http://www.w3.org/2001/XMLSchema" xmlns:xs="http://www.w3.org/2001/XMLSchema" xmlns:p="http://schemas.microsoft.com/office/2006/metadata/properties" xmlns:ns2="2689fd3f-6295-4667-a1f1-55248bdc480a" xmlns:ns3="06fee1de-ddd8-462f-80bf-1be2134815f4" targetNamespace="http://schemas.microsoft.com/office/2006/metadata/properties" ma:root="true" ma:fieldsID="e041e859529d96ec29fd1d2f25391ca4" ns2:_="" ns3:_="">
    <xsd:import namespace="2689fd3f-6295-4667-a1f1-55248bdc480a"/>
    <xsd:import namespace="06fee1de-ddd8-462f-80bf-1be2134815f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9fd3f-6295-4667-a1f1-55248bdc48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073764d-e844-48d8-8cbc-d63b9d9528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ee1de-ddd8-462f-80bf-1be2134815f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88da5861-947f-447a-8464-c15c70338941}" ma:internalName="TaxCatchAll" ma:showField="CatchAllData" ma:web="06fee1de-ddd8-462f-80bf-1be2134815f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fee1de-ddd8-462f-80bf-1be2134815f4" xsi:nil="true"/>
    <lcf76f155ced4ddcb4097134ff3c332f xmlns="2689fd3f-6295-4667-a1f1-55248bdc480a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EC1745-5F39-4399-BF0B-4634D87409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89fd3f-6295-4667-a1f1-55248bdc480a"/>
    <ds:schemaRef ds:uri="06fee1de-ddd8-462f-80bf-1be2134815f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03E0FD-2EB3-4B68-A20E-E5D6FAC046C2}">
  <ds:schemaRefs>
    <ds:schemaRef ds:uri="http://schemas.microsoft.com/office/2006/metadata/properties"/>
    <ds:schemaRef ds:uri="http://schemas.microsoft.com/office/infopath/2007/PartnerControls"/>
    <ds:schemaRef ds:uri="06fee1de-ddd8-462f-80bf-1be2134815f4"/>
    <ds:schemaRef ds:uri="2689fd3f-6295-4667-a1f1-55248bdc480a"/>
  </ds:schemaRefs>
</ds:datastoreItem>
</file>

<file path=customXml/itemProps3.xml><?xml version="1.0" encoding="utf-8"?>
<ds:datastoreItem xmlns:ds="http://schemas.openxmlformats.org/officeDocument/2006/customXml" ds:itemID="{2C350729-C013-40EB-AA9E-EAFCBC951B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20</Pages>
  <Words>2218</Words>
  <Characters>12002</Characters>
  <Application>Microsoft Office Word</Application>
  <DocSecurity>0</DocSecurity>
  <Lines>706</Lines>
  <Paragraphs>67</Paragraphs>
  <ScaleCrop>false</ScaleCrop>
  <Company/>
  <LinksUpToDate>false</LinksUpToDate>
  <CharactersWithSpaces>14153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Tait</dc:creator>
  <cp:keywords/>
  <dc:description/>
  <cp:lastModifiedBy>Talha Rafiq</cp:lastModifiedBy>
  <cp:revision>6</cp:revision>
  <dcterms:created xsi:type="dcterms:W3CDTF">2025-05-16T19:37:00Z</dcterms:created>
  <dcterms:modified xsi:type="dcterms:W3CDTF">2025-11-17T15:13:00Z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0x010100CC1F487A9339744CB40B80950313E58A</vt:lpwstr>
  </property>
  <property fmtid="{D5CDD505-2E9C-101B-9397-08002B2CF9AE}" pid="3" name="MediaServiceImageTags">
    <vt:lpwstr/>
  </property>
</Properties>
</file>