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Supplementary_table_descriptions" w:displacedByCustomXml="next"/>
    <w:bookmarkEnd w:id="0" w:displacedByCustomXml="next"/>
    <w:bookmarkStart w:id="1" w:name="_Ref189561131" w:displacedByCustomXml="next"/>
    <w:bookmarkStart w:id="2" w:name="_Ref189561133" w:displacedByCustomXml="next"/>
    <w:bookmarkStart w:id="3" w:name="_Ref189561135" w:displacedByCustomXml="next"/>
    <w:bookmarkStart w:id="4" w:name="_Ref189561138" w:displacedByCustomXml="next"/>
    <w:bookmarkStart w:id="5" w:name="_Toc194836068" w:displacedByCustomXml="next"/>
    <w:sdt>
      <w:sdtPr>
        <w:rPr>
          <w:rFonts w:ascii="Times New Roman" w:eastAsia="Times New Roman" w:hAnsi="Times New Roman" w:cs="Times New Roman"/>
          <w:b w:val="0"/>
          <w:bCs w:val="0"/>
          <w:color w:val="auto"/>
          <w:sz w:val="24"/>
          <w:szCs w:val="20"/>
          <w:lang w:val="en-CA" w:eastAsia="en-CA"/>
        </w:rPr>
        <w:id w:val="198598678"/>
        <w:docPartObj>
          <w:docPartGallery w:val="Table of Contents"/>
          <w:docPartUnique/>
        </w:docPartObj>
      </w:sdtPr>
      <w:sdtEndPr>
        <w:rPr>
          <w:noProof/>
        </w:rPr>
      </w:sdtEndPr>
      <w:sdtContent>
        <w:p w14:paraId="3AE414B8" w14:textId="3D1EC261" w:rsidR="00365507" w:rsidRDefault="00365507">
          <w:pPr>
            <w:pStyle w:val="TOCHeading"/>
          </w:pPr>
          <w:r>
            <w:t>Table of Contents</w:t>
          </w:r>
        </w:p>
        <w:p w14:paraId="2B974F38" w14:textId="40195099" w:rsidR="00365507" w:rsidRDefault="00365507">
          <w:pPr>
            <w:pStyle w:val="TOC1"/>
            <w:tabs>
              <w:tab w:val="left" w:pos="480"/>
              <w:tab w:val="right" w:leader="dot" w:pos="9350"/>
            </w:tabs>
            <w:rPr>
              <w:rFonts w:eastAsiaTheme="minorEastAsia" w:cstheme="minorBidi"/>
              <w:b w:val="0"/>
              <w:bCs w:val="0"/>
              <w:i w:val="0"/>
              <w:iCs w:val="0"/>
              <w:noProof/>
              <w:kern w:val="2"/>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210218305" w:history="1">
            <w:r w:rsidRPr="00DE1643">
              <w:rPr>
                <w:rStyle w:val="Hyperlink"/>
                <w:noProof/>
              </w:rPr>
              <w:t>1.</w:t>
            </w:r>
            <w:r>
              <w:rPr>
                <w:rFonts w:eastAsiaTheme="minorEastAsia" w:cstheme="minorBidi"/>
                <w:b w:val="0"/>
                <w:bCs w:val="0"/>
                <w:i w:val="0"/>
                <w:iCs w:val="0"/>
                <w:noProof/>
                <w:kern w:val="2"/>
                <w:lang w:eastAsia="en-US"/>
                <w14:ligatures w14:val="standardContextual"/>
              </w:rPr>
              <w:tab/>
            </w:r>
            <w:r w:rsidRPr="00DE1643">
              <w:rPr>
                <w:rStyle w:val="Hyperlink"/>
                <w:noProof/>
              </w:rPr>
              <w:t>Supplementary Table Descriptions</w:t>
            </w:r>
            <w:r>
              <w:rPr>
                <w:noProof/>
                <w:webHidden/>
              </w:rPr>
              <w:tab/>
            </w:r>
            <w:r>
              <w:rPr>
                <w:noProof/>
                <w:webHidden/>
              </w:rPr>
              <w:fldChar w:fldCharType="begin"/>
            </w:r>
            <w:r>
              <w:rPr>
                <w:noProof/>
                <w:webHidden/>
              </w:rPr>
              <w:instrText xml:space="preserve"> PAGEREF _Toc210218305 \h </w:instrText>
            </w:r>
            <w:r>
              <w:rPr>
                <w:noProof/>
                <w:webHidden/>
              </w:rPr>
            </w:r>
            <w:r>
              <w:rPr>
                <w:noProof/>
                <w:webHidden/>
              </w:rPr>
              <w:fldChar w:fldCharType="separate"/>
            </w:r>
            <w:r>
              <w:rPr>
                <w:noProof/>
                <w:webHidden/>
              </w:rPr>
              <w:t>2</w:t>
            </w:r>
            <w:r>
              <w:rPr>
                <w:noProof/>
                <w:webHidden/>
              </w:rPr>
              <w:fldChar w:fldCharType="end"/>
            </w:r>
          </w:hyperlink>
        </w:p>
        <w:p w14:paraId="66C6EC3C" w14:textId="714EFBC1" w:rsidR="00365507" w:rsidRDefault="00365507">
          <w:pPr>
            <w:pStyle w:val="TOC1"/>
            <w:tabs>
              <w:tab w:val="right" w:leader="dot" w:pos="9350"/>
            </w:tabs>
            <w:rPr>
              <w:rFonts w:eastAsiaTheme="minorEastAsia" w:cstheme="minorBidi"/>
              <w:b w:val="0"/>
              <w:bCs w:val="0"/>
              <w:i w:val="0"/>
              <w:iCs w:val="0"/>
              <w:noProof/>
              <w:kern w:val="2"/>
              <w:lang w:eastAsia="en-US"/>
              <w14:ligatures w14:val="standardContextual"/>
            </w:rPr>
          </w:pPr>
          <w:hyperlink w:anchor="_Toc210218306" w:history="1">
            <w:r w:rsidRPr="00DE1643">
              <w:rPr>
                <w:rStyle w:val="Hyperlink"/>
                <w:noProof/>
              </w:rPr>
              <w:t>2. Supplementary Methods</w:t>
            </w:r>
            <w:r>
              <w:rPr>
                <w:noProof/>
                <w:webHidden/>
              </w:rPr>
              <w:tab/>
            </w:r>
            <w:r>
              <w:rPr>
                <w:noProof/>
                <w:webHidden/>
              </w:rPr>
              <w:fldChar w:fldCharType="begin"/>
            </w:r>
            <w:r>
              <w:rPr>
                <w:noProof/>
                <w:webHidden/>
              </w:rPr>
              <w:instrText xml:space="preserve"> PAGEREF _Toc210218306 \h </w:instrText>
            </w:r>
            <w:r>
              <w:rPr>
                <w:noProof/>
                <w:webHidden/>
              </w:rPr>
            </w:r>
            <w:r>
              <w:rPr>
                <w:noProof/>
                <w:webHidden/>
              </w:rPr>
              <w:fldChar w:fldCharType="separate"/>
            </w:r>
            <w:r>
              <w:rPr>
                <w:noProof/>
                <w:webHidden/>
              </w:rPr>
              <w:t>3</w:t>
            </w:r>
            <w:r>
              <w:rPr>
                <w:noProof/>
                <w:webHidden/>
              </w:rPr>
              <w:fldChar w:fldCharType="end"/>
            </w:r>
          </w:hyperlink>
        </w:p>
        <w:p w14:paraId="7861B247" w14:textId="0BEDCAC1" w:rsidR="00365507" w:rsidRDefault="00365507">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210218307" w:history="1">
            <w:r w:rsidRPr="00DE1643">
              <w:rPr>
                <w:rStyle w:val="Hyperlink"/>
                <w:noProof/>
              </w:rPr>
              <w:t>2.1 Canadian Longitudinal Study on Aging</w:t>
            </w:r>
            <w:r>
              <w:rPr>
                <w:noProof/>
                <w:webHidden/>
              </w:rPr>
              <w:tab/>
            </w:r>
            <w:r>
              <w:rPr>
                <w:noProof/>
                <w:webHidden/>
              </w:rPr>
              <w:fldChar w:fldCharType="begin"/>
            </w:r>
            <w:r>
              <w:rPr>
                <w:noProof/>
                <w:webHidden/>
              </w:rPr>
              <w:instrText xml:space="preserve"> PAGEREF _Toc210218307 \h </w:instrText>
            </w:r>
            <w:r>
              <w:rPr>
                <w:noProof/>
                <w:webHidden/>
              </w:rPr>
            </w:r>
            <w:r>
              <w:rPr>
                <w:noProof/>
                <w:webHidden/>
              </w:rPr>
              <w:fldChar w:fldCharType="separate"/>
            </w:r>
            <w:r>
              <w:rPr>
                <w:noProof/>
                <w:webHidden/>
              </w:rPr>
              <w:t>3</w:t>
            </w:r>
            <w:r>
              <w:rPr>
                <w:noProof/>
                <w:webHidden/>
              </w:rPr>
              <w:fldChar w:fldCharType="end"/>
            </w:r>
          </w:hyperlink>
        </w:p>
        <w:p w14:paraId="570150FE" w14:textId="5CEAD1F1" w:rsidR="00365507" w:rsidRDefault="00365507">
          <w:pPr>
            <w:pStyle w:val="TOC3"/>
            <w:tabs>
              <w:tab w:val="right" w:leader="dot" w:pos="9350"/>
            </w:tabs>
            <w:rPr>
              <w:rFonts w:eastAsiaTheme="minorEastAsia" w:cstheme="minorBidi"/>
              <w:noProof/>
              <w:kern w:val="2"/>
              <w:sz w:val="24"/>
              <w:szCs w:val="24"/>
              <w:lang w:eastAsia="en-US"/>
              <w14:ligatures w14:val="standardContextual"/>
            </w:rPr>
          </w:pPr>
          <w:hyperlink w:anchor="_Toc210218308" w:history="1">
            <w:r w:rsidRPr="00DE1643">
              <w:rPr>
                <w:rStyle w:val="Hyperlink"/>
                <w:noProof/>
              </w:rPr>
              <w:t>2.1.1. Quality Control for Non-imputed Genotype Data (for GCTA-GREML)</w:t>
            </w:r>
            <w:r>
              <w:rPr>
                <w:noProof/>
                <w:webHidden/>
              </w:rPr>
              <w:tab/>
            </w:r>
            <w:r>
              <w:rPr>
                <w:noProof/>
                <w:webHidden/>
              </w:rPr>
              <w:fldChar w:fldCharType="begin"/>
            </w:r>
            <w:r>
              <w:rPr>
                <w:noProof/>
                <w:webHidden/>
              </w:rPr>
              <w:instrText xml:space="preserve"> PAGEREF _Toc210218308 \h </w:instrText>
            </w:r>
            <w:r>
              <w:rPr>
                <w:noProof/>
                <w:webHidden/>
              </w:rPr>
            </w:r>
            <w:r>
              <w:rPr>
                <w:noProof/>
                <w:webHidden/>
              </w:rPr>
              <w:fldChar w:fldCharType="separate"/>
            </w:r>
            <w:r>
              <w:rPr>
                <w:noProof/>
                <w:webHidden/>
              </w:rPr>
              <w:t>3</w:t>
            </w:r>
            <w:r>
              <w:rPr>
                <w:noProof/>
                <w:webHidden/>
              </w:rPr>
              <w:fldChar w:fldCharType="end"/>
            </w:r>
          </w:hyperlink>
        </w:p>
        <w:p w14:paraId="688CFC35" w14:textId="7FC0DAEC" w:rsidR="00365507" w:rsidRDefault="00365507">
          <w:pPr>
            <w:pStyle w:val="TOC3"/>
            <w:tabs>
              <w:tab w:val="right" w:leader="dot" w:pos="9350"/>
            </w:tabs>
            <w:rPr>
              <w:rFonts w:eastAsiaTheme="minorEastAsia" w:cstheme="minorBidi"/>
              <w:noProof/>
              <w:kern w:val="2"/>
              <w:sz w:val="24"/>
              <w:szCs w:val="24"/>
              <w:lang w:eastAsia="en-US"/>
              <w14:ligatures w14:val="standardContextual"/>
            </w:rPr>
          </w:pPr>
          <w:hyperlink w:anchor="_Toc210218309" w:history="1">
            <w:r w:rsidRPr="00DE1643">
              <w:rPr>
                <w:rStyle w:val="Hyperlink"/>
                <w:noProof/>
              </w:rPr>
              <w:t>2.1.2. Quality Control for Imputed Genotype Data (for GWAS Analyses)</w:t>
            </w:r>
            <w:r>
              <w:rPr>
                <w:noProof/>
                <w:webHidden/>
              </w:rPr>
              <w:tab/>
            </w:r>
            <w:r>
              <w:rPr>
                <w:noProof/>
                <w:webHidden/>
              </w:rPr>
              <w:fldChar w:fldCharType="begin"/>
            </w:r>
            <w:r>
              <w:rPr>
                <w:noProof/>
                <w:webHidden/>
              </w:rPr>
              <w:instrText xml:space="preserve"> PAGEREF _Toc210218309 \h </w:instrText>
            </w:r>
            <w:r>
              <w:rPr>
                <w:noProof/>
                <w:webHidden/>
              </w:rPr>
            </w:r>
            <w:r>
              <w:rPr>
                <w:noProof/>
                <w:webHidden/>
              </w:rPr>
              <w:fldChar w:fldCharType="separate"/>
            </w:r>
            <w:r>
              <w:rPr>
                <w:noProof/>
                <w:webHidden/>
              </w:rPr>
              <w:t>4</w:t>
            </w:r>
            <w:r>
              <w:rPr>
                <w:noProof/>
                <w:webHidden/>
              </w:rPr>
              <w:fldChar w:fldCharType="end"/>
            </w:r>
          </w:hyperlink>
        </w:p>
        <w:p w14:paraId="03B47897" w14:textId="3A594D00" w:rsidR="00365507" w:rsidRDefault="00365507">
          <w:pPr>
            <w:pStyle w:val="TOC3"/>
            <w:tabs>
              <w:tab w:val="right" w:leader="dot" w:pos="9350"/>
            </w:tabs>
            <w:rPr>
              <w:rFonts w:eastAsiaTheme="minorEastAsia" w:cstheme="minorBidi"/>
              <w:noProof/>
              <w:kern w:val="2"/>
              <w:sz w:val="24"/>
              <w:szCs w:val="24"/>
              <w:lang w:eastAsia="en-US"/>
              <w14:ligatures w14:val="standardContextual"/>
            </w:rPr>
          </w:pPr>
          <w:hyperlink w:anchor="_Toc210218310" w:history="1">
            <w:r w:rsidRPr="00DE1643">
              <w:rPr>
                <w:rStyle w:val="Hyperlink"/>
                <w:noProof/>
              </w:rPr>
              <w:t>2.1.3. Phenotype Selection and Data Cleaning for Bivariate-GREML</w:t>
            </w:r>
            <w:r>
              <w:rPr>
                <w:noProof/>
                <w:webHidden/>
              </w:rPr>
              <w:tab/>
            </w:r>
            <w:r>
              <w:rPr>
                <w:noProof/>
                <w:webHidden/>
              </w:rPr>
              <w:fldChar w:fldCharType="begin"/>
            </w:r>
            <w:r>
              <w:rPr>
                <w:noProof/>
                <w:webHidden/>
              </w:rPr>
              <w:instrText xml:space="preserve"> PAGEREF _Toc210218310 \h </w:instrText>
            </w:r>
            <w:r>
              <w:rPr>
                <w:noProof/>
                <w:webHidden/>
              </w:rPr>
            </w:r>
            <w:r>
              <w:rPr>
                <w:noProof/>
                <w:webHidden/>
              </w:rPr>
              <w:fldChar w:fldCharType="separate"/>
            </w:r>
            <w:r>
              <w:rPr>
                <w:noProof/>
                <w:webHidden/>
              </w:rPr>
              <w:t>5</w:t>
            </w:r>
            <w:r>
              <w:rPr>
                <w:noProof/>
                <w:webHidden/>
              </w:rPr>
              <w:fldChar w:fldCharType="end"/>
            </w:r>
          </w:hyperlink>
        </w:p>
        <w:p w14:paraId="3D82EB95" w14:textId="5236AB18" w:rsidR="00365507" w:rsidRDefault="00365507">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210218311" w:history="1">
            <w:r w:rsidRPr="00DE1643">
              <w:rPr>
                <w:rStyle w:val="Hyperlink"/>
                <w:noProof/>
              </w:rPr>
              <w:t>2.2. Wisconsin Longitudinal Study</w:t>
            </w:r>
            <w:r>
              <w:rPr>
                <w:noProof/>
                <w:webHidden/>
              </w:rPr>
              <w:tab/>
            </w:r>
            <w:r>
              <w:rPr>
                <w:noProof/>
                <w:webHidden/>
              </w:rPr>
              <w:fldChar w:fldCharType="begin"/>
            </w:r>
            <w:r>
              <w:rPr>
                <w:noProof/>
                <w:webHidden/>
              </w:rPr>
              <w:instrText xml:space="preserve"> PAGEREF _Toc210218311 \h </w:instrText>
            </w:r>
            <w:r>
              <w:rPr>
                <w:noProof/>
                <w:webHidden/>
              </w:rPr>
            </w:r>
            <w:r>
              <w:rPr>
                <w:noProof/>
                <w:webHidden/>
              </w:rPr>
              <w:fldChar w:fldCharType="separate"/>
            </w:r>
            <w:r>
              <w:rPr>
                <w:noProof/>
                <w:webHidden/>
              </w:rPr>
              <w:t>6</w:t>
            </w:r>
            <w:r>
              <w:rPr>
                <w:noProof/>
                <w:webHidden/>
              </w:rPr>
              <w:fldChar w:fldCharType="end"/>
            </w:r>
          </w:hyperlink>
        </w:p>
        <w:p w14:paraId="62948BD8" w14:textId="3BFDBE22" w:rsidR="00365507" w:rsidRDefault="00365507">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210218312" w:history="1">
            <w:r w:rsidRPr="00DE1643">
              <w:rPr>
                <w:rStyle w:val="Hyperlink"/>
                <w:noProof/>
              </w:rPr>
              <w:t>2.3. Trøndelag Health Study</w:t>
            </w:r>
            <w:r>
              <w:rPr>
                <w:noProof/>
                <w:webHidden/>
              </w:rPr>
              <w:tab/>
            </w:r>
            <w:r>
              <w:rPr>
                <w:noProof/>
                <w:webHidden/>
              </w:rPr>
              <w:fldChar w:fldCharType="begin"/>
            </w:r>
            <w:r>
              <w:rPr>
                <w:noProof/>
                <w:webHidden/>
              </w:rPr>
              <w:instrText xml:space="preserve"> PAGEREF _Toc210218312 \h </w:instrText>
            </w:r>
            <w:r>
              <w:rPr>
                <w:noProof/>
                <w:webHidden/>
              </w:rPr>
            </w:r>
            <w:r>
              <w:rPr>
                <w:noProof/>
                <w:webHidden/>
              </w:rPr>
              <w:fldChar w:fldCharType="separate"/>
            </w:r>
            <w:r>
              <w:rPr>
                <w:noProof/>
                <w:webHidden/>
              </w:rPr>
              <w:t>7</w:t>
            </w:r>
            <w:r>
              <w:rPr>
                <w:noProof/>
                <w:webHidden/>
              </w:rPr>
              <w:fldChar w:fldCharType="end"/>
            </w:r>
          </w:hyperlink>
        </w:p>
        <w:p w14:paraId="77C5B9B4" w14:textId="3675EC36" w:rsidR="00365507" w:rsidRDefault="00365507">
          <w:pPr>
            <w:pStyle w:val="TOC1"/>
            <w:tabs>
              <w:tab w:val="right" w:leader="dot" w:pos="9350"/>
            </w:tabs>
            <w:rPr>
              <w:rFonts w:eastAsiaTheme="minorEastAsia" w:cstheme="minorBidi"/>
              <w:b w:val="0"/>
              <w:bCs w:val="0"/>
              <w:i w:val="0"/>
              <w:iCs w:val="0"/>
              <w:noProof/>
              <w:kern w:val="2"/>
              <w:lang w:eastAsia="en-US"/>
              <w14:ligatures w14:val="standardContextual"/>
            </w:rPr>
          </w:pPr>
          <w:hyperlink w:anchor="_Toc210218313" w:history="1">
            <w:r w:rsidRPr="00DE1643">
              <w:rPr>
                <w:rStyle w:val="Hyperlink"/>
                <w:noProof/>
              </w:rPr>
              <w:t xml:space="preserve">3. </w:t>
            </w:r>
            <w:r w:rsidRPr="00DE1643">
              <w:rPr>
                <w:rStyle w:val="Hyperlink"/>
                <w:rFonts w:ascii="Times New Roman" w:hAnsi="Times New Roman"/>
                <w:noProof/>
              </w:rPr>
              <w:t>Supplementary Figures</w:t>
            </w:r>
            <w:r>
              <w:rPr>
                <w:noProof/>
                <w:webHidden/>
              </w:rPr>
              <w:tab/>
            </w:r>
            <w:r>
              <w:rPr>
                <w:noProof/>
                <w:webHidden/>
              </w:rPr>
              <w:fldChar w:fldCharType="begin"/>
            </w:r>
            <w:r>
              <w:rPr>
                <w:noProof/>
                <w:webHidden/>
              </w:rPr>
              <w:instrText xml:space="preserve"> PAGEREF _Toc210218313 \h </w:instrText>
            </w:r>
            <w:r>
              <w:rPr>
                <w:noProof/>
                <w:webHidden/>
              </w:rPr>
            </w:r>
            <w:r>
              <w:rPr>
                <w:noProof/>
                <w:webHidden/>
              </w:rPr>
              <w:fldChar w:fldCharType="separate"/>
            </w:r>
            <w:r>
              <w:rPr>
                <w:noProof/>
                <w:webHidden/>
              </w:rPr>
              <w:t>9</w:t>
            </w:r>
            <w:r>
              <w:rPr>
                <w:noProof/>
                <w:webHidden/>
              </w:rPr>
              <w:fldChar w:fldCharType="end"/>
            </w:r>
          </w:hyperlink>
        </w:p>
        <w:p w14:paraId="77721F3B" w14:textId="2244FD0F" w:rsidR="00365507" w:rsidRDefault="00365507">
          <w:pPr>
            <w:pStyle w:val="TOC1"/>
            <w:tabs>
              <w:tab w:val="right" w:leader="dot" w:pos="9350"/>
            </w:tabs>
            <w:rPr>
              <w:rFonts w:eastAsiaTheme="minorEastAsia" w:cstheme="minorBidi"/>
              <w:b w:val="0"/>
              <w:bCs w:val="0"/>
              <w:i w:val="0"/>
              <w:iCs w:val="0"/>
              <w:noProof/>
              <w:kern w:val="2"/>
              <w:lang w:eastAsia="en-US"/>
              <w14:ligatures w14:val="standardContextual"/>
            </w:rPr>
          </w:pPr>
          <w:hyperlink w:anchor="_Toc210218314" w:history="1">
            <w:r w:rsidRPr="00DE1643">
              <w:rPr>
                <w:rStyle w:val="Hyperlink"/>
                <w:noProof/>
              </w:rPr>
              <w:t>4. References</w:t>
            </w:r>
            <w:r>
              <w:rPr>
                <w:noProof/>
                <w:webHidden/>
              </w:rPr>
              <w:tab/>
            </w:r>
            <w:r>
              <w:rPr>
                <w:noProof/>
                <w:webHidden/>
              </w:rPr>
              <w:fldChar w:fldCharType="begin"/>
            </w:r>
            <w:r>
              <w:rPr>
                <w:noProof/>
                <w:webHidden/>
              </w:rPr>
              <w:instrText xml:space="preserve"> PAGEREF _Toc210218314 \h </w:instrText>
            </w:r>
            <w:r>
              <w:rPr>
                <w:noProof/>
                <w:webHidden/>
              </w:rPr>
            </w:r>
            <w:r>
              <w:rPr>
                <w:noProof/>
                <w:webHidden/>
              </w:rPr>
              <w:fldChar w:fldCharType="separate"/>
            </w:r>
            <w:r>
              <w:rPr>
                <w:noProof/>
                <w:webHidden/>
              </w:rPr>
              <w:t>32</w:t>
            </w:r>
            <w:r>
              <w:rPr>
                <w:noProof/>
                <w:webHidden/>
              </w:rPr>
              <w:fldChar w:fldCharType="end"/>
            </w:r>
          </w:hyperlink>
        </w:p>
        <w:p w14:paraId="5AFB9D46" w14:textId="70250966" w:rsidR="00365507" w:rsidRDefault="00365507">
          <w:r>
            <w:rPr>
              <w:b/>
              <w:bCs/>
              <w:noProof/>
            </w:rPr>
            <w:fldChar w:fldCharType="end"/>
          </w:r>
        </w:p>
      </w:sdtContent>
    </w:sdt>
    <w:p w14:paraId="002F3DE4" w14:textId="0472DD0C" w:rsidR="00365507" w:rsidRPr="00534998" w:rsidRDefault="00365507" w:rsidP="00703CFB">
      <w:pPr>
        <w:pStyle w:val="Heading1"/>
        <w:numPr>
          <w:ilvl w:val="0"/>
          <w:numId w:val="2"/>
        </w:numPr>
      </w:pPr>
      <w:r>
        <w:br w:type="page"/>
      </w:r>
      <w:bookmarkStart w:id="6" w:name="_Toc210218305"/>
      <w:r>
        <w:lastRenderedPageBreak/>
        <w:t xml:space="preserve"> </w:t>
      </w:r>
      <w:r w:rsidR="002B5DC0" w:rsidRPr="00365507">
        <w:t>Supplementary Table Descriptions</w:t>
      </w:r>
      <w:bookmarkEnd w:id="5"/>
      <w:bookmarkEnd w:id="4"/>
      <w:bookmarkEnd w:id="3"/>
      <w:bookmarkEnd w:id="2"/>
      <w:bookmarkEnd w:id="1"/>
      <w:bookmarkEnd w:id="6"/>
    </w:p>
    <w:p w14:paraId="4D003470" w14:textId="77777777" w:rsidR="002B5DC0" w:rsidRDefault="002B5DC0" w:rsidP="002B5DC0">
      <w:pPr>
        <w:spacing w:before="0"/>
      </w:pPr>
      <w:r>
        <w:rPr>
          <w:b/>
        </w:rPr>
        <w:t>Supplementary Table 1.</w:t>
      </w:r>
      <w:r>
        <w:t xml:space="preserve"> LDSC genetic correlations and source GWAS data</w:t>
      </w:r>
    </w:p>
    <w:p w14:paraId="1BE88568" w14:textId="1D0EC7AA" w:rsidR="002B5DC0" w:rsidRDefault="002B5DC0" w:rsidP="002B5DC0">
      <w:pPr>
        <w:spacing w:before="0"/>
      </w:pPr>
      <w:r>
        <w:t xml:space="preserve">Linkage disequilibrium score regression (LDSC) estimated heritability and genetic correlations of the GWAS of active music engagement frequency with aging-related health phenotypes, estimated using LDSC software </w:t>
      </w:r>
      <w:r>
        <w:fldChar w:fldCharType="begin"/>
      </w:r>
      <w:r w:rsidR="00AA2794">
        <w:instrText xml:space="preserve"> ADDIN ZOTERO_ITEM CSL_CITATION {"citationID":"Gf8cCBBt","properties":{"formattedCitation":"\\super 1\\nosupersub{}","plainCitation":"1","noteIndex":0},"citationItems":[{"id":1556,"uris":["http://zotero.org/users/6391047/items/LUD5A6QV"],"itemData":{"id":1556,"type":"article-journal","abstract":"Both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size.","container-title":"Nature Genetics","DOI":"10.1038/ng.3211","ISSN":"1546-1718","issue":"3","journalAbbreviation":"Nat Genet","language":"eng","note":"PMID: 25642630\nPMCID: PMC4495769","page":"291-295","source":"PubMed","title":"LD Score regression distinguishes confounding from polygenicity in genome-wide association studies","volume":"47","author":[{"family":"Bulik-Sullivan","given":"Brendan K."},{"family":"Loh","given":"Po-Ru"},{"family":"Finucane","given":"Hilary K."},{"family":"Ripke","given":"Stephan"},{"family":"Yang","given":"Jian"},{"literal":"Schizophrenia Working Group of the Psychiatric Genomics Consortium"},{"family":"Patterson","given":"Nick"},{"family":"Daly","given":"Mark J."},{"family":"Price","given":"Alkes L."},{"family":"Neale","given":"Benjamin M."}],"issued":{"date-parts":[["2015",3]]}}}],"schema":"https://github.com/citation-style-language/schema/raw/master/csl-citation.json"}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1</w:t>
      </w:r>
      <w:r>
        <w:fldChar w:fldCharType="end"/>
      </w:r>
      <w:r>
        <w:t>. Note. Active music engagement frequency is trait 1, and trait 2 is the study listed with its heritability and N.</w:t>
      </w:r>
    </w:p>
    <w:p w14:paraId="42529CA8" w14:textId="77777777" w:rsidR="002B5DC0" w:rsidRDefault="002B5DC0" w:rsidP="002B5DC0">
      <w:pPr>
        <w:spacing w:before="0"/>
      </w:pPr>
      <w:r>
        <w:rPr>
          <w:b/>
        </w:rPr>
        <w:t xml:space="preserve">Supplementary Table 2. </w:t>
      </w:r>
      <w:r>
        <w:t>Bivariate-GREML genetic correlation results</w:t>
      </w:r>
    </w:p>
    <w:p w14:paraId="7650A382" w14:textId="77777777" w:rsidR="002B5DC0" w:rsidRDefault="002B5DC0" w:rsidP="002B5DC0">
      <w:pPr>
        <w:spacing w:before="0"/>
      </w:pPr>
      <w:r>
        <w:t xml:space="preserve">GCTA-GREML estimated the heritability of aging-related health traits in CLSA and their genetic correlation (rg) with active music engagement frequency. Note. Trait 1 is active music engagement frequency, and trait 2 is the health phenotype described. </w:t>
      </w:r>
    </w:p>
    <w:p w14:paraId="0E9DA133" w14:textId="77777777" w:rsidR="002B5DC0" w:rsidRDefault="002B5DC0" w:rsidP="002B5DC0">
      <w:pPr>
        <w:spacing w:before="0"/>
      </w:pPr>
      <w:r>
        <w:rPr>
          <w:b/>
        </w:rPr>
        <w:t>Supplementary Table 3.</w:t>
      </w:r>
      <w:r>
        <w:t xml:space="preserve"> Genomic risk loci as defined by independent lead SNPs and maximum distance between their LD block (GenomicRiskLoci.txt as outputted from FUMA).</w:t>
      </w:r>
      <w:r>
        <w:br/>
      </w:r>
      <w:r>
        <w:rPr>
          <w:b/>
        </w:rPr>
        <w:t>Supplementary Table 4.</w:t>
      </w:r>
      <w:r>
        <w:t xml:space="preserve"> Lead SNPs table as defined by </w:t>
      </w:r>
      <w:r>
        <w:rPr>
          <w:i/>
        </w:rPr>
        <w:t>r</w:t>
      </w:r>
      <w:r>
        <w:rPr>
          <w:vertAlign w:val="superscript"/>
        </w:rPr>
        <w:t>2</w:t>
      </w:r>
      <w:r>
        <w:t xml:space="preserve"> of 0.1 (leadSNPs.txt as output from FUMA). </w:t>
      </w:r>
    </w:p>
    <w:p w14:paraId="503DD574" w14:textId="77777777" w:rsidR="002B5DC0" w:rsidRDefault="002B5DC0" w:rsidP="002B5DC0">
      <w:pPr>
        <w:spacing w:before="0"/>
      </w:pPr>
      <w:r>
        <w:rPr>
          <w:b/>
        </w:rPr>
        <w:t xml:space="preserve">Supplementary Table 5. </w:t>
      </w:r>
      <w:r>
        <w:t xml:space="preserve">Independent Significant SNPs table as defined by </w:t>
      </w:r>
      <w:r>
        <w:rPr>
          <w:i/>
        </w:rPr>
        <w:t>r</w:t>
      </w:r>
      <w:r>
        <w:rPr>
          <w:vertAlign w:val="superscript"/>
        </w:rPr>
        <w:t>2</w:t>
      </w:r>
      <w:r>
        <w:t xml:space="preserve"> of 0.6 (IndSigSNPs.txt as outputted from FUMA)</w:t>
      </w:r>
    </w:p>
    <w:p w14:paraId="6F329842" w14:textId="77777777" w:rsidR="002B5DC0" w:rsidRDefault="002B5DC0" w:rsidP="002B5DC0">
      <w:pPr>
        <w:spacing w:before="0"/>
      </w:pPr>
      <w:r>
        <w:rPr>
          <w:b/>
        </w:rPr>
        <w:t>Supplementary Table 6</w:t>
      </w:r>
      <w:r>
        <w:t>. Complete results of ANNOVAR analyses (annov.txt as outputted from FUMA)</w:t>
      </w:r>
    </w:p>
    <w:p w14:paraId="03080302" w14:textId="77777777" w:rsidR="002B5DC0" w:rsidRDefault="002B5DC0" w:rsidP="002B5DC0">
      <w:pPr>
        <w:spacing w:before="0"/>
      </w:pPr>
      <w:r>
        <w:rPr>
          <w:b/>
        </w:rPr>
        <w:t xml:space="preserve">Supplementary Table 7. </w:t>
      </w:r>
      <w:r>
        <w:t>List of eQTL mapped genes (genes.txt as outputted from FUMA)</w:t>
      </w:r>
    </w:p>
    <w:p w14:paraId="65680DE9" w14:textId="77777777" w:rsidR="002B5DC0" w:rsidRDefault="002B5DC0" w:rsidP="002B5DC0">
      <w:pPr>
        <w:spacing w:before="0"/>
      </w:pPr>
      <w:r>
        <w:rPr>
          <w:b/>
        </w:rPr>
        <w:t>Supplementary Table 8.</w:t>
      </w:r>
      <w:r>
        <w:t xml:space="preserve"> List of all SNP to eQTL mappings (eqtl.txt as outputted from FUMA) </w:t>
      </w:r>
    </w:p>
    <w:p w14:paraId="63EA8799" w14:textId="77777777" w:rsidR="002B5DC0" w:rsidRDefault="002B5DC0" w:rsidP="002B5DC0">
      <w:pPr>
        <w:spacing w:before="0"/>
      </w:pPr>
      <w:r>
        <w:rPr>
          <w:b/>
        </w:rPr>
        <w:t xml:space="preserve">Supplementary Table 9. </w:t>
      </w:r>
      <w:r w:rsidRPr="00643155">
        <w:t xml:space="preserve">LDSC partitioned heritability analysis results for enrichment/depletion in eight brain cell-type specific regulatory annotations. </w:t>
      </w:r>
      <w:r w:rsidRPr="00643155">
        <w:rPr>
          <w:i/>
          <w:iCs/>
        </w:rPr>
        <w:t>q</w:t>
      </w:r>
      <w:r w:rsidRPr="00643155">
        <w:t>FDR column shows FDR corrected (</w:t>
      </w:r>
      <w:r>
        <w:t>n=</w:t>
      </w:r>
      <w:r w:rsidRPr="00643155">
        <w:t xml:space="preserve">8) Enrichment </w:t>
      </w:r>
      <w:r w:rsidRPr="00643155">
        <w:rPr>
          <w:i/>
          <w:iCs/>
        </w:rPr>
        <w:t>p</w:t>
      </w:r>
      <w:r w:rsidRPr="00643155">
        <w:t>-values.</w:t>
      </w:r>
      <w:r>
        <w:br/>
      </w:r>
      <w:r>
        <w:rPr>
          <w:b/>
        </w:rPr>
        <w:t xml:space="preserve">Supplementary Table 10.  </w:t>
      </w:r>
      <w:r>
        <w:t>Sensitivity Leave-one-out Results for all Two-sample MR Analyses</w:t>
      </w:r>
    </w:p>
    <w:p w14:paraId="3760F543" w14:textId="77777777" w:rsidR="002B5DC0" w:rsidRDefault="002B5DC0" w:rsidP="002B5DC0">
      <w:pPr>
        <w:spacing w:before="0"/>
      </w:pPr>
      <w:r>
        <w:rPr>
          <w:b/>
        </w:rPr>
        <w:t xml:space="preserve">Supplementary File 1. </w:t>
      </w:r>
      <w:r>
        <w:t>FUMA parameters (params.config as outputted from FUMA)</w:t>
      </w:r>
    </w:p>
    <w:p w14:paraId="1DADEEC6" w14:textId="77777777" w:rsidR="002B5DC0" w:rsidRDefault="002B5DC0" w:rsidP="002B5DC0">
      <w:pPr>
        <w:rPr>
          <w:b/>
        </w:rPr>
      </w:pPr>
      <w:r w:rsidRPr="00F53ABE">
        <w:rPr>
          <w:b/>
          <w:bCs/>
          <w:color w:val="000000"/>
          <w:szCs w:val="24"/>
        </w:rPr>
        <w:t xml:space="preserve">Supplementary Tables </w:t>
      </w:r>
      <w:r>
        <w:rPr>
          <w:b/>
          <w:bCs/>
          <w:color w:val="000000"/>
          <w:szCs w:val="24"/>
        </w:rPr>
        <w:t>and Files</w:t>
      </w:r>
      <w:r w:rsidRPr="00F53ABE">
        <w:rPr>
          <w:color w:val="000000"/>
          <w:szCs w:val="24"/>
        </w:rPr>
        <w:t xml:space="preserve"> </w:t>
      </w:r>
      <w:r>
        <w:rPr>
          <w:color w:val="000000"/>
          <w:szCs w:val="24"/>
        </w:rPr>
        <w:t xml:space="preserve">are </w:t>
      </w:r>
      <w:r w:rsidRPr="00F53ABE">
        <w:rPr>
          <w:color w:val="000000"/>
          <w:szCs w:val="24"/>
        </w:rPr>
        <w:t>attached in</w:t>
      </w:r>
      <w:r>
        <w:rPr>
          <w:color w:val="000000"/>
          <w:szCs w:val="24"/>
        </w:rPr>
        <w:t xml:space="preserve"> </w:t>
      </w:r>
      <w:r w:rsidRPr="00F53ABE">
        <w:rPr>
          <w:color w:val="000000"/>
          <w:szCs w:val="24"/>
        </w:rPr>
        <w:t>Henechowicz_Tara_L_20250</w:t>
      </w:r>
      <w:r>
        <w:rPr>
          <w:color w:val="000000"/>
          <w:szCs w:val="24"/>
        </w:rPr>
        <w:t>6</w:t>
      </w:r>
      <w:r w:rsidRPr="00F53ABE">
        <w:rPr>
          <w:color w:val="000000"/>
          <w:szCs w:val="24"/>
        </w:rPr>
        <w:t>_Appendix</w:t>
      </w:r>
      <w:r>
        <w:rPr>
          <w:color w:val="000000"/>
          <w:szCs w:val="24"/>
        </w:rPr>
        <w:t>A</w:t>
      </w:r>
      <w:r w:rsidRPr="00F53ABE">
        <w:rPr>
          <w:color w:val="000000"/>
          <w:szCs w:val="24"/>
        </w:rPr>
        <w:t>_tables.xlsx</w:t>
      </w:r>
      <w:r>
        <w:rPr>
          <w:b/>
        </w:rPr>
        <w:t xml:space="preserve"> </w:t>
      </w:r>
    </w:p>
    <w:p w14:paraId="34ADD6D5" w14:textId="77777777" w:rsidR="002B5DC0" w:rsidRDefault="002B5DC0" w:rsidP="002B5DC0">
      <w:pPr>
        <w:spacing w:before="0"/>
      </w:pPr>
    </w:p>
    <w:p w14:paraId="0C176600" w14:textId="77777777" w:rsidR="002B5DC0" w:rsidRPr="00534998" w:rsidRDefault="002B5DC0" w:rsidP="002B5DC0">
      <w:pPr>
        <w:pStyle w:val="Heading1"/>
        <w:ind w:left="720" w:hanging="720"/>
      </w:pPr>
      <w:bookmarkStart w:id="7" w:name="_eoe6pdc198fp" w:colFirst="0" w:colLast="0"/>
      <w:bookmarkStart w:id="8" w:name="_Toc194836069"/>
      <w:bookmarkStart w:id="9" w:name="_Toc210218306"/>
      <w:bookmarkEnd w:id="7"/>
      <w:r w:rsidRPr="00534998">
        <w:lastRenderedPageBreak/>
        <w:t xml:space="preserve">2. Supplementary </w:t>
      </w:r>
      <w:r>
        <w:t>M</w:t>
      </w:r>
      <w:r w:rsidRPr="00534998">
        <w:t>ethods</w:t>
      </w:r>
      <w:bookmarkEnd w:id="8"/>
      <w:bookmarkEnd w:id="9"/>
    </w:p>
    <w:p w14:paraId="78B0BF73" w14:textId="77777777" w:rsidR="002B5DC0" w:rsidRPr="00534998" w:rsidRDefault="002B5DC0" w:rsidP="002B5DC0">
      <w:pPr>
        <w:pStyle w:val="Heading2"/>
        <w:ind w:left="720" w:hanging="720"/>
      </w:pPr>
      <w:bookmarkStart w:id="10" w:name="_2h06ygmb30vk" w:colFirst="0" w:colLast="0"/>
      <w:bookmarkStart w:id="11" w:name="_Toc194836070"/>
      <w:bookmarkStart w:id="12" w:name="_Toc210218307"/>
      <w:bookmarkEnd w:id="10"/>
      <w:r w:rsidRPr="00534998">
        <w:t>2.1 Canadian Longitudinal Study on Aging</w:t>
      </w:r>
      <w:bookmarkEnd w:id="11"/>
      <w:bookmarkEnd w:id="12"/>
    </w:p>
    <w:p w14:paraId="2FAD9A7C" w14:textId="77777777" w:rsidR="002B5DC0" w:rsidRDefault="002B5DC0" w:rsidP="002B5DC0">
      <w:r>
        <w:t xml:space="preserve">The Canadian Longitudinal Study on Aging is a cohort study of n=26,622 individuals with genotyped data available in release 3.0. Active music engagement was measured using the GEN_MUSC_COM variable from the Canadian Longitudinal Study on Aging’s General Health questionnaire from the Comprehensive Baseline Assessment version 7.0 (Canadian Longitudinal Study on Aging, 2018). In the set of questions on mental exercise, participants were asked: “About how much time do you spend doing each of the following activities, taking into account both work and leisure time?” for “Playing a musical instrument or singing in a choir” with the response options of “Every day...1”, “Several times a week...2”, “Several times a month...3”,  Several times a year...4”, “Once a year or less...5.” Participants who did not know, did not answer, or refused to answer were excluded from the analyses. </w:t>
      </w:r>
    </w:p>
    <w:p w14:paraId="320C5CB1" w14:textId="77777777" w:rsidR="002B5DC0" w:rsidRPr="000251A6" w:rsidRDefault="002B5DC0" w:rsidP="002B5DC0">
      <w:pPr>
        <w:pStyle w:val="Heading3"/>
        <w:ind w:left="720" w:hanging="720"/>
      </w:pPr>
      <w:bookmarkStart w:id="13" w:name="_i2oiwo3om60d" w:colFirst="0" w:colLast="0"/>
      <w:bookmarkStart w:id="14" w:name="_Toc194836071"/>
      <w:bookmarkStart w:id="15" w:name="_Toc210218308"/>
      <w:bookmarkEnd w:id="13"/>
      <w:r w:rsidRPr="000251A6">
        <w:t xml:space="preserve">2.1.1. Quality </w:t>
      </w:r>
      <w:r>
        <w:t>C</w:t>
      </w:r>
      <w:r w:rsidRPr="000251A6">
        <w:t xml:space="preserve">ontrol for </w:t>
      </w:r>
      <w:r>
        <w:t>N</w:t>
      </w:r>
      <w:r w:rsidRPr="000251A6">
        <w:t xml:space="preserve">on-imputed </w:t>
      </w:r>
      <w:r>
        <w:t>G</w:t>
      </w:r>
      <w:r w:rsidRPr="000251A6">
        <w:t xml:space="preserve">enotype </w:t>
      </w:r>
      <w:r>
        <w:t>D</w:t>
      </w:r>
      <w:r w:rsidRPr="000251A6">
        <w:t>ata (for GCTA-GREML)</w:t>
      </w:r>
      <w:bookmarkEnd w:id="14"/>
      <w:bookmarkEnd w:id="15"/>
    </w:p>
    <w:p w14:paraId="1F4CBD62" w14:textId="31119B45" w:rsidR="002B5DC0" w:rsidRPr="00D550E1" w:rsidRDefault="002B5DC0" w:rsidP="002B5DC0">
      <w:pPr>
        <w:rPr>
          <w:szCs w:val="24"/>
        </w:rPr>
      </w:pPr>
      <w:r>
        <w:rPr>
          <w:szCs w:val="24"/>
        </w:rPr>
        <w:t>Participants were genotyped using Affymetrix Axiom array genotypes for 794,409 genetic variants, of which 95% are high quality</w:t>
      </w:r>
      <w:r>
        <w:t xml:space="preserve"> </w:t>
      </w:r>
      <w:r>
        <w:fldChar w:fldCharType="begin"/>
      </w:r>
      <w:r w:rsidR="00AA2794">
        <w:instrText xml:space="preserve"> ADDIN ZOTERO_ITEM CSL_CITATION {"citationID":"GHBkiYRC","properties":{"formattedCitation":"\\super 2,3\\nosupersub{}","plainCitation":"2,3","noteIndex":0},"citationItems":[{"id":496,"uris":["http://zotero.org/users/6391047/items/HN95EY6F"],"itemData":{"id":496,"type":"article-journal","container-title":"International Journal of Epidemiology","DOI":"10.1093/ije/dyz173","ISSN":"0300-5771","issue":"6","journalAbbreviation":"International Journal of Epidemiology","page":"1752-1753j","source":"Silverchair","title":"Cohort Profile: The Canadian Longitudinal Study on Aging (CLSA)","title-short":"Cohort Profile","volume":"48","author":[{"family":"Raina","given":"Parminder"},{"family":"Wolfson","given":"Christina"},{"family":"Kirkland","given":"Susan"},{"family":"Griffith","given":"Lauren E"},{"family":"Balion","given":"Cynthia"},{"family":"Cossette","given":"Benoȋt"},{"family":"Dionne","given":"Isabelle"},{"family":"Hofer","given":"Scott"},{"family":"Hogan","given":"David"},{"family":"Heuvel","given":"E R","non-dropping-particle":"van den"},{"family":"Liu-Ambrose","given":"Teresa"},{"family":"Menec","given":"Verena"},{"family":"Mugford","given":"Gerald"},{"family":"Patterson","given":"Christopher"},{"family":"Payette","given":"Hélène"},{"family":"Richards","given":"Brent"},{"family":"Shannon","given":"Harry"},{"family":"Sheets","given":"Debra"},{"family":"Taler","given":"Vanessa"},{"family":"Thompson","given":"Mary"},{"family":"Tuokko","given":"Holly"},{"family":"Wister","given":"Andrew"},{"family":"Wu","given":"Changbao"},{"family":"Young","given":"Lynne"}],"issued":{"date-parts":[["2019",12,1]]}}},{"id":296,"uris":["http://zotero.org/users/6391047/items/H6XWUS9U"],"itemData":{"id":296,"type":"article-journal","abstract":"PURPOSE: The Canadian Longitudinal Study on Aging (CLSA) Comprehensive cohort was established to provide unique opportunities to study the genetic and environmental contributions to human disease as well as ageing process. The aim of this report was to describe the genomic data included in CLSA.\nPARTICIPANTS: A total of 26 622 individuals from the CLSA Comprehensive cohort of men and women aged 45-85 recruited between 2010 and 2015 underwent genome-wide genotyping of DNA samples collected from blood. Comprehensive quality control metrics were measured for genetic markers and samples, respectively. The genotypes were imputed to the TOPMed reference panel. Sex chromosome abnormalities were identified by copy number profiling. Classical human leukocyte antigen gene haplotypes were imputed at two-field (four-digit).\nFINDINGS TO DATE: Of the 26 622 genotyped participants, 24 655 (92.6%) were identified as having European ancestry. These genomic data were linked to physical, lifestyle, medical, economic, environmental and psychosocial factors collected longitudinally in CLSA. The combined analysis, including CLSA genomic data, uncovered over 100 novel loci associated with key parameters to define glaucoma. The CLSA genomic dataset validated the contribution of a polygenic risk score to screen individuals with high fracture risk. It is also a valuable resource to directly identify common genetic variations associated with conditions related to complex traits. Taking advantage of the comprehensive interview and physical information collected in CLSA, this genomic dataset has been linked to psychosocial factors to investigate both the independent and interactive effects on cardiovascular disease.\nFUTURE PLANS: The CLSA overall is ongoing. Follow-up data will continue to be collected from participants in the current genomic subcohort, including the DNA methylation and metabolomic data. Ongoing studies focus on elucidating the role of genetic factors in cognitive decline and cardiovascular diseases. This genomic data resource is available on request through the CLSA data access application process.","container-title":"BMJ open","DOI":"10.1136/bmjopen-2021-059021","ISSN":"2044-6055","issue":"3","journalAbbreviation":"BMJ Open","language":"eng","note":"PMID: 35273064\nPMCID: PMC8915305","page":"e059021","source":"PubMed","title":"Cohort profile: genomic data for 26 622 individuals from the Canadian Longitudinal Study on Aging (CLSA)","title-short":"Cohort profile","volume":"12","author":[{"family":"Forgetta","given":"Vincenzo"},{"family":"Li","given":"Rui"},{"family":"Darmond-Zwaig","given":"Corinne"},{"family":"Belisle","given":"Alexandre"},{"family":"Balion","given":"Cynthia"},{"family":"Roshandel","given":"Delnaz"},{"family":"Wolfson","given":"Christina"},{"family":"Lettre","given":"Guillaume"},{"family":"Pare","given":"Guillaume"},{"family":"Paterson","given":"Andrew D."},{"family":"Griffith","given":"Lauren E."},{"family":"Verschoor","given":"Chris"},{"family":"Lathrop","given":"Mark"},{"family":"Kirkland","given":"Susan"},{"family":"Raina","given":"Parminder"},{"family":"Richards","given":"J. Brent"},{"family":"Ragoussis","given":"Jiannis"}],"issued":{"date-parts":[["2022",3,10]]}}}],"schema":"https://github.com/citation-style-language/schema/raw/master/csl-citation.json"}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2,3</w:t>
      </w:r>
      <w:r>
        <w:fldChar w:fldCharType="end"/>
      </w:r>
      <w:r>
        <w:t>.</w:t>
      </w:r>
      <w:r>
        <w:rPr>
          <w:szCs w:val="24"/>
        </w:rPr>
        <w:t xml:space="preserve"> For the GCTA-GREML analyses, we implemented our customized quality control protocol on non-imputed CLSA data in genome assembly GRCh37. </w:t>
      </w:r>
      <w:r>
        <w:rPr>
          <w:szCs w:val="24"/>
        </w:rPr>
        <w:br/>
        <w:t>First, variants were removed if they failed CLSA’s marker-based quality control</w:t>
      </w:r>
      <w:r>
        <w:t xml:space="preserve"> (see section 3 of CLSA data release 3.0 section 4)</w:t>
      </w:r>
      <w:r>
        <w:rPr>
          <w:szCs w:val="24"/>
        </w:rPr>
        <w:t xml:space="preserve">, including if the variants were determined to be an insertion and deletion and had greater than </w:t>
      </w:r>
      <w:r>
        <w:t>zero</w:t>
      </w:r>
      <w:r>
        <w:rPr>
          <w:szCs w:val="24"/>
        </w:rPr>
        <w:t xml:space="preserve"> batches that failed the frequency discordance test, Hardy Weinberg Equilibrium test, control genotype discordance test, or the sex genotype frequency test. Additional variant-level quality control was conducted using  PLINK v1.90 beta </w:t>
      </w:r>
      <w:r>
        <w:fldChar w:fldCharType="begin"/>
      </w:r>
      <w:r w:rsidR="00AA2794">
        <w:instrText xml:space="preserve"> ADDIN ZOTERO_ITEM CSL_CITATION {"citationID":"lYTNmjAW","properties":{"formattedCitation":"\\super 4\\nosupersub{}","plainCitation":"4","noteIndex":0},"citationItems":[{"id":128,"uris":["http://zotero.org/users/6391047/items/2N3LBLFC"],"itemData":{"id":128,"type":"article-journal","abstract":"Whole-genome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analysis.","container-title":"American Journal of Human Genetics","DOI":"10.1086/519795","ISSN":"0002-9297","issue":"3","journalAbbreviation":"Am J Hum Genet","language":"eng","note":"PMID: 17701901\nPMCID: PMC1950838","page":"559-575","source":"PubMed","title":"PLINK: a tool set for whole-genome association and population-based linkage analyses","title-short":"PLINK","volume":"81","author":[{"family":"Purcell","given":"Shaun"},{"family":"Neale","given":"Benjamin"},{"family":"Todd-Brown","given":"Kathe"},{"family":"Thomas","given":"Lori"},{"family":"Ferreira","given":"Manuel A. R."},{"family":"Bender","given":"David"},{"family":"Maller","given":"Julian"},{"family":"Sklar","given":"Pamela"},{"family":"Bakker","given":"Paul I. W.","non-dropping-particle":"de"},{"family":"Daly","given":"Mark J."},{"family":"Sham","given":"Pak C."}],"issued":{"date-parts":[["2007",9]]}}}],"schema":"https://github.com/citation-style-language/schema/raw/master/csl-citation.json"}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4</w:t>
      </w:r>
      <w:r>
        <w:fldChar w:fldCharType="end"/>
      </w:r>
      <w:r>
        <w:t xml:space="preserve"> </w:t>
      </w:r>
      <w:r>
        <w:rPr>
          <w:szCs w:val="24"/>
        </w:rPr>
        <w:t xml:space="preserve">to remove variants with the cut-offs of variant missingness &gt; 0.05 </w:t>
      </w:r>
      <w:r>
        <w:t xml:space="preserve">and </w:t>
      </w:r>
      <w:r>
        <w:rPr>
          <w:szCs w:val="24"/>
        </w:rPr>
        <w:t>minor allele frequency &lt;0.05. Next, samples were removed with missingness &gt;0.01. The data was then LD-pruned (window: 50, step size: 5, R2: 0.5) to (a) check heterozygosity and remove samples with F&gt;0.2 or &lt;-0.2 and (b) remove samples with mismatched imputed and expected sex after pruning the pseudoautosomal region. Samples that failed heterozygosity and sex checks were removed from the non-LD-pruned data. Identity-by-descent was estimated using PRIMUS</w:t>
      </w:r>
      <w:r>
        <w:t xml:space="preserve"> </w:t>
      </w:r>
      <w:r>
        <w:fldChar w:fldCharType="begin"/>
      </w:r>
      <w:r w:rsidR="00AA2794">
        <w:instrText xml:space="preserve"> ADDIN ZOTERO_ITEM CSL_CITATION {"citationID":"mbKQEM1v","properties":{"formattedCitation":"\\super 5\\nosupersub{}","plainCitation":"5","noteIndex":0},"citationItems":[{"id":127,"uris":["http://zotero.org/users/6391047/items/GI5F7U7N"],"itemData":{"id":127,"type":"article-journal","container-title":"The American Journal of Human Genetics","DOI":"10.1016/j.ajhg.2014.10.005","ISSN":"0002-9297, 1537-6605","issue":"5","journalAbbreviation":"The American Journal of Human Genetics","language":"English","note":"publisher: Elsevier\nPMID: 25439724","page":"553-564","source":"www.cell.com","title":"PRIMUS: Rapid Reconstruction of Pedigrees from Genome-wide Estimates of Identity by Descent","title-short":"PRIMUS","volume":"95","author":[{"family":"Staples","given":"Jeffrey"},{"family":"Qiao","given":"Dandi"},{"family":"Cho","given":"Michael H."},{"family":"Silverman","given":"Edwin K."},{"family":"Nickerson","given":"Deborah A."},{"family":"Below","given":"Jennifer E."}],"issued":{"date-parts":[["2014",11,6]]}}}],"schema":"https://github.com/citation-style-language/schema/raw/master/csl-citation.json"}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5</w:t>
      </w:r>
      <w:r>
        <w:fldChar w:fldCharType="end"/>
      </w:r>
      <w:r>
        <w:rPr>
          <w:szCs w:val="24"/>
        </w:rPr>
        <w:t xml:space="preserve">, and we obtained the maximal </w:t>
      </w:r>
      <w:r>
        <w:rPr>
          <w:szCs w:val="24"/>
        </w:rPr>
        <w:lastRenderedPageBreak/>
        <w:t xml:space="preserve">unrelated set of individuals of 3rd-degree relatives (Kinship &lt;0.125). Next, variant identifiers (rsid) were updated to P using the rsIDs corresponding with the Affymetrix array identifiers and variants were filtered out for Hardy Weinberg Equilibrium &lt; </w:t>
      </w:r>
      <m:oMath>
        <m:sSup>
          <m:sSupPr>
            <m:ctrlPr>
              <w:rPr>
                <w:rFonts w:ascii="Cambria Math" w:hAnsi="Cambria Math"/>
              </w:rPr>
            </m:ctrlPr>
          </m:sSupPr>
          <m:e>
            <m:sSup>
              <m:sSupPr>
                <m:ctrlPr>
                  <w:rPr>
                    <w:rFonts w:ascii="Cambria Math" w:hAnsi="Cambria Math"/>
                    <w:szCs w:val="24"/>
                  </w:rPr>
                </m:ctrlPr>
              </m:sSupPr>
              <m:e>
                <m:r>
                  <w:rPr>
                    <w:rFonts w:ascii="Cambria Math" w:hAnsi="Cambria Math"/>
                    <w:szCs w:val="24"/>
                  </w:rPr>
                  <m:t>1×10</m:t>
                </m:r>
              </m:e>
              <m:sup>
                <m:r>
                  <w:rPr>
                    <w:rFonts w:ascii="Cambria Math" w:hAnsi="Cambria Math"/>
                    <w:szCs w:val="24"/>
                  </w:rPr>
                  <m:t>-8</m:t>
                </m:r>
              </m:sup>
            </m:sSup>
          </m:e>
          <m:sup/>
        </m:sSup>
      </m:oMath>
      <w:r>
        <w:rPr>
          <w:szCs w:val="24"/>
        </w:rPr>
        <w:t xml:space="preserve">.  </w:t>
      </w:r>
    </w:p>
    <w:p w14:paraId="5E0A0C3A" w14:textId="13BFE329" w:rsidR="002B5DC0" w:rsidRDefault="002B5DC0" w:rsidP="002B5DC0">
      <w:r>
        <w:rPr>
          <w:szCs w:val="24"/>
        </w:rPr>
        <w:t xml:space="preserve">Genetic ancestry principal components were calculated on autosomal genotyped data using PRIMUS </w:t>
      </w:r>
      <w:r>
        <w:fldChar w:fldCharType="begin"/>
      </w:r>
      <w:r w:rsidR="00AA2794">
        <w:instrText xml:space="preserve"> ADDIN ZOTERO_ITEM CSL_CITATION {"citationID":"Ug01z7CY","properties":{"formattedCitation":"\\super 5\\nosupersub{}","plainCitation":"5","noteIndex":0},"citationItems":[{"id":127,"uris":["http://zotero.org/users/6391047/items/GI5F7U7N"],"itemData":{"id":127,"type":"article-journal","container-title":"The American Journal of Human Genetics","DOI":"10.1016/j.ajhg.2014.10.005","ISSN":"0002-9297, 1537-6605","issue":"5","journalAbbreviation":"The American Journal of Human Genetics","language":"English","note":"publisher: Elsevier\nPMID: 25439724","page":"553-564","source":"www.cell.com","title":"PRIMUS: Rapid Reconstruction of Pedigrees from Genome-wide Estimates of Identity by Descent","title-short":"PRIMUS","volume":"95","author":[{"family":"Staples","given":"Jeffrey"},{"family":"Qiao","given":"Dandi"},{"family":"Cho","given":"Michael H."},{"family":"Silverman","given":"Edwin K."},{"family":"Nickerson","given":"Deborah A."},{"family":"Below","given":"Jennifer E."}],"issued":{"date-parts":[["2014",11,6]]}}}],"schema":"https://github.com/citation-style-language/schema/raw/master/csl-citation.json"}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5</w:t>
      </w:r>
      <w:r>
        <w:fldChar w:fldCharType="end"/>
      </w:r>
      <w:r>
        <w:t xml:space="preserve"> </w:t>
      </w:r>
      <w:r>
        <w:rPr>
          <w:szCs w:val="24"/>
        </w:rPr>
        <w:t>to extract 20 principal components. The European ancestry sample retained participants overlapping with CEU and TSI HapMap3 ancestries. The final unrelated European sample of non-imputed genotyped data had 369</w:t>
      </w:r>
      <w:r w:rsidR="0055093F">
        <w:rPr>
          <w:szCs w:val="24"/>
        </w:rPr>
        <w:t>,</w:t>
      </w:r>
      <w:r>
        <w:rPr>
          <w:szCs w:val="24"/>
        </w:rPr>
        <w:t>558 variants and 20</w:t>
      </w:r>
      <w:r w:rsidR="0055093F">
        <w:rPr>
          <w:szCs w:val="24"/>
        </w:rPr>
        <w:t>,</w:t>
      </w:r>
      <w:r>
        <w:rPr>
          <w:szCs w:val="24"/>
        </w:rPr>
        <w:t>989</w:t>
      </w:r>
      <w:r>
        <w:rPr>
          <w:b/>
          <w:i/>
          <w:szCs w:val="24"/>
        </w:rPr>
        <w:t xml:space="preserve"> </w:t>
      </w:r>
      <w:r>
        <w:rPr>
          <w:szCs w:val="24"/>
        </w:rPr>
        <w:t>individuals</w:t>
      </w:r>
      <w:r>
        <w:rPr>
          <w:i/>
          <w:szCs w:val="24"/>
        </w:rPr>
        <w:t xml:space="preserve"> </w:t>
      </w:r>
      <w:r>
        <w:rPr>
          <w:szCs w:val="24"/>
        </w:rPr>
        <w:t>passing quality control thresholds. For GCTA-GREML analyses, 195</w:t>
      </w:r>
      <w:r w:rsidR="008F0739">
        <w:rPr>
          <w:szCs w:val="24"/>
        </w:rPr>
        <w:t>,</w:t>
      </w:r>
      <w:r>
        <w:rPr>
          <w:szCs w:val="24"/>
        </w:rPr>
        <w:t>22 individuals were included because they had no missing values for the music engagement phenotype, age, and sex.</w:t>
      </w:r>
    </w:p>
    <w:p w14:paraId="4283ECAE" w14:textId="77777777" w:rsidR="002B5DC0" w:rsidRDefault="002B5DC0" w:rsidP="002B5DC0">
      <w:pPr>
        <w:pStyle w:val="Heading3"/>
        <w:ind w:left="720" w:hanging="720"/>
      </w:pPr>
      <w:bookmarkStart w:id="16" w:name="_xwy5for2ifig" w:colFirst="0" w:colLast="0"/>
      <w:bookmarkStart w:id="17" w:name="_Toc194836072"/>
      <w:bookmarkStart w:id="18" w:name="_Toc210218309"/>
      <w:bookmarkEnd w:id="16"/>
      <w:r>
        <w:t>2.1.2. Quality Control for Imputed Genotype Data (for GWAS Analyses)</w:t>
      </w:r>
      <w:bookmarkEnd w:id="17"/>
      <w:bookmarkEnd w:id="18"/>
    </w:p>
    <w:p w14:paraId="5A1BA05B" w14:textId="1BC977AA" w:rsidR="002B5DC0" w:rsidRDefault="002B5DC0" w:rsidP="002B5DC0">
      <w:r>
        <w:t xml:space="preserve">For GWAS analyses, we accessed the TOPMed r2 reference panel imputed data from CLSA version 3.0 for 26,222 participants who passed the CLSA quality control protocol (see CLSA data release 3.0 section 4). </w:t>
      </w:r>
      <w:r w:rsidR="008F0739">
        <w:rPr>
          <w:color w:val="000000"/>
        </w:rPr>
        <w:t>The CLSA cohort conducted pre-imputation genetic quality control on the data of 26,622 individuals who were genotyped using UK Biobank Axiom array for 794,409 SNPs. The CLSA followed standardized quality filtering procedures similar to the UK Biobank (see CLSA version 3.0, section 1.4.3</w:t>
      </w:r>
      <w:hyperlink r:id="rId8" w:history="1">
        <w:r w:rsidR="008F0739">
          <w:rPr>
            <w:rStyle w:val="Hyperlink"/>
            <w:rFonts w:eastAsiaTheme="majorEastAsia"/>
            <w:color w:val="000000"/>
          </w:rPr>
          <w:t>(1)</w:t>
        </w:r>
      </w:hyperlink>
      <w:r w:rsidR="008F0739">
        <w:rPr>
          <w:color w:val="000000"/>
        </w:rPr>
        <w:t>).</w:t>
      </w:r>
      <w:r w:rsidR="008F0739">
        <w:t xml:space="preserve"> </w:t>
      </w:r>
      <w:r>
        <w:t xml:space="preserve">For post-imputation quality control, multi-allelic variants were excluded, and variants with imputation information score &gt; 0.8 were included. As per CLSA’s quality control protocol, samples were removed if they were determined to be outliers for heterozygosity or genotype missingness and had mismatches between self-reported and chromosomal sex </w:t>
      </w:r>
      <w:r>
        <w:fldChar w:fldCharType="begin"/>
      </w:r>
      <w:r w:rsidR="00AA2794">
        <w:instrText xml:space="preserve"> ADDIN ZOTERO_ITEM CSL_CITATION {"citationID":"KibTSR4Z","properties":{"formattedCitation":"\\super 6\\nosupersub{}","plainCitation":"6","noteIndex":0},"citationItems":[{"id":129,"uris":["http://zotero.org/users/6391047/items/HKRJTT2Q"],"itemData":{"id":129,"type":"article-journal","abstract":"Genetic and environmental factors contribute to maintaining health and in the development of disease and disability as people age. The Canadian Longitudinal Study on Aging (CLSA) is a national long-term cohort study that will follow approximately 50,000 men and women, and presents a unique opportunity to study genetic and environmental contributions to human health and disease by providing information on the changing biological, medical, psychological, social, lifestyle and economic aspects of participants’ lives. This document describes the availability and quality assessment of genetic data for 26,622 CLSA participants, comprising genome-wide genotype data for 794,409 markers and whole-genome imputed data for ~308 million genetic variants. Quality assessment includes both marker- and sample-based tests, as well as analysis of population structure and familial relatedness. Qualiﬁed researchers from any country can obtain access to these genomic and phenotypic data via the CLSA data access webpage at https://www.clsa-elcv.ca/data-access.","language":"en","source":"Zotero","title":"The Canadian Longitudinal Study on Aging","author":[{"family":"Forgetta","given":"Vincenzo"},{"family":"Darmond-Zwaig","given":"Corinne"},{"family":"Belisle","given":"Alexandre"},{"family":"Li","given":"Rui"},{"family":"Balion","given":"Cynthia"},{"family":"Wolfson","given":"Christina"},{"family":"Kirkland","given":"Susan"},{"family":"Lettre","given":"Guillaume"},{"family":"Pare","given":"Guillaume"},{"family":"Verschoor","given":"Chris"},{"family":"Lathrop","given":"Mark"},{"family":"Raina","given":"Parminder"},{"family":"Richards","given":"J Brent"}]}}],"schema":"https://github.com/citation-style-language/schema/raw/master/csl-citation.json"}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6</w:t>
      </w:r>
      <w:r>
        <w:fldChar w:fldCharType="end"/>
      </w:r>
      <w:r>
        <w:t xml:space="preserve">. Next, variants were remapped from chromosome:base pair coordinates to rsIDs using dbSNP155 mappings for genome assembly GRCh38 (downloaded from </w:t>
      </w:r>
      <w:hyperlink r:id="rId9">
        <w:r>
          <w:rPr>
            <w:color w:val="1155CC"/>
            <w:u w:val="single"/>
          </w:rPr>
          <w:t>https://hgdownload.soe.ucsc.edu/gbdb/hg38/snp/dbSnp155.bb</w:t>
        </w:r>
      </w:hyperlink>
      <w:r>
        <w:t xml:space="preserve"> on March, 13, 2024).. Lastly, before GWAS analysis, we removed variants with minor allele frequency &lt; 0.01 using PLINK2.0 </w:t>
      </w:r>
      <w:r>
        <w:fldChar w:fldCharType="begin"/>
      </w:r>
      <w:r w:rsidR="00AA2794">
        <w:instrText xml:space="preserve"> ADDIN ZOTERO_ITEM CSL_CITATION {"citationID":"tQvOcm7r","properties":{"formattedCitation":"\\super 7\\nosupersub{}","plainCitation":"7","noteIndex":0},"citationItems":[{"id":126,"uris":["http://zotero.org/users/6391047/items/AWUCR547"],"itemData":{"id":126,"type":"article-journal","abstract":"BACKGROUND: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format.\nFINDINGS: To address these issues, we are developing a second-generation codebase for PLINK. The first major release from this codebase, PLINK 1.9, introduces extensive use of bit-level parallelism, [Formula: see text]-time/constant-space Hardy-Weinberg equilibrium and Fisher's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2.0).\nCONCLUSIONS: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use.","container-title":"GigaScience","DOI":"10.1186/s13742-015-0047-8","ISSN":"2047-217X","journalAbbreviation":"Gigascience","language":"eng","note":"PMID: 25722852\nPMCID: PMC4342193","page":"7","source":"PubMed","title":"Second-generation PLINK: rising to the challenge of larger and richer datasets","title-short":"Second-generation PLINK","volume":"4","author":[{"family":"Chang","given":"Christopher C."},{"family":"Chow","given":"Carson C."},{"family":"Tellier","given":"Laurent Cam"},{"family":"Vattikuti","given":"Shashaank"},{"family":"Purcell","given":"Shaun M."},{"family":"Lee","given":"James J."}],"issued":{"date-parts":[["2015"]]}}}],"schema":"https://github.com/citation-style-language/schema/raw/master/csl-citation.json"}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7</w:t>
      </w:r>
      <w:r>
        <w:fldChar w:fldCharType="end"/>
      </w:r>
      <w:r>
        <w:t>.</w:t>
      </w:r>
    </w:p>
    <w:p w14:paraId="70E3B865" w14:textId="77777777" w:rsidR="002B5DC0" w:rsidRDefault="002B5DC0" w:rsidP="002B5DC0">
      <w:r>
        <w:rPr>
          <w:szCs w:val="24"/>
        </w:rPr>
        <w:t xml:space="preserve">The European subset (cluster four matching with populations of European ancestry) was extracted from CLSA’s sample quality control metrics file, resulting in N=24,601 Europeans with 8,321,411 variants. </w:t>
      </w:r>
      <w:r>
        <w:t xml:space="preserve">For GWAS analyses, N=23,782 were included because they had complete data for active music engagement frequency, sex, and age. </w:t>
      </w:r>
      <w:r>
        <w:rPr>
          <w:szCs w:val="24"/>
        </w:rPr>
        <w:t>Additionally, the first s</w:t>
      </w:r>
      <w:r>
        <w:t>even</w:t>
      </w:r>
      <w:r>
        <w:rPr>
          <w:szCs w:val="24"/>
        </w:rPr>
        <w:t xml:space="preserve"> principal components were selected from CLSA’s sample quality control metrics file as genetic </w:t>
      </w:r>
      <w:r>
        <w:rPr>
          <w:szCs w:val="24"/>
        </w:rPr>
        <w:lastRenderedPageBreak/>
        <w:t>ancestry covariates to control for population substructure (see CLSA data release 3.0 sections 4.4 and 4.5).</w:t>
      </w:r>
      <w:r>
        <w:t xml:space="preserve"> For all analyses in LDSC and Two-sample Mendelian Randomization, we used </w:t>
      </w:r>
      <w:r w:rsidRPr="004E3ACE">
        <w:rPr>
          <w:i/>
          <w:iCs/>
        </w:rPr>
        <w:t>pyliftover</w:t>
      </w:r>
      <w:r>
        <w:t xml:space="preserve"> and </w:t>
      </w:r>
      <w:r w:rsidRPr="004E3ACE">
        <w:rPr>
          <w:i/>
          <w:iCs/>
        </w:rPr>
        <w:t>summary-gwas-imputation</w:t>
      </w:r>
      <w:r>
        <w:t xml:space="preserve"> (https://github.com/hakyimlab/summary-gwas-imputation) to remap the GWAS summary statistics from hg38 to hg19. </w:t>
      </w:r>
    </w:p>
    <w:p w14:paraId="6B25E5C3" w14:textId="77777777" w:rsidR="002B5DC0" w:rsidRDefault="002B5DC0" w:rsidP="002B5DC0">
      <w:pPr>
        <w:pStyle w:val="Heading3"/>
        <w:ind w:left="720" w:hanging="720"/>
      </w:pPr>
      <w:bookmarkStart w:id="19" w:name="_6yzsv4npv2fb" w:colFirst="0" w:colLast="0"/>
      <w:bookmarkStart w:id="20" w:name="_Toc194836073"/>
      <w:bookmarkStart w:id="21" w:name="_Toc210218310"/>
      <w:bookmarkEnd w:id="19"/>
      <w:r>
        <w:t>2.1.3. Phenotype Selection and Data Cleaning for Bivariate-GREML</w:t>
      </w:r>
      <w:bookmarkEnd w:id="20"/>
      <w:bookmarkEnd w:id="21"/>
      <w:r>
        <w:t xml:space="preserve"> </w:t>
      </w:r>
    </w:p>
    <w:p w14:paraId="27EC5969" w14:textId="77777777" w:rsidR="002B5DC0" w:rsidRDefault="002B5DC0" w:rsidP="002B5DC0">
      <w:r>
        <w:t xml:space="preserve">We selected individuals who had complete data for sex and age and met all quality control standards as described in supplementary methods 1.1. For health traits, we scanned all available variables in the CLSA comprehensive baseline assessment v7.0. including psychiatric and mental health, cognitive, physical activity, mobility, social participation, alcohol use, and smoking variables. The complete list of variables included with their naming convention in CLSA, and their cleaning and recoding is available in </w:t>
      </w:r>
      <w:r>
        <w:rPr>
          <w:b/>
        </w:rPr>
        <w:t>Supplementary Table 2</w:t>
      </w:r>
      <w:r>
        <w:t>. For psychiatric diagnoses, we included diagnoses for anxiety (N=</w:t>
      </w:r>
      <w:r w:rsidRPr="007A681D">
        <w:t xml:space="preserve">1756 </w:t>
      </w:r>
      <w:r>
        <w:t>cases for “CCC_ANXI_COM”), mood disorder (N=</w:t>
      </w:r>
      <w:r w:rsidRPr="008775FE">
        <w:t xml:space="preserve">3484 </w:t>
      </w:r>
      <w:r>
        <w:t xml:space="preserve">cases for “CCC_MOOD_COM”), and (N=3,301 cases for “DPR_CLINDEP_COM”). However, we did not include Alzheimer’s disease diagnosis in bivariate-GREML genetic correlations due to the low case count (N=68 cases for “CC_ALZH_COM”). For mental health traits, we did not include the PC-PTSD scale because of the low case count for positively screened PTSD cases (N=1,502). For cognitive variables, we excluded “TMT” and “PMT” variables due to their low variability in responses. We included the following seven cognitive variables for analysis. For the Stroop task, we included the time to complete the third Stroop task (“STP_COLTIME_SS_COM”) and log-transformed the values. For the reaction time task, we included the log-transformed speed (mean reaction time without outliers in ms, “CRT_MRTWOUT_CORRANS_COM”). We created averaged scores for the number of animal words recited in 60 seconds (“ COG_AFT_SCORE_1_COM” and “COG_AFT_SCORE_2_COM”) and for the number of “F”, “A”, “S” words recited in 60 seconds (“FAS_F_SCORE_COM,” “FAS_A_SCORE_COM,” and “FAS_S_SCORE_COM”). We included the number of words recalled in 90 seconds for the immediate and delayed recall of the Rey Auditory Verbal Learning Test (“COG_REYI_SCORE_COM” and “COG_REYII_SCORE_COM”). Lastly, we included the “Number of correct consecutive numeric and alphabetical alternations in 30 seconds” (“COG_MAT_SCORE_COM”). We performed a principal component analysis of the aforementioned cognitive variables. However, </w:t>
      </w:r>
      <w:r>
        <w:lastRenderedPageBreak/>
        <w:t xml:space="preserve">results revealed limited dimension reduction as the five principal components explained 83% of the variance. For physical activity, we created a sum score of five physical activity frequency variables from the PASE scale, which were coded as 1=Never, 2=Seldom (1 to 2 days), 3=Sometimes (3 to 4 days), 4=Often (5 to 7 days) ("PA2_WALK_MCQ", "PA2_LSPRT_MCQ", "PA2_MSPRT_MCQ", "PA2_SSPRT_MCQ", and "PA2_EXER_MCQ"). We removed any participants who had NA for one of the variables, and we then log-transformed the sum score before analyses to approximate a normal distribution. </w:t>
      </w:r>
    </w:p>
    <w:p w14:paraId="312ED674" w14:textId="77777777" w:rsidR="002B5DC0" w:rsidRDefault="002B5DC0" w:rsidP="002B5DC0"/>
    <w:p w14:paraId="6CE5FAA7" w14:textId="77777777" w:rsidR="002B5DC0" w:rsidRDefault="002B5DC0" w:rsidP="002B5DC0">
      <w:pPr>
        <w:pStyle w:val="Heading2"/>
        <w:spacing w:before="0" w:after="200"/>
        <w:ind w:left="720" w:hanging="720"/>
      </w:pPr>
      <w:bookmarkStart w:id="22" w:name="_3znysh7" w:colFirst="0" w:colLast="0"/>
      <w:bookmarkStart w:id="23" w:name="_Toc194836074"/>
      <w:bookmarkStart w:id="24" w:name="_Toc210218311"/>
      <w:bookmarkEnd w:id="22"/>
      <w:r>
        <w:t>2.2. Wisconsin Longitudinal Study</w:t>
      </w:r>
      <w:bookmarkEnd w:id="23"/>
      <w:bookmarkEnd w:id="24"/>
      <w:r>
        <w:t xml:space="preserve"> </w:t>
      </w:r>
    </w:p>
    <w:p w14:paraId="4DCDC2B1" w14:textId="7D60F0B3" w:rsidR="002B5DC0" w:rsidRDefault="002B5DC0" w:rsidP="002B5DC0">
      <w:pPr>
        <w:spacing w:before="0"/>
      </w:pPr>
      <w:r>
        <w:t xml:space="preserve">WLS is a longitudinal study of men and women who graduated from Wisconsin high schools in 1957 and one of their randomly selected siblings with data spanning over 60 years that allows researchers to link recently collected genetic data to social, health, and demographic characteristics </w:t>
      </w:r>
      <w:r>
        <w:fldChar w:fldCharType="begin"/>
      </w:r>
      <w:r w:rsidR="00AA2794">
        <w:instrText xml:space="preserve"> ADDIN ZOTERO_ITEM CSL_CITATION {"citationID":"Q2KWVmAt","properties":{"formattedCitation":"\\super 8\\nosupersub{}","plainCitation":"8","noteIndex":0},"citationItems":[{"id":277,"uris":["http://zotero.org/users/6391047/items/7M87YIMF"],"itemData":{"id":277,"type":"article-journal","abstract":"The Wisconsin Longitudinal Study (WLS) is a longitudinal study of men and women who graduated from Wisconsin high schools in 1957 and one of their randomly selected siblings. Wisconsin is located in the upper midwest of the United States and had a population of approximately 14 000 000 in 1957, making it the 14th most populous state at that time. Data spanning almost 60 years allow researchers to link family background, adolescent characteristics, educational experiences, employment experiences, income, wealth, family formation and social and religious engagement to midlife and late-life physical health, mental health, psychological well-being, cognition, end of life planning and mortality. The WLS is one of the few longitudinal data sets that include an administrative measure of cognition from childhood. Further, recently collected saliva samples allow researchers to explore the inter-relationships among genes, behaviours and environment, including genetic determinants of behaviours (e.g. educational attainment); the interactions between genes and environment; and how these interactions predict behaviours. Most panel members were born in 1939, and the sample is broadly representative of White, non-Hispanic American men and women who have completed at least a high school education. Siblings cover several adjoining cohorts: they were born primarily between 1930 and 1948. At each interview, about two-thirds of the sample lived in Wisconsin, and about one-third lived elsewhere in the United States or abroad. The data, along with documentation, are publicly accessible and can be accessed at http://www.ssc.wisc.edu/wlsresearch/. Requests for protected data or assistance should be sent to wls@ssc.wisc.edu.","container-title":"International Journal of Epidemiology","DOI":"10.1093/ije/dys194","ISSN":"0300-5771","issue":"1","journalAbbreviation":"Int J Epidemiol","note":"PMID: 24585852\nPMCID: PMC3937969","page":"34-41","source":"PubMed Central","title":"Cohort Profile: Wisconsin longitudinal study (WLS)","title-short":"Cohort Profile","volume":"43","author":[{"family":"Herd","given":"Pamela"},{"family":"Carr","given":"Deborah"},{"family":"Roan","given":"Carol"}],"issued":{"date-parts":[["2014",2]]}}}],"schema":"https://github.com/citation-style-language/schema/raw/master/csl-citation.json"}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8</w:t>
      </w:r>
      <w:r>
        <w:fldChar w:fldCharType="end"/>
      </w:r>
      <w:r>
        <w:t xml:space="preserve">. We extracted phenotype data from release 13.07 of WLS data, specifically the “2003–2005” and “2011” waves of data collection for graduates and spouses, which were collected via the Social and Civic participation module of the mail-in survey. The active music engagement measure was: “During the past year, how many hours per month did you play a musical instrument?” (q7spd_1). Due to a largely skewed distribution, we binarized the phenotype to those who practice &gt;0 hours per month (cases) and those who practice 0 hours per month (controls). </w:t>
      </w:r>
    </w:p>
    <w:p w14:paraId="69B2DB09" w14:textId="77777777" w:rsidR="002B5DC0" w:rsidRDefault="002B5DC0" w:rsidP="002B5DC0">
      <w:pPr>
        <w:spacing w:before="0"/>
      </w:pPr>
    </w:p>
    <w:p w14:paraId="0D89E734" w14:textId="70A37CEF" w:rsidR="002B5DC0" w:rsidRDefault="002B5DC0" w:rsidP="002B5DC0">
      <w:pPr>
        <w:spacing w:before="0"/>
      </w:pPr>
      <w:r>
        <w:t xml:space="preserve">For genetic data, we pulled publicly available Haplotype Reference Consortium (HRC) imputed data from Lee et al.’s (2018) GWAS of educational attainment </w:t>
      </w:r>
      <w:r>
        <w:fldChar w:fldCharType="begin"/>
      </w:r>
      <w:r w:rsidR="00AA2794">
        <w:instrText xml:space="preserve"> ADDIN ZOTERO_ITEM CSL_CITATION {"citationID":"08VHdO8G","properties":{"formattedCitation":"\\super 9\\nosupersub{}","plainCitation":"9","noteIndex":0},"citationItems":[{"id":79,"uris":["http://zotero.org/users/6391047/items/9N8USHXN"],"itemData":{"id":79,"type":"article-journal","abstract":"Here we conducted a large-scale genetic association analysis of educational attainment in a sample of approximately 1.1 million individuals and identify 1,271 independent genome-wide-significant SNPs. For the SNPs taken together, we found evidence of heterogeneous effects across environments. The SNPs implicate genes involved in brain-development processes and neuron-to-neuron communication. In a separate analysis of the X chromosome, we identify 10 independent genome-wide-significant SNPs and estimate a SNP heritability of around 0.3% in both men and women, consistent with partial dosage compensation. A joint (multi-phenotype) analysis of educational attainment and three related cognitive phenotypes generates polygenic scores that explain 11–13% of the variance in educational attainment and 7–10% of the variance in cognitive performance. This prediction accuracy substantially increases the utility of polygenic scores as tools in research.","container-title":"Nature Genetics","DOI":"10.1038/s41588-018-0147-3","ISSN":"1546-1718","issue":"8","journalAbbreviation":"Nat Genet","language":"en","license":"2018 The Author(s)","note":"publisher: Nature Publishing Group","page":"1112-1121","source":"www.nature.com","title":"Gene discovery and polygenic prediction from a genome-wide association study of educational attainment in 1.1 million individuals","volume":"50","author":[{"family":"Lee","given":"James J."},{"family":"Wedow","given":"Robbee"},{"family":"Okbay","given":"Aysu"},{"family":"Kong","given":"Edward"},{"family":"Maghzian","given":"Omeed"},{"family":"Zacher","given":"Meghan"},{"family":"Nguyen-Viet","given":"Tuan Anh"},{"family":"Bowers","given":"Peter"},{"family":"Sidorenko","given":"Julia"},{"family":"Karlsson Linnér","given":"Richard"},{"family":"Fontana","given":"Mark Alan"},{"family":"Kundu","given":"Tushar"},{"family":"Lee","given":"Chanwook"},{"family":"Li","given":"Hui"},{"family":"Li","given":"Ruoxi"},{"family":"Royer","given":"Rebecca"},{"family":"Timshel","given":"Pascal N."},{"family":"Walters","given":"Raymond K."},{"family":"Willoughby","given":"Emily A."},{"family":"Yengo","given":"Loïc"},{"family":"Alver","given":"Maris"},{"family":"Bao","given":"Yanchun"},{"family":"Clark","given":"David W."},{"family":"Day","given":"Felix R."},{"family":"Furlotte","given":"Nicholas A."},{"family":"Joshi","given":"Peter K."},{"family":"Kemper","given":"Kathryn E."},{"family":"Kleinman","given":"Aaron"},{"family":"Langenberg","given":"Claudia"},{"family":"Mägi","given":"Reedik"},{"family":"Trampush","given":"Joey W."},{"family":"Verma","given":"Shefali Setia"},{"family":"Wu","given":"Yang"},{"family":"Lam","given":"Max"},{"family":"Zhao","given":"Jing Hua"},{"family":"Zheng","given":"Zhili"},{"family":"Boardman","given":"Jason D."},{"family":"Campbell","given":"Harry"},{"family":"Freese","given":"Jeremy"},{"family":"Harris","given":"Kathleen Mullan"},{"family":"Hayward","given":"Caroline"},{"family":"Herd","given":"Pamela"},{"family":"Kumari","given":"Meena"},{"family":"Lencz","given":"Todd"},{"family":"Luan","given":"Jian’an"},{"family":"Malhotra","given":"Anil K."},{"family":"Metspalu","given":"Andres"},{"family":"Milani","given":"Lili"},{"family":"Ong","given":"Ken K."},{"family":"Perry","given":"John R. B."},{"family":"Porteous","given":"David J."},{"family":"Ritchie","given":"Marylyn D."},{"family":"Smart","given":"Melissa C."},{"family":"Smith","given":"Blair H."},{"family":"Tung","given":"Joyce Y."},{"family":"Wareham","given":"Nicholas J."},{"family":"Wilson","given":"James F."},{"family":"Beauchamp","given":"Jonathan P."},{"family":"Conley","given":"Dalton C."},{"family":"Esko","given":"Tõnu"},{"family":"Lehrer","given":"Steven F."},{"family":"Magnusson","given":"Patrik K. E."},{"family":"Oskarsson","given":"Sven"},{"family":"Pers","given":"Tune H."},{"family":"Robinson","given":"Matthew R."},{"family":"Thom","given":"Kevin"},{"family":"Watson","given":"Chelsea"},{"family":"Chabris","given":"Christopher F."},{"family":"Meyer","given":"Michelle N."},{"family":"Laibson","given":"David I."},{"family":"Yang","given":"Jian"},{"family":"Johannesson","given":"Magnus"},{"family":"Koellinger","given":"Philipp D."},{"family":"Turley","given":"Patrick"},{"family":"Visscher","given":"Peter M."},{"family":"Benjamin","given":"Daniel J."},{"family":"Cesarini","given":"David"}],"issued":{"date-parts":[["2018",8]]}}}],"schema":"https://github.com/citation-style-language/schema/raw/master/csl-citation.json"}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9</w:t>
      </w:r>
      <w:r>
        <w:fldChar w:fldCharType="end"/>
      </w:r>
      <w:r>
        <w:t>. In summary, Lee et al. (2018) extracted genotype data from the Illumina Human Omni Express Bead Chip, which was available for 9109 individuals and 713,014 variants. Prior to imputation, 373 non-European individuals were identified and removed by plotting principal components of individuals’ genotype data together with 1000 Genomes populations. Second, individuals were excluded for genotype missingness &lt;0.05, no mismatch between genetic and surveyed sex, no mismatch between surveyed relationship data and genetic relatedness, and extreme homozygosity/heterozygosity values (Fhet &gt; |0.03|). SNPs were removed if they had a call rate &lt;0.05, HWE p-value &lt;10</w:t>
      </w:r>
      <w:r>
        <w:rPr>
          <w:vertAlign w:val="superscript"/>
        </w:rPr>
        <w:t>-5</w:t>
      </w:r>
      <w:r>
        <w:t xml:space="preserve">, and MAF&lt;0.01.  SNPs were also removed if: (i) A/T or G/C alleles </w:t>
      </w:r>
      <w:r>
        <w:lastRenderedPageBreak/>
        <w:t xml:space="preserve">and a minor allele frequency greater than 0.4, (ii) alleles that do not match the HRC data, (iii) minor allele frequency discrepancy with the HRC data &gt;0.2, (iv) not available in the HRC data. The final dataset used for imputation had 8,527 individuals with 604,710 SNPs autosomal SNPs, which were imputed to the Haplotype Reference Consortium (HRC) v1.1 European reference panel using the Michigan Imputation Server. For post-imputation quality control, we removed variants with </w:t>
      </w:r>
      <w:r>
        <w:rPr>
          <w:i/>
        </w:rPr>
        <w:t>r</w:t>
      </w:r>
      <w:r>
        <w:rPr>
          <w:i/>
          <w:vertAlign w:val="superscript"/>
        </w:rPr>
        <w:t>2</w:t>
      </w:r>
      <w:r>
        <w:t>&lt;0.7 and MAF</w:t>
      </w:r>
      <w:r w:rsidR="00C8118B">
        <w:t>&lt;</w:t>
      </w:r>
      <w:r>
        <w:t>0.01 and duplicate variants using PLINK 1.9</w:t>
      </w:r>
      <w:r>
        <w:fldChar w:fldCharType="begin"/>
      </w:r>
      <w:r w:rsidR="00AA2794">
        <w:instrText xml:space="preserve"> ADDIN ZOTERO_ITEM CSL_CITATION {"citationID":"mUmf6nf3","properties":{"formattedCitation":"\\super 4\\nosupersub{}","plainCitation":"4","noteIndex":0},"citationItems":[{"id":128,"uris":["http://zotero.org/users/6391047/items/2N3LBLFC"],"itemData":{"id":128,"type":"article-journal","abstract":"Whole-genome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analysis.","container-title":"American Journal of Human Genetics","DOI":"10.1086/519795","ISSN":"0002-9297","issue":"3","journalAbbreviation":"Am J Hum Genet","language":"eng","note":"PMID: 17701901\nPMCID: PMC1950838","page":"559-575","source":"PubMed","title":"PLINK: a tool set for whole-genome association and population-based linkage analyses","title-short":"PLINK","volume":"81","author":[{"family":"Purcell","given":"Shaun"},{"family":"Neale","given":"Benjamin"},{"family":"Todd-Brown","given":"Kathe"},{"family":"Thomas","given":"Lori"},{"family":"Ferreira","given":"Manuel A. R."},{"family":"Bender","given":"David"},{"family":"Maller","given":"Julian"},{"family":"Sklar","given":"Pamela"},{"family":"Bakker","given":"Paul I. W.","non-dropping-particle":"de"},{"family":"Daly","given":"Mark J."},{"family":"Sham","given":"Pak C."}],"issued":{"date-parts":[["2007",9]]}}}],"schema":"https://github.com/citation-style-language/schema/raw/master/csl-citation.json"}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4</w:t>
      </w:r>
      <w:r>
        <w:fldChar w:fldCharType="end"/>
      </w:r>
      <w:r>
        <w:t xml:space="preserve">. Before PGS analyses, we removed participants determined to be 3rd-degree related by Herd et al.’s (2016) QC report (see Wisconsin longitudinal study data availability). Herd et al. (2016) estimated IBD coefficients using 94,261 autosomal SNPs and the KING-robust procedure implemented in the R package </w:t>
      </w:r>
      <w:r w:rsidRPr="004E3ACE">
        <w:rPr>
          <w:i/>
          <w:iCs/>
        </w:rPr>
        <w:t>SNPRelate</w:t>
      </w:r>
      <w:r>
        <w:fldChar w:fldCharType="begin"/>
      </w:r>
      <w:r w:rsidR="00AA2794">
        <w:instrText xml:space="preserve"> ADDIN ZOTERO_ITEM CSL_CITATION {"citationID":"ZJGipnDt","properties":{"formattedCitation":"\\super 8,10\\nosupersub{}","plainCitation":"8,10","noteIndex":0},"citationItems":[{"id":277,"uris":["http://zotero.org/users/6391047/items/7M87YIMF"],"itemData":{"id":277,"type":"article-journal","abstract":"The Wisconsin Longitudinal Study (WLS) is a longitudinal study of men and women who graduated from Wisconsin high schools in 1957 and one of their randomly selected siblings. Wisconsin is located in the upper midwest of the United States and had a population of approximately 14 000 000 in 1957, making it the 14th most populous state at that time. Data spanning almost 60 years allow researchers to link family background, adolescent characteristics, educational experiences, employment experiences, income, wealth, family formation and social and religious engagement to midlife and late-life physical health, mental health, psychological well-being, cognition, end of life planning and mortality. The WLS is one of the few longitudinal data sets that include an administrative measure of cognition from childhood. Further, recently collected saliva samples allow researchers to explore the inter-relationships among genes, behaviours and environment, including genetic determinants of behaviours (e.g. educational attainment); the interactions between genes and environment; and how these interactions predict behaviours. Most panel members were born in 1939, and the sample is broadly representative of White, non-Hispanic American men and women who have completed at least a high school education. Siblings cover several adjoining cohorts: they were born primarily between 1930 and 1948. At each interview, about two-thirds of the sample lived in Wisconsin, and about one-third lived elsewhere in the United States or abroad. The data, along with documentation, are publicly accessible and can be accessed at http://www.ssc.wisc.edu/wlsresearch/. Requests for protected data or assistance should be sent to wls@ssc.wisc.edu.","container-title":"International Journal of Epidemiology","DOI":"10.1093/ije/dys194","ISSN":"0300-5771","issue":"1","journalAbbreviation":"Int J Epidemiol","note":"PMID: 24585852\nPMCID: PMC3937969","page":"34-41","source":"PubMed Central","title":"Cohort Profile: Wisconsin longitudinal study (WLS)","title-short":"Cohort Profile","volume":"43","author":[{"family":"Herd","given":"Pamela"},{"family":"Carr","given":"Deborah"},{"family":"Roan","given":"Carol"}],"issued":{"date-parts":[["2014",2]]}}},{"id":125,"uris":["http://zotero.org/users/6391047/items/EEZ7H8XB"],"itemData":{"id":125,"type":"article-journal","abstract":"Genome-wide association studies are widely used to investigate the genetic basis of diseases and traits, but they pose many computational challenges. We developed gdsfmt and SNPRelate (R packages for multi-core symmetric multiprocessing computer architectures) to accelerate two key computations on SNP data: principal component analysis (PCA) and relatedness analysis using identity-by-descent measures. The kernels of our algorithms are written in C/C++ and highly optimized. Benchmarks show the uniprocessor implementations of PCA and identity-by-descent are </w:instrText>
      </w:r>
      <w:r w:rsidR="00AA2794">
        <w:rPr>
          <w:rFonts w:ascii="Cambria Math" w:hAnsi="Cambria Math" w:cs="Cambria Math"/>
        </w:rPr>
        <w:instrText>∼</w:instrText>
      </w:r>
      <w:r w:rsidR="00AA2794">
        <w:instrText xml:space="preserve">8-50 times faster than the implementations provided in the popular EIGENSTRAT (v3.0) and PLINK (v1.07) programs, respectively, and can be sped up to 30-300-fold by using eight cores. SNPRelate can analyse tens of thousands of samples with millions of SNPs. For example, our package was used to perform PCA on 55 324 subjects from the 'Gene-Environment Association Studies' consortium studies.","container-title":"Bioinformatics (Oxford, England)","DOI":"10.1093/bioinformatics/bts606","ISSN":"1367-4811","issue":"24","journalAbbreviation":"Bioinformatics","language":"eng","note":"PMID: 23060615\nPMCID: PMC3519454","page":"3326-3328","source":"PubMed","title":"A high-performance computing toolset for relatedness and principal component analysis of SNP data","volume":"28","author":[{"family":"Zheng","given":"Xiuwen"},{"family":"Levine","given":"David"},{"family":"Shen","given":"Jess"},{"family":"Gogarten","given":"Stephanie M."},{"family":"Laurie","given":"Cathy"},{"family":"Weir","given":"Bruce S."}],"issued":{"date-parts":[["2012",12,15]]}}}],"schema":"https://github.com/citation-style-language/schema/raw/master/csl-citation.json"} </w:instrText>
      </w:r>
      <w:r>
        <w:fldChar w:fldCharType="separate"/>
      </w:r>
      <w:r w:rsidR="00AA2794" w:rsidRPr="00AA2794">
        <w:rPr>
          <w:rFonts w:eastAsiaTheme="minorHAnsi"/>
          <w:szCs w:val="24"/>
          <w:vertAlign w:val="superscript"/>
          <w:lang w:val="en-US" w:eastAsia="en-US"/>
          <w14:ligatures w14:val="standardContextual"/>
        </w:rPr>
        <w:t>8,10</w:t>
      </w:r>
      <w:r>
        <w:fldChar w:fldCharType="end"/>
      </w:r>
      <w:r>
        <w:t>. The final dataset of N=7,554,744 deduplicated genetic variants for unrelated individuals yielded N=6,189 unrelated individuals. Those who had complete data for age, sex, and active music engagement phenotypes were included in the statistical analyses.</w:t>
      </w:r>
    </w:p>
    <w:p w14:paraId="7E775DD3" w14:textId="77777777" w:rsidR="002B5DC0" w:rsidRDefault="002B5DC0" w:rsidP="002B5DC0">
      <w:pPr>
        <w:spacing w:before="0"/>
      </w:pPr>
    </w:p>
    <w:p w14:paraId="445760BD" w14:textId="77777777" w:rsidR="002B5DC0" w:rsidRDefault="002B5DC0" w:rsidP="002B5DC0">
      <w:pPr>
        <w:spacing w:before="0"/>
      </w:pPr>
      <w:r>
        <w:t xml:space="preserve">We used the genetic ancestry principal components provided by WLS from Lee et al.’s (2018) study to control for population stratification. In Lee et al.’s (2018) study, principal components were calculated in PLINK v1.97 using SNPs with a call rate&gt;0.99, MAF&gt;0.01, and </w:t>
      </w:r>
      <w:r>
        <w:rPr>
          <w:i/>
        </w:rPr>
        <w:t>r</w:t>
      </w:r>
      <w:r>
        <w:rPr>
          <w:i/>
          <w:vertAlign w:val="superscript"/>
        </w:rPr>
        <w:t>2</w:t>
      </w:r>
      <w:r>
        <w:rPr>
          <w:i/>
        </w:rPr>
        <w:t>&gt;</w:t>
      </w:r>
      <w:r>
        <w:t>0.6. Prior to calculating the principal components, long-range LD regions on chromosomes 5 (44-51.5 Mb), 6 (25-33.5 Mb), 8 (8-12 Mb) and 11 (45-57 Mb) were excluded, and the remaining SNPs were LD-pruned (</w:t>
      </w:r>
      <w:r>
        <w:rPr>
          <w:i/>
        </w:rPr>
        <w:t>R2</w:t>
      </w:r>
      <w:r>
        <w:t xml:space="preserve">&lt;0.1 on a 1000kb window). </w:t>
      </w:r>
    </w:p>
    <w:p w14:paraId="6726FA84" w14:textId="77777777" w:rsidR="002B5DC0" w:rsidRDefault="002B5DC0" w:rsidP="002B5DC0">
      <w:pPr>
        <w:spacing w:before="0"/>
      </w:pPr>
    </w:p>
    <w:p w14:paraId="5D657B35" w14:textId="77777777" w:rsidR="002B5DC0" w:rsidRDefault="002B5DC0" w:rsidP="002B5DC0">
      <w:pPr>
        <w:pStyle w:val="Heading2"/>
        <w:spacing w:before="0" w:after="200"/>
        <w:ind w:left="720" w:hanging="720"/>
      </w:pPr>
      <w:bookmarkStart w:id="25" w:name="_Toc210218312"/>
      <w:r>
        <w:t xml:space="preserve">2.3. </w:t>
      </w:r>
      <w:r w:rsidRPr="00B0486D">
        <w:t>Trøndelag Health Study</w:t>
      </w:r>
      <w:bookmarkEnd w:id="25"/>
    </w:p>
    <w:p w14:paraId="1934979E" w14:textId="3A661FEA" w:rsidR="002B5DC0" w:rsidRPr="007600EE" w:rsidRDefault="002B5DC0" w:rsidP="002B5DC0">
      <w:pPr>
        <w:pStyle w:val="paragraph"/>
        <w:spacing w:before="0" w:beforeAutospacing="0" w:after="0" w:afterAutospacing="0" w:line="360" w:lineRule="auto"/>
        <w:textAlignment w:val="baseline"/>
      </w:pPr>
      <w:r w:rsidRPr="007600EE">
        <w:t xml:space="preserve">The </w:t>
      </w:r>
      <w:r w:rsidRPr="007600EE">
        <w:rPr>
          <w:color w:val="000000" w:themeColor="text1"/>
        </w:rPr>
        <w:t xml:space="preserve">Trøndelag Health Study is a population-based cohort study that has collected a broad range of data on health-related topics from adults in Trøndelag county since 1984. In 2019, the study was expanded to included adults from </w:t>
      </w:r>
      <w:r w:rsidRPr="007600EE">
        <w:rPr>
          <w:color w:val="2A2A2A"/>
          <w:shd w:val="clear" w:color="auto" w:fill="FFFFFF"/>
        </w:rPr>
        <w:t>Nord-Trøndelag and Sør-Trøndelag, children, and immigrant populations</w:t>
      </w:r>
      <w:r>
        <w:rPr>
          <w:color w:val="2A2A2A"/>
          <w:shd w:val="clear" w:color="auto" w:fill="FFFFFF"/>
        </w:rPr>
        <w:fldChar w:fldCharType="begin"/>
      </w:r>
      <w:r w:rsidR="00F47F17">
        <w:rPr>
          <w:color w:val="2A2A2A"/>
          <w:shd w:val="clear" w:color="auto" w:fill="FFFFFF"/>
        </w:rPr>
        <w:instrText xml:space="preserve"> ADDIN ZOTERO_ITEM CSL_CITATION {"citationID":"QP63JwQp","properties":{"formattedCitation":"\\super 11\\uc0\\u8211{}13\\nosupersub{}","plainCitation":"11–13","noteIndex":0},"citationItems":[{"id":3953,"uris":["http://zotero.org/users/6391047/items/364FD75T"],"itemData":{"id":3953,"type":"article-journal","abstract":"The Trøndelag Health Study (HUNT) is a population-based cohort of </w:instrText>
      </w:r>
      <w:r w:rsidR="00F47F17">
        <w:rPr>
          <w:rFonts w:ascii="Cambria Math" w:hAnsi="Cambria Math" w:cs="Cambria Math"/>
          <w:color w:val="2A2A2A"/>
          <w:shd w:val="clear" w:color="auto" w:fill="FFFFFF"/>
        </w:rPr>
        <w:instrText>∼</w:instrText>
      </w:r>
      <w:r w:rsidR="00F47F17">
        <w:rPr>
          <w:color w:val="2A2A2A"/>
          <w:shd w:val="clear" w:color="auto" w:fill="FFFFFF"/>
        </w:rPr>
        <w:instrText xml:space="preserve">229,000 individuals recruited in four waves beginning in 1984 in Trøndelag County, Norway. Approximately 88,000 of these individuals have available genetic data from array genotyping. HUNT participants were recruited during four community-based recruitment waves and provided information on health-related behaviors, self-reported diagnoses, family history of disease, and underwent physical examinations. Linkage via the Norwegian personal identification number integrates digitized health care information from doctor visits and national health registries including death, cancer and prescription registries. Genome-wide association studies of HUNT participants have provided insights into the mechanism of cardiovascular, metabolic, osteoporotic, and liver-related diseases, among others. Unique features of this cohort that facilitate research include nearly 40 years of longitudinal follow-up in a motivated and well-educated population, family data, comprehensive phenotyping, and broad availability of DNA, RNA, urine, fecal, plasma, and serum samples.","container-title":"Cell Genomics","DOI":"10.1016/j.xgen.2022.100193","ISSN":"2666-979X","issue":"10","journalAbbreviation":"Cell Genom","language":"eng","note":"PMID: 36777998\nPMCID: PMC9903730","page":"100193","source":"PubMed","title":"The HUNT study: A population-based cohort for genetic research","title-short":"The HUNT study","volume":"2","author":[{"family":"Brumpton","given":"Ben M."},{"family":"Graham","given":"Sarah"},{"family":"Surakka","given":"Ida"},{"family":"Skogholt","given":"Anne Heidi"},{"family":"Løset","given":"Mari"},{"family":"Fritsche","given":"Lars G."},{"family":"Wolford","given":"Brooke"},{"family":"Zhou","given":"Wei"},{"family":"Nielsen","given":"Jonas Bille"},{"family":"Holmen","given":"Oddgeir L."},{"family":"Gabrielsen","given":"Maiken E."},{"family":"Thomas","given":"Laurent"},{"family":"Bhatta","given":"Laxmi"},{"family":"Rasheed","given":"Humaira"},{"family":"Zhang","given":"He"},{"family":"Kang","given":"Hyun Min"},{"family":"Hornsby","given":"Whitney"},{"family":"Moksnes","given":"Marta Riise"},{"family":"Coward","given":"Eivind"},{"family":"Melbye","given":"Mads"},{"family":"Giskeødegård","given":"Guro F."},{"family":"Fenstad","given":"Jørn"},{"family":"Krokstad","given":"Steinar"},{"family":"Næss","given":"Marit"},{"family":"Langhammer","given":"Arnulf"},{"family":"Boehnke","given":"Michael"},{"family":"Abecasis","given":"Gonçalo R."},{"family":"Åsvold","given":"Bjørn Olav"},{"family":"Hveem","given":"Kristian"},{"family":"Willer","given":"Cristen J."}],"issued":{"date-parts":[["2022",10,12]]}}},{"id":3881,"uris":["http://zotero.org/users/6391047/items/927QE6MB"],"itemData":{"id":3881,"type":"article-journal","abstract":"Key FeaturesIn the HUNT Study, all residents aged ≥20 years in the Nord-Trøndelag region, Norway, have been invited to repeated surveys since 1984-86. The study data may be linked to local and national health registries.The HUNT4 survey in 2017-19 included 56 042 participants in Nord-Trøndelag and 107 711 participants in the neighbouring Sør-Trøndelag region.The HUNT4 data enable more long-term follow-up, studies of life course health trajectories and within-family studies.New measures include body composition analysis using bioelectrical impedance; a 1-week accelerometer recording; physical and cognitive testing in older adults; measurements of haemoglobin and blood cell counts, HbA1c and phosphatidylethanol; and genotyping.Researchers can apply for HUNT data access from HUNT Research Centre if they have obtained project approval from the Regional Committee for Medical and Health Research Ethics, see [www.ntnu.edu/hunt/data].","container-title":"International Journal of Epidemiology","DOI":"10.1093/ije/dyac095","ISSN":"0300-5771","issue":"1","journalAbbreviation":"International Journal of Epidemiology","page":"e80-e91","source":"Silverchair","title":"Cohort Profile Update: The HUNT Study, Norway","title-short":"Cohort Profile Update","volume":"52","author":[{"family":"Åsvold","given":"Bjørn Olav"},{"family":"Langhammer","given":"Arnulf"},{"family":"Rehn","given":"Tommy Aune"},{"family":"Kjelvik","given":"Grete"},{"family":"Grøntvedt","given":"Trond Viggo"},{"family":"Sørgjerd","given":"Elin Pettersen"},{"family":"Fenstad","given":"Jørn Søberg"},{"family":"Heggland","given":"Jon"},{"family":"Holmen","given":"Oddgeir"},{"family":"Stuifbergen","given":"Maria C"},{"family":"Vikjord","given":"Sigrid Anna Aalberg"},{"family":"Brumpton","given":"Ben M"},{"family":"Skjellegrind","given":"Håvard Kjesbu"},{"family":"Thingstad","given":"Pernille"},{"family":"Sund","given":"Erik R"},{"family":"Selbæk","given":"Geir"},{"family":"Mork","given":"Paul Jarle"},{"family":"Rangul","given":"Vegar"},{"family":"Hveem","given":"Kristian"},{"family":"Næss","given":"Marit"},{"family":"Krokstad","given":"Steinar"}],"issued":{"date-parts":[["2023",2,1]]}}},{"id":3971,"uris":["http://zotero.org/users/6391047/items/A73RPTMK"],"itemData":{"id":3971,"type":"article-journal","container-title":"International Journal of Epidemiology","DOI":"10.1093/ije/dyae073","ISSN":"1464-3685","issue":"3","journalAbbreviation":"Int J Epidemiol","language":"eng","note":"PMID: 38836303\nPMCID: PMC11150882","page":"dyae073","source":"PubMed","title":"Data Resource Profile: The HUNT Biobank","title-short":"Data Resource Profile","volume":"53","author":[{"family":"Næss","given":"Marit"},{"family":"Kvaløy","given":"Kirsti"},{"family":"Sørgjerd","given":"Elin P."},{"family":"Sætermo","given":"Kristin S."},{"family":"Norøy","given":"Lise"},{"family":"Røstad","given":"Ann Helen"},{"family":"Hammer","given":"Nina"},{"family":"Altø","given":"Trine Govasli"},{"family":"Vikdal","given":"Anne Jorunn"},{"family":"Hveem","given":"Kristian"}],"issued":{"date-parts":[["2024",4,11]]}}}],"schema":"https://github.com/citation-style-language/schema/raw/master/csl-citation.json"} </w:instrText>
      </w:r>
      <w:r>
        <w:rPr>
          <w:color w:val="2A2A2A"/>
          <w:shd w:val="clear" w:color="auto" w:fill="FFFFFF"/>
        </w:rPr>
        <w:fldChar w:fldCharType="separate"/>
      </w:r>
      <w:r w:rsidR="00F47F17" w:rsidRPr="00F47F17">
        <w:rPr>
          <w:rFonts w:eastAsiaTheme="minorHAnsi"/>
          <w:color w:val="000000"/>
          <w:vertAlign w:val="superscript"/>
          <w14:ligatures w14:val="standardContextual"/>
        </w:rPr>
        <w:t>11–13</w:t>
      </w:r>
      <w:r>
        <w:rPr>
          <w:color w:val="2A2A2A"/>
          <w:shd w:val="clear" w:color="auto" w:fill="FFFFFF"/>
        </w:rPr>
        <w:fldChar w:fldCharType="end"/>
      </w:r>
      <w:r w:rsidRPr="007600EE">
        <w:rPr>
          <w:color w:val="2A2A2A"/>
          <w:shd w:val="clear" w:color="auto" w:fill="FFFFFF"/>
        </w:rPr>
        <w:t xml:space="preserve">.  </w:t>
      </w:r>
      <w:r w:rsidRPr="007600EE">
        <w:rPr>
          <w:rStyle w:val="normaltextrun"/>
          <w:rFonts w:eastAsiaTheme="majorEastAsia"/>
          <w:color w:val="000000"/>
        </w:rPr>
        <w:t>The genotyping in Trøndelag Health Study and work presented in here was approved by the Regional Committee for Ethics in Medical Research, Central Norway. All participants signed informed consent for participation and the use of data in research. </w:t>
      </w:r>
      <w:r w:rsidRPr="007600EE">
        <w:rPr>
          <w:rStyle w:val="eop"/>
          <w:rFonts w:eastAsiaTheme="majorEastAsia"/>
          <w:color w:val="000000"/>
        </w:rPr>
        <w:t> </w:t>
      </w:r>
    </w:p>
    <w:p w14:paraId="11A94970" w14:textId="77777777" w:rsidR="002B5DC0" w:rsidRPr="007600EE" w:rsidRDefault="002B5DC0" w:rsidP="002B5DC0">
      <w:pPr>
        <w:rPr>
          <w:color w:val="000000" w:themeColor="text1"/>
          <w:szCs w:val="24"/>
        </w:rPr>
      </w:pPr>
      <w:r w:rsidRPr="007600EE">
        <w:rPr>
          <w:color w:val="000000" w:themeColor="text1"/>
          <w:szCs w:val="24"/>
        </w:rPr>
        <w:t xml:space="preserve">Performing arts engagement (i.e., music, singing, or theatre engagement) was measured in HUNT3, HUNT4, HUNT4 immigrants, and HUNT 4 Sør Trøndelag questionnairesusing an item asking “How many times in the last 6 months have you participated in music, singing, or </w:t>
      </w:r>
      <w:r w:rsidRPr="007600EE">
        <w:rPr>
          <w:color w:val="000000" w:themeColor="text1"/>
          <w:szCs w:val="24"/>
        </w:rPr>
        <w:lastRenderedPageBreak/>
        <w:t xml:space="preserve">theatre?” with responses of “More than once a week”, “Once a week”, “1-3 times/month”, “1-5 times the last 6 months”, and “Never”. For analyses, we coded data on an ordinal scale of 1 to 5 with the highest frequency response being 5 and the lowest being 1.  If participants answered in both HUNT3 and HUNT4, the answer reflecting most musical engagement and the associated participation age was used. For 498 individuals missing an answer in HUNT3 or HUNT4, the answer from the sub-cohort of HUNT4 focused on immigrants or residents of Sør Trøndelag was used. </w:t>
      </w:r>
    </w:p>
    <w:p w14:paraId="26731AA4" w14:textId="77777777" w:rsidR="002B5DC0" w:rsidRPr="007600EE" w:rsidRDefault="002B5DC0" w:rsidP="002B5DC0">
      <w:pPr>
        <w:rPr>
          <w:rStyle w:val="eop"/>
          <w:rFonts w:eastAsiaTheme="majorEastAsia"/>
          <w:color w:val="000000"/>
          <w:szCs w:val="24"/>
        </w:rPr>
      </w:pPr>
      <w:r w:rsidRPr="007600EE">
        <w:rPr>
          <w:rStyle w:val="normaltextrun"/>
          <w:rFonts w:eastAsiaTheme="majorEastAsia"/>
          <w:color w:val="000000"/>
          <w:szCs w:val="24"/>
        </w:rPr>
        <w:t>Participants have been genotyped using one of four Illumina HumanCoreExome arrays: 12 v.1.0, 12 v.1.1, UM HUNT Biobank v1.0 and UM HUNT Biobank v2.0.39 Genotype calling was performed with GenTrain v.2.0 in GenomeStudio v.2011.1 (Illumina)(PMID: 36777998). Samples were excluded if they had call rate &lt; 99%, large chromosomal copy number variants, contamination &gt; 2.5% as estimated with BAF Regress,64 or a discrepancy between genetically inferred sex and reported gender. Genetic variants were excluded if they deviated from Hardy-Weinberg Equilibrium (p-value &lt; 10-4). Samples were phased with Eagle2 v.2.0.5 (https://alkesgroup.broadinstitute.org/Eagle/). All variants were imputed from the Haplotype Reference Consortium (HRC) v1.1 reference panel with the positional Burrows-Wheeler transform (PBWT) v3.1 (https://github.com/richarddurbin/pbwt)(PMID: 24413527).</w:t>
      </w:r>
      <w:r w:rsidRPr="007600EE">
        <w:rPr>
          <w:rStyle w:val="eop"/>
          <w:rFonts w:eastAsiaTheme="majorEastAsia"/>
          <w:color w:val="000000"/>
          <w:szCs w:val="24"/>
        </w:rPr>
        <w:t> </w:t>
      </w:r>
    </w:p>
    <w:p w14:paraId="28D1CDF6" w14:textId="77777777" w:rsidR="002B5DC0" w:rsidRPr="007600EE" w:rsidRDefault="002B5DC0" w:rsidP="002B5DC0">
      <w:pPr>
        <w:rPr>
          <w:color w:val="000000" w:themeColor="text1"/>
          <w:szCs w:val="24"/>
        </w:rPr>
      </w:pPr>
      <w:r w:rsidRPr="007600EE">
        <w:rPr>
          <w:rStyle w:val="normaltextrun"/>
          <w:rFonts w:eastAsiaTheme="majorEastAsia"/>
          <w:color w:val="000000"/>
          <w:szCs w:val="24"/>
          <w:shd w:val="clear" w:color="auto" w:fill="FFFFFF"/>
        </w:rPr>
        <w:t xml:space="preserve">Ancestry of all samples was inferred </w:t>
      </w:r>
      <w:r w:rsidRPr="007600EE">
        <w:rPr>
          <w:rStyle w:val="normaltextrun"/>
          <w:rFonts w:eastAsiaTheme="majorEastAsia"/>
          <w:color w:val="000000"/>
          <w:szCs w:val="24"/>
        </w:rPr>
        <w:t xml:space="preserve">using an online singular value decomposition and shrinkage adjustment algorithm (FRAPOSA), (PMID: 32196066) and the Human Genome Diversity Project (HGDP) reference panel (938 unrelated individuals; downloaded from </w:t>
      </w:r>
      <w:hyperlink r:id="rId10" w:tgtFrame="_blank" w:history="1">
        <w:r w:rsidRPr="007600EE">
          <w:rPr>
            <w:rStyle w:val="normaltextrun"/>
            <w:rFonts w:eastAsiaTheme="majorEastAsia"/>
            <w:color w:val="0000FF"/>
            <w:szCs w:val="24"/>
            <w:u w:val="single"/>
          </w:rPr>
          <w:t>http://csg.sph.umich.edu/chaolong/LASER/</w:t>
        </w:r>
      </w:hyperlink>
      <w:r w:rsidRPr="007600EE">
        <w:rPr>
          <w:rStyle w:val="normaltextrun"/>
          <w:rFonts w:eastAsiaTheme="majorEastAsia"/>
          <w:color w:val="000000"/>
          <w:szCs w:val="24"/>
        </w:rPr>
        <w:t>)</w:t>
      </w:r>
      <w:r w:rsidRPr="007600EE">
        <w:rPr>
          <w:rStyle w:val="normaltextrun"/>
          <w:rFonts w:eastAsiaTheme="majorEastAsia"/>
          <w:color w:val="000000"/>
          <w:szCs w:val="24"/>
          <w:shd w:val="clear" w:color="auto" w:fill="FFFFFF"/>
        </w:rPr>
        <w:t xml:space="preserve"> (PMID </w:t>
      </w:r>
      <w:r w:rsidRPr="007600EE">
        <w:rPr>
          <w:rStyle w:val="normaltextrun"/>
          <w:rFonts w:eastAsiaTheme="majorEastAsia"/>
          <w:color w:val="212121"/>
          <w:szCs w:val="24"/>
        </w:rPr>
        <w:t>15803201)</w:t>
      </w:r>
      <w:r w:rsidRPr="007600EE">
        <w:rPr>
          <w:rStyle w:val="normaltextrun"/>
          <w:rFonts w:eastAsiaTheme="majorEastAsia"/>
          <w:color w:val="000000"/>
          <w:szCs w:val="24"/>
          <w:shd w:val="clear" w:color="auto" w:fill="FFFFFF"/>
        </w:rPr>
        <w:t>. </w:t>
      </w:r>
      <w:r w:rsidRPr="007600EE">
        <w:rPr>
          <w:rStyle w:val="eop"/>
          <w:rFonts w:eastAsiaTheme="majorEastAsia"/>
          <w:color w:val="000000"/>
          <w:szCs w:val="24"/>
        </w:rPr>
        <w:t> Individuals identified as having genetic ancestry similar to the European reference population were included in this analysis. Principal components were estimated using PLINK.</w:t>
      </w:r>
    </w:p>
    <w:p w14:paraId="13D71BAE" w14:textId="77777777" w:rsidR="002B5DC0" w:rsidRDefault="002B5DC0" w:rsidP="002B5DC0">
      <w:pPr>
        <w:spacing w:before="0"/>
      </w:pPr>
    </w:p>
    <w:p w14:paraId="3E4D965D" w14:textId="77777777" w:rsidR="002B5DC0" w:rsidRDefault="002B5DC0" w:rsidP="002B5DC0">
      <w:pPr>
        <w:pStyle w:val="Heading1"/>
        <w:spacing w:before="200" w:after="200"/>
        <w:ind w:left="720" w:hanging="720"/>
      </w:pPr>
      <w:bookmarkStart w:id="26" w:name="_y4rqoocasf94" w:colFirst="0" w:colLast="0"/>
      <w:bookmarkStart w:id="27" w:name="_Toc194836075"/>
      <w:bookmarkStart w:id="28" w:name="_Toc210218313"/>
      <w:bookmarkEnd w:id="26"/>
      <w:r>
        <w:lastRenderedPageBreak/>
        <w:t xml:space="preserve">3. </w:t>
      </w:r>
      <w:r>
        <w:rPr>
          <w:rFonts w:ascii="Times New Roman" w:hAnsi="Times New Roman" w:cs="Times New Roman"/>
        </w:rPr>
        <w:t>Supplementary Figures</w:t>
      </w:r>
      <w:bookmarkEnd w:id="27"/>
      <w:bookmarkEnd w:id="28"/>
    </w:p>
    <w:p w14:paraId="418E3172" w14:textId="77777777" w:rsidR="002B5DC0" w:rsidRDefault="002B5DC0" w:rsidP="002B5DC0">
      <w:pPr>
        <w:rPr>
          <w:b/>
        </w:rPr>
      </w:pPr>
      <w:r>
        <w:rPr>
          <w:b/>
          <w:noProof/>
        </w:rPr>
        <w:drawing>
          <wp:inline distT="114300" distB="114300" distL="114300" distR="114300" wp14:anchorId="61B9F913" wp14:editId="369530E2">
            <wp:extent cx="5937697" cy="5365502"/>
            <wp:effectExtent l="0" t="0" r="0" b="0"/>
            <wp:docPr id="11" name="image9.png" descr="A graph of a number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9.png" descr="A graph of a number of different colored lines&#10;&#10;AI-generated content may be incorrect."/>
                    <pic:cNvPicPr preferRelativeResize="0"/>
                  </pic:nvPicPr>
                  <pic:blipFill>
                    <a:blip r:embed="rId11"/>
                    <a:srcRect/>
                    <a:stretch>
                      <a:fillRect/>
                    </a:stretch>
                  </pic:blipFill>
                  <pic:spPr>
                    <a:xfrm>
                      <a:off x="0" y="0"/>
                      <a:ext cx="5937697" cy="5365502"/>
                    </a:xfrm>
                    <a:prstGeom prst="rect">
                      <a:avLst/>
                    </a:prstGeom>
                    <a:ln/>
                  </pic:spPr>
                </pic:pic>
              </a:graphicData>
            </a:graphic>
          </wp:inline>
        </w:drawing>
      </w:r>
    </w:p>
    <w:p w14:paraId="070BBD15" w14:textId="77777777" w:rsidR="002B5DC0" w:rsidRDefault="002B5DC0" w:rsidP="002B5DC0">
      <w:pPr>
        <w:spacing w:line="240" w:lineRule="auto"/>
      </w:pPr>
      <w:r>
        <w:rPr>
          <w:b/>
        </w:rPr>
        <w:t>Supplementary Fig 1.</w:t>
      </w:r>
      <w:r>
        <w:t xml:space="preserve"> Regional plot of genomic locus 1 around the lead variant rs7553699 identified in the Active Music Engagement Frequency (AME) GWAS (N=23,782). </w:t>
      </w:r>
      <w:r>
        <w:rPr>
          <w:b/>
        </w:rPr>
        <w:t>Top.</w:t>
      </w:r>
      <w:r>
        <w:t xml:space="preserve"> Top panel presents the -log10(</w:t>
      </w:r>
      <w:r>
        <w:rPr>
          <w:i/>
        </w:rPr>
        <w:t>p</w:t>
      </w:r>
      <w:r>
        <w:t xml:space="preserve">-values) of the association between variants and AME and linkage disequilibrium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(combined annotation dependent depletion)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686179DC" w14:textId="77777777" w:rsidR="002B5DC0" w:rsidRDefault="002B5DC0" w:rsidP="002B5DC0">
      <w:pPr>
        <w:spacing w:line="240" w:lineRule="auto"/>
      </w:pPr>
      <w:r>
        <w:rPr>
          <w:noProof/>
        </w:rPr>
        <w:lastRenderedPageBreak/>
        <w:drawing>
          <wp:inline distT="114300" distB="114300" distL="114300" distR="114300" wp14:anchorId="148125EC" wp14:editId="39987DB7">
            <wp:extent cx="6343928" cy="6184627"/>
            <wp:effectExtent l="0" t="0" r="0" b="0"/>
            <wp:docPr id="18" name="image16.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6.png" descr="A screenshot of a graph&#10;&#10;AI-generated content may be incorrect."/>
                    <pic:cNvPicPr preferRelativeResize="0"/>
                  </pic:nvPicPr>
                  <pic:blipFill>
                    <a:blip r:embed="rId12"/>
                    <a:srcRect/>
                    <a:stretch>
                      <a:fillRect/>
                    </a:stretch>
                  </pic:blipFill>
                  <pic:spPr>
                    <a:xfrm>
                      <a:off x="0" y="0"/>
                      <a:ext cx="6343928" cy="6184627"/>
                    </a:xfrm>
                    <a:prstGeom prst="rect">
                      <a:avLst/>
                    </a:prstGeom>
                    <a:ln/>
                  </pic:spPr>
                </pic:pic>
              </a:graphicData>
            </a:graphic>
          </wp:inline>
        </w:drawing>
      </w:r>
    </w:p>
    <w:p w14:paraId="7E8CE5B4" w14:textId="77777777" w:rsidR="002B5DC0" w:rsidRDefault="002B5DC0" w:rsidP="002B5DC0">
      <w:pPr>
        <w:spacing w:line="240" w:lineRule="auto"/>
      </w:pPr>
      <w:r>
        <w:rPr>
          <w:b/>
        </w:rPr>
        <w:t>Supplementary Fig 2.</w:t>
      </w:r>
      <w:r>
        <w:t xml:space="preserve"> Regional plot of genomic locus 2 around the lead variant rs12729624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7E552319" w14:textId="77777777" w:rsidR="002B5DC0" w:rsidRDefault="002B5DC0" w:rsidP="002B5DC0">
      <w:pPr>
        <w:spacing w:line="240" w:lineRule="auto"/>
      </w:pPr>
      <w:r>
        <w:rPr>
          <w:noProof/>
        </w:rPr>
        <w:lastRenderedPageBreak/>
        <w:drawing>
          <wp:inline distT="114300" distB="114300" distL="114300" distR="114300" wp14:anchorId="2A1BAB0D" wp14:editId="027DD5D6">
            <wp:extent cx="5805488" cy="6146414"/>
            <wp:effectExtent l="0" t="0" r="0" b="0"/>
            <wp:docPr id="7" name="image12.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2.png" descr="A screenshot of a graph&#10;&#10;AI-generated content may be incorrect."/>
                    <pic:cNvPicPr preferRelativeResize="0"/>
                  </pic:nvPicPr>
                  <pic:blipFill>
                    <a:blip r:embed="rId13"/>
                    <a:srcRect/>
                    <a:stretch>
                      <a:fillRect/>
                    </a:stretch>
                  </pic:blipFill>
                  <pic:spPr>
                    <a:xfrm>
                      <a:off x="0" y="0"/>
                      <a:ext cx="5805488" cy="6146414"/>
                    </a:xfrm>
                    <a:prstGeom prst="rect">
                      <a:avLst/>
                    </a:prstGeom>
                    <a:ln/>
                  </pic:spPr>
                </pic:pic>
              </a:graphicData>
            </a:graphic>
          </wp:inline>
        </w:drawing>
      </w:r>
    </w:p>
    <w:p w14:paraId="233067E6" w14:textId="77777777" w:rsidR="002B5DC0" w:rsidRDefault="002B5DC0" w:rsidP="002B5DC0">
      <w:pPr>
        <w:spacing w:line="240" w:lineRule="auto"/>
      </w:pPr>
      <w:r>
        <w:rPr>
          <w:b/>
        </w:rPr>
        <w:t>Supplementary Fig 3.</w:t>
      </w:r>
      <w:r>
        <w:t xml:space="preserve"> Regional plot of genomic locus 3 around the lead variant rs114029967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130EB91A" w14:textId="77777777" w:rsidR="002B5DC0" w:rsidRDefault="002B5DC0" w:rsidP="002B5DC0">
      <w:pPr>
        <w:spacing w:line="240" w:lineRule="auto"/>
        <w:rPr>
          <w:b/>
        </w:rPr>
      </w:pPr>
      <w:r>
        <w:rPr>
          <w:b/>
          <w:noProof/>
        </w:rPr>
        <w:lastRenderedPageBreak/>
        <w:drawing>
          <wp:inline distT="114300" distB="114300" distL="114300" distR="114300" wp14:anchorId="30812A7D" wp14:editId="6647DCA5">
            <wp:extent cx="6777038" cy="5545717"/>
            <wp:effectExtent l="0" t="0" r="0" b="0"/>
            <wp:docPr id="1281381315" name="image14.png" descr="A chart with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281381315" name="image14.png" descr="A chart with different colored dots&#10;&#10;AI-generated content may be incorrect."/>
                    <pic:cNvPicPr preferRelativeResize="0"/>
                  </pic:nvPicPr>
                  <pic:blipFill>
                    <a:blip r:embed="rId14"/>
                    <a:srcRect/>
                    <a:stretch>
                      <a:fillRect/>
                    </a:stretch>
                  </pic:blipFill>
                  <pic:spPr>
                    <a:xfrm>
                      <a:off x="0" y="0"/>
                      <a:ext cx="6777038" cy="5545717"/>
                    </a:xfrm>
                    <a:prstGeom prst="rect">
                      <a:avLst/>
                    </a:prstGeom>
                    <a:ln/>
                  </pic:spPr>
                </pic:pic>
              </a:graphicData>
            </a:graphic>
          </wp:inline>
        </w:drawing>
      </w:r>
    </w:p>
    <w:p w14:paraId="36DFC60E" w14:textId="77777777" w:rsidR="002B5DC0" w:rsidRDefault="002B5DC0" w:rsidP="002B5DC0">
      <w:pPr>
        <w:spacing w:line="240" w:lineRule="auto"/>
      </w:pPr>
      <w:r>
        <w:rPr>
          <w:b/>
        </w:rPr>
        <w:t>Supplementary Fig 4.</w:t>
      </w:r>
      <w:r>
        <w:t xml:space="preserve"> Regional plot of genomic locus 4 around the lead variant rs116481454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41BDD5FC" w14:textId="77777777" w:rsidR="002B5DC0" w:rsidRDefault="002B5DC0" w:rsidP="002B5DC0">
      <w:pPr>
        <w:spacing w:line="240" w:lineRule="auto"/>
      </w:pPr>
      <w:r>
        <w:rPr>
          <w:noProof/>
        </w:rPr>
        <w:lastRenderedPageBreak/>
        <w:drawing>
          <wp:inline distT="114300" distB="114300" distL="114300" distR="114300" wp14:anchorId="6DE8919C" wp14:editId="0E270E8D">
            <wp:extent cx="6719888" cy="5290771"/>
            <wp:effectExtent l="0" t="0" r="0" b="0"/>
            <wp:docPr id="10" name="image21.png" descr="A graph of a number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21.png" descr="A graph of a number of different colored dots&#10;&#10;AI-generated content may be incorrect."/>
                    <pic:cNvPicPr preferRelativeResize="0"/>
                  </pic:nvPicPr>
                  <pic:blipFill>
                    <a:blip r:embed="rId15"/>
                    <a:srcRect/>
                    <a:stretch>
                      <a:fillRect/>
                    </a:stretch>
                  </pic:blipFill>
                  <pic:spPr>
                    <a:xfrm>
                      <a:off x="0" y="0"/>
                      <a:ext cx="6719888" cy="5290771"/>
                    </a:xfrm>
                    <a:prstGeom prst="rect">
                      <a:avLst/>
                    </a:prstGeom>
                    <a:ln/>
                  </pic:spPr>
                </pic:pic>
              </a:graphicData>
            </a:graphic>
          </wp:inline>
        </w:drawing>
      </w:r>
    </w:p>
    <w:p w14:paraId="2AC708A7" w14:textId="77777777" w:rsidR="002B5DC0" w:rsidRDefault="002B5DC0" w:rsidP="002B5DC0">
      <w:pPr>
        <w:spacing w:line="240" w:lineRule="auto"/>
      </w:pPr>
      <w:r>
        <w:rPr>
          <w:b/>
        </w:rPr>
        <w:t>Supplementary Fig 5.</w:t>
      </w:r>
      <w:r>
        <w:t xml:space="preserve"> Regional plot of genomic locus 5 around the lead variant rs115067899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30A3BBEC" w14:textId="77777777" w:rsidR="002B5DC0" w:rsidRDefault="002B5DC0" w:rsidP="002B5DC0">
      <w:r>
        <w:rPr>
          <w:b/>
          <w:noProof/>
        </w:rPr>
        <w:lastRenderedPageBreak/>
        <w:drawing>
          <wp:inline distT="114300" distB="114300" distL="114300" distR="114300" wp14:anchorId="0B65FAE3" wp14:editId="62568AC3">
            <wp:extent cx="6700838" cy="4992028"/>
            <wp:effectExtent l="0" t="0" r="0" b="0"/>
            <wp:docPr id="15" name="image17.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7.png" descr="A graph of different colored dots&#10;&#10;AI-generated content may be incorrect."/>
                    <pic:cNvPicPr preferRelativeResize="0"/>
                  </pic:nvPicPr>
                  <pic:blipFill>
                    <a:blip r:embed="rId16"/>
                    <a:srcRect/>
                    <a:stretch>
                      <a:fillRect/>
                    </a:stretch>
                  </pic:blipFill>
                  <pic:spPr>
                    <a:xfrm>
                      <a:off x="0" y="0"/>
                      <a:ext cx="6700838" cy="4992028"/>
                    </a:xfrm>
                    <a:prstGeom prst="rect">
                      <a:avLst/>
                    </a:prstGeom>
                    <a:ln/>
                  </pic:spPr>
                </pic:pic>
              </a:graphicData>
            </a:graphic>
          </wp:inline>
        </w:drawing>
      </w:r>
    </w:p>
    <w:p w14:paraId="146D0AA1" w14:textId="77777777" w:rsidR="002B5DC0" w:rsidRDefault="002B5DC0" w:rsidP="002B5DC0">
      <w:pPr>
        <w:spacing w:line="240" w:lineRule="auto"/>
      </w:pPr>
      <w:r>
        <w:rPr>
          <w:b/>
        </w:rPr>
        <w:t>Supplementary Fig 6.</w:t>
      </w:r>
      <w:r>
        <w:t xml:space="preserve"> Regional plot of genomic locus 6 around the lead variant rs9647401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363D7750" w14:textId="77777777" w:rsidR="002B5DC0" w:rsidRDefault="002B5DC0" w:rsidP="002B5DC0">
      <w:r>
        <w:rPr>
          <w:b/>
          <w:noProof/>
        </w:rPr>
        <w:lastRenderedPageBreak/>
        <w:drawing>
          <wp:inline distT="114300" distB="114300" distL="114300" distR="114300" wp14:anchorId="2D1652CD" wp14:editId="4C7354E5">
            <wp:extent cx="6706623" cy="5803627"/>
            <wp:effectExtent l="0" t="0" r="0" b="0"/>
            <wp:docPr id="4812796" name="image10.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4812796" name="image10.png" descr="A screenshot of a graph&#10;&#10;AI-generated content may be incorrect."/>
                    <pic:cNvPicPr preferRelativeResize="0"/>
                  </pic:nvPicPr>
                  <pic:blipFill>
                    <a:blip r:embed="rId17"/>
                    <a:srcRect/>
                    <a:stretch>
                      <a:fillRect/>
                    </a:stretch>
                  </pic:blipFill>
                  <pic:spPr>
                    <a:xfrm>
                      <a:off x="0" y="0"/>
                      <a:ext cx="6706623" cy="5803627"/>
                    </a:xfrm>
                    <a:prstGeom prst="rect">
                      <a:avLst/>
                    </a:prstGeom>
                    <a:ln/>
                  </pic:spPr>
                </pic:pic>
              </a:graphicData>
            </a:graphic>
          </wp:inline>
        </w:drawing>
      </w:r>
    </w:p>
    <w:p w14:paraId="6F171412" w14:textId="77777777" w:rsidR="002B5DC0" w:rsidRDefault="002B5DC0" w:rsidP="002B5DC0">
      <w:pPr>
        <w:spacing w:line="240" w:lineRule="auto"/>
      </w:pPr>
      <w:r>
        <w:rPr>
          <w:b/>
        </w:rPr>
        <w:t>Supplementary Fig 7.</w:t>
      </w:r>
      <w:r>
        <w:t xml:space="preserve"> Regional plot of genomic locus 7 around the lead variant rs16885512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6369F8D6" w14:textId="77777777" w:rsidR="002B5DC0" w:rsidRDefault="002B5DC0" w:rsidP="002B5DC0">
      <w:r>
        <w:rPr>
          <w:b/>
          <w:noProof/>
        </w:rPr>
        <w:lastRenderedPageBreak/>
        <w:drawing>
          <wp:inline distT="114300" distB="114300" distL="114300" distR="114300" wp14:anchorId="7F8CA789" wp14:editId="52042483">
            <wp:extent cx="6681788" cy="5210833"/>
            <wp:effectExtent l="0" t="0" r="0" b="0"/>
            <wp:docPr id="462019428" name="image4.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462019428" name="image4.png" descr="A screenshot of a graph&#10;&#10;AI-generated content may be incorrect."/>
                    <pic:cNvPicPr preferRelativeResize="0"/>
                  </pic:nvPicPr>
                  <pic:blipFill>
                    <a:blip r:embed="rId18"/>
                    <a:srcRect/>
                    <a:stretch>
                      <a:fillRect/>
                    </a:stretch>
                  </pic:blipFill>
                  <pic:spPr>
                    <a:xfrm>
                      <a:off x="0" y="0"/>
                      <a:ext cx="6681788" cy="5210833"/>
                    </a:xfrm>
                    <a:prstGeom prst="rect">
                      <a:avLst/>
                    </a:prstGeom>
                    <a:ln/>
                  </pic:spPr>
                </pic:pic>
              </a:graphicData>
            </a:graphic>
          </wp:inline>
        </w:drawing>
      </w:r>
    </w:p>
    <w:p w14:paraId="737C2525" w14:textId="77777777" w:rsidR="002B5DC0" w:rsidRDefault="002B5DC0" w:rsidP="002B5DC0">
      <w:pPr>
        <w:spacing w:line="240" w:lineRule="auto"/>
      </w:pPr>
      <w:r>
        <w:rPr>
          <w:b/>
        </w:rPr>
        <w:t>Supplementary Fig 8.</w:t>
      </w:r>
      <w:r>
        <w:t xml:space="preserve"> Regional plot of genomic locus 8 around the lead variant rs10044788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7CAA02DC" w14:textId="77777777" w:rsidR="002B5DC0" w:rsidRDefault="002B5DC0" w:rsidP="002B5DC0">
      <w:pPr>
        <w:spacing w:line="240" w:lineRule="auto"/>
      </w:pPr>
      <w:r>
        <w:rPr>
          <w:b/>
          <w:noProof/>
        </w:rPr>
        <w:lastRenderedPageBreak/>
        <w:drawing>
          <wp:inline distT="114300" distB="114300" distL="114300" distR="114300" wp14:anchorId="03F98518" wp14:editId="1673927C">
            <wp:extent cx="6486525" cy="6267450"/>
            <wp:effectExtent l="0" t="0" r="0" b="0"/>
            <wp:docPr id="13" name="image8.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8.png" descr="A screenshot of a graph&#10;&#10;AI-generated content may be incorrect."/>
                    <pic:cNvPicPr preferRelativeResize="0"/>
                  </pic:nvPicPr>
                  <pic:blipFill>
                    <a:blip r:embed="rId19"/>
                    <a:srcRect l="2762" r="1545" b="1526"/>
                    <a:stretch>
                      <a:fillRect/>
                    </a:stretch>
                  </pic:blipFill>
                  <pic:spPr>
                    <a:xfrm>
                      <a:off x="0" y="0"/>
                      <a:ext cx="6486525" cy="6267450"/>
                    </a:xfrm>
                    <a:prstGeom prst="rect">
                      <a:avLst/>
                    </a:prstGeom>
                    <a:ln/>
                  </pic:spPr>
                </pic:pic>
              </a:graphicData>
            </a:graphic>
          </wp:inline>
        </w:drawing>
      </w:r>
      <w:r>
        <w:rPr>
          <w:b/>
        </w:rPr>
        <w:t>Supplementary Fig 9.</w:t>
      </w:r>
      <w:r>
        <w:t xml:space="preserve"> Regional plot of genomic locus 9 around the lead variant rs3805476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213CACE2" w14:textId="77777777" w:rsidR="002B5DC0" w:rsidRDefault="002B5DC0" w:rsidP="002B5DC0">
      <w:pPr>
        <w:spacing w:line="240" w:lineRule="auto"/>
      </w:pPr>
      <w:r>
        <w:rPr>
          <w:b/>
          <w:noProof/>
        </w:rPr>
        <w:lastRenderedPageBreak/>
        <w:drawing>
          <wp:inline distT="114300" distB="114300" distL="114300" distR="114300" wp14:anchorId="6AC74B54" wp14:editId="7AA1BCC3">
            <wp:extent cx="6759575" cy="6072980"/>
            <wp:effectExtent l="0" t="0" r="0" b="0"/>
            <wp:docPr id="339409615" name="image19.png" descr="A graph of a number of numbers and a number of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339409615" name="image19.png" descr="A graph of a number of numbers and a number of numbers&#10;&#10;AI-generated content may be incorrect."/>
                    <pic:cNvPicPr preferRelativeResize="0"/>
                  </pic:nvPicPr>
                  <pic:blipFill>
                    <a:blip r:embed="rId20"/>
                    <a:srcRect/>
                    <a:stretch>
                      <a:fillRect/>
                    </a:stretch>
                  </pic:blipFill>
                  <pic:spPr>
                    <a:xfrm>
                      <a:off x="0" y="0"/>
                      <a:ext cx="6759575" cy="6072980"/>
                    </a:xfrm>
                    <a:prstGeom prst="rect">
                      <a:avLst/>
                    </a:prstGeom>
                    <a:ln/>
                  </pic:spPr>
                </pic:pic>
              </a:graphicData>
            </a:graphic>
          </wp:inline>
        </w:drawing>
      </w:r>
      <w:r>
        <w:rPr>
          <w:b/>
        </w:rPr>
        <w:t>Supplementary Fig 10.</w:t>
      </w:r>
      <w:r>
        <w:t xml:space="preserve"> Regional plot of genomic locus 10 around the lead variant rs6904638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2FC1106D" w14:textId="77777777" w:rsidR="002B5DC0" w:rsidRDefault="002B5DC0" w:rsidP="002B5DC0">
      <w:pPr>
        <w:spacing w:line="240" w:lineRule="auto"/>
      </w:pPr>
      <w:r>
        <w:rPr>
          <w:b/>
          <w:noProof/>
        </w:rPr>
        <w:lastRenderedPageBreak/>
        <w:drawing>
          <wp:inline distT="114300" distB="114300" distL="114300" distR="114300" wp14:anchorId="29D39095" wp14:editId="345E74D4">
            <wp:extent cx="6823075" cy="5019834"/>
            <wp:effectExtent l="0" t="0" r="0" b="0"/>
            <wp:docPr id="1904589785" name="image11.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904589785" name="image11.png" descr="A graph of different colored dots&#10;&#10;AI-generated content may be incorrect."/>
                    <pic:cNvPicPr preferRelativeResize="0"/>
                  </pic:nvPicPr>
                  <pic:blipFill>
                    <a:blip r:embed="rId21"/>
                    <a:srcRect/>
                    <a:stretch>
                      <a:fillRect/>
                    </a:stretch>
                  </pic:blipFill>
                  <pic:spPr>
                    <a:xfrm>
                      <a:off x="0" y="0"/>
                      <a:ext cx="6823075" cy="5019834"/>
                    </a:xfrm>
                    <a:prstGeom prst="rect">
                      <a:avLst/>
                    </a:prstGeom>
                    <a:ln/>
                  </pic:spPr>
                </pic:pic>
              </a:graphicData>
            </a:graphic>
          </wp:inline>
        </w:drawing>
      </w:r>
      <w:r>
        <w:rPr>
          <w:b/>
        </w:rPr>
        <w:t>Supplementary Fig 11.</w:t>
      </w:r>
      <w:r>
        <w:t xml:space="preserve"> Regional plot of genomic locus 11 around the lead variant rs2765233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1C9FF387" w14:textId="77777777" w:rsidR="002B5DC0" w:rsidRDefault="002B5DC0" w:rsidP="002B5DC0">
      <w:pPr>
        <w:spacing w:line="240" w:lineRule="auto"/>
      </w:pPr>
      <w:r>
        <w:rPr>
          <w:b/>
          <w:noProof/>
        </w:rPr>
        <w:lastRenderedPageBreak/>
        <w:drawing>
          <wp:inline distT="114300" distB="114300" distL="114300" distR="114300" wp14:anchorId="26B4B48C" wp14:editId="7D7F15EE">
            <wp:extent cx="6708775" cy="5162083"/>
            <wp:effectExtent l="0" t="0" r="0" b="0"/>
            <wp:docPr id="16" name="image20.png" descr="A graph of a number of individuals&#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20.png" descr="A graph of a number of individuals&#10;&#10;AI-generated content may be incorrect."/>
                    <pic:cNvPicPr preferRelativeResize="0"/>
                  </pic:nvPicPr>
                  <pic:blipFill>
                    <a:blip r:embed="rId22"/>
                    <a:srcRect/>
                    <a:stretch>
                      <a:fillRect/>
                    </a:stretch>
                  </pic:blipFill>
                  <pic:spPr>
                    <a:xfrm>
                      <a:off x="0" y="0"/>
                      <a:ext cx="6708775" cy="5162083"/>
                    </a:xfrm>
                    <a:prstGeom prst="rect">
                      <a:avLst/>
                    </a:prstGeom>
                    <a:ln/>
                  </pic:spPr>
                </pic:pic>
              </a:graphicData>
            </a:graphic>
          </wp:inline>
        </w:drawing>
      </w:r>
      <w:r>
        <w:rPr>
          <w:b/>
        </w:rPr>
        <w:t>Supplementary Fig 12.</w:t>
      </w:r>
      <w:r>
        <w:t xml:space="preserve"> Regional plot of genomic locus 12 around the lead variant rs113114385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3F4E31EC" w14:textId="77777777" w:rsidR="002B5DC0" w:rsidRDefault="002B5DC0" w:rsidP="002B5DC0">
      <w:pPr>
        <w:spacing w:line="240" w:lineRule="auto"/>
      </w:pPr>
    </w:p>
    <w:p w14:paraId="35DE0732" w14:textId="77777777" w:rsidR="002B5DC0" w:rsidRDefault="002B5DC0" w:rsidP="002B5DC0">
      <w:pPr>
        <w:spacing w:line="240" w:lineRule="auto"/>
      </w:pPr>
      <w:r>
        <w:rPr>
          <w:b/>
          <w:noProof/>
        </w:rPr>
        <w:lastRenderedPageBreak/>
        <w:drawing>
          <wp:inline distT="114300" distB="114300" distL="114300" distR="114300" wp14:anchorId="0F7938B6" wp14:editId="38814B26">
            <wp:extent cx="6632575" cy="6010275"/>
            <wp:effectExtent l="0" t="0" r="0" b="0"/>
            <wp:docPr id="12" name="image13.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13.png" descr="A screenshot of a graph&#10;&#10;AI-generated content may be incorrect."/>
                    <pic:cNvPicPr preferRelativeResize="0"/>
                  </pic:nvPicPr>
                  <pic:blipFill>
                    <a:blip r:embed="rId23"/>
                    <a:srcRect l="2200"/>
                    <a:stretch>
                      <a:fillRect/>
                    </a:stretch>
                  </pic:blipFill>
                  <pic:spPr>
                    <a:xfrm>
                      <a:off x="0" y="0"/>
                      <a:ext cx="6632575" cy="6010275"/>
                    </a:xfrm>
                    <a:prstGeom prst="rect">
                      <a:avLst/>
                    </a:prstGeom>
                    <a:ln/>
                  </pic:spPr>
                </pic:pic>
              </a:graphicData>
            </a:graphic>
          </wp:inline>
        </w:drawing>
      </w:r>
      <w:r>
        <w:rPr>
          <w:b/>
        </w:rPr>
        <w:t>Supplementary Fig 13.</w:t>
      </w:r>
      <w:r>
        <w:t xml:space="preserve"> Regional plot of genomic locus 13 around the lead variant rs143824048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21C6E88D" w14:textId="77777777" w:rsidR="002B5DC0" w:rsidRDefault="002B5DC0" w:rsidP="002B5DC0">
      <w:pPr>
        <w:spacing w:line="240" w:lineRule="auto"/>
      </w:pPr>
    </w:p>
    <w:p w14:paraId="66D42577" w14:textId="77777777" w:rsidR="002B5DC0" w:rsidRDefault="002B5DC0" w:rsidP="002B5DC0">
      <w:pPr>
        <w:spacing w:line="240" w:lineRule="auto"/>
      </w:pPr>
      <w:r>
        <w:rPr>
          <w:b/>
          <w:noProof/>
        </w:rPr>
        <w:lastRenderedPageBreak/>
        <w:drawing>
          <wp:inline distT="114300" distB="114300" distL="114300" distR="114300" wp14:anchorId="532CD103" wp14:editId="795B429E">
            <wp:extent cx="6721475" cy="5225655"/>
            <wp:effectExtent l="0" t="0" r="0" b="0"/>
            <wp:docPr id="20" name="image3.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3.png" descr="A graph of different colored dots&#10;&#10;AI-generated content may be incorrect."/>
                    <pic:cNvPicPr preferRelativeResize="0"/>
                  </pic:nvPicPr>
                  <pic:blipFill>
                    <a:blip r:embed="rId24"/>
                    <a:srcRect/>
                    <a:stretch>
                      <a:fillRect/>
                    </a:stretch>
                  </pic:blipFill>
                  <pic:spPr>
                    <a:xfrm>
                      <a:off x="0" y="0"/>
                      <a:ext cx="6721475" cy="5225655"/>
                    </a:xfrm>
                    <a:prstGeom prst="rect">
                      <a:avLst/>
                    </a:prstGeom>
                    <a:ln/>
                  </pic:spPr>
                </pic:pic>
              </a:graphicData>
            </a:graphic>
          </wp:inline>
        </w:drawing>
      </w:r>
      <w:r>
        <w:rPr>
          <w:b/>
        </w:rPr>
        <w:t>Supplementary Fig 14.</w:t>
      </w:r>
      <w:r>
        <w:t xml:space="preserve"> Regional plot of genomic locus 14 around the lead variant rs80055245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73AE2191" w14:textId="77777777" w:rsidR="002B5DC0" w:rsidRDefault="002B5DC0" w:rsidP="002B5DC0">
      <w:pPr>
        <w:spacing w:line="240" w:lineRule="auto"/>
      </w:pPr>
    </w:p>
    <w:p w14:paraId="7A4AA19F" w14:textId="77777777" w:rsidR="002B5DC0" w:rsidRDefault="002B5DC0" w:rsidP="002B5DC0">
      <w:pPr>
        <w:spacing w:line="240" w:lineRule="auto"/>
      </w:pPr>
      <w:r>
        <w:rPr>
          <w:b/>
          <w:noProof/>
        </w:rPr>
        <w:lastRenderedPageBreak/>
        <w:drawing>
          <wp:inline distT="114300" distB="114300" distL="114300" distR="114300" wp14:anchorId="3D17A222" wp14:editId="4EB3BA0F">
            <wp:extent cx="6784975" cy="5310829"/>
            <wp:effectExtent l="0" t="0" r="0" b="0"/>
            <wp:docPr id="8" name="image5.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5.png" descr="A graph of different colored dots&#10;&#10;AI-generated content may be incorrect."/>
                    <pic:cNvPicPr preferRelativeResize="0"/>
                  </pic:nvPicPr>
                  <pic:blipFill>
                    <a:blip r:embed="rId25"/>
                    <a:srcRect l="2724"/>
                    <a:stretch>
                      <a:fillRect/>
                    </a:stretch>
                  </pic:blipFill>
                  <pic:spPr>
                    <a:xfrm>
                      <a:off x="0" y="0"/>
                      <a:ext cx="6784975" cy="5310829"/>
                    </a:xfrm>
                    <a:prstGeom prst="rect">
                      <a:avLst/>
                    </a:prstGeom>
                    <a:ln/>
                  </pic:spPr>
                </pic:pic>
              </a:graphicData>
            </a:graphic>
          </wp:inline>
        </w:drawing>
      </w:r>
      <w:r>
        <w:rPr>
          <w:b/>
        </w:rPr>
        <w:t>Supplementary Fig 15.</w:t>
      </w:r>
      <w:r>
        <w:t xml:space="preserve"> Regional plot of genomic locus 15 around the lead variant rs79292477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1C274AD3" w14:textId="77777777" w:rsidR="002B5DC0" w:rsidRDefault="002B5DC0" w:rsidP="002B5DC0">
      <w:pPr>
        <w:spacing w:line="240" w:lineRule="auto"/>
      </w:pPr>
    </w:p>
    <w:p w14:paraId="2A6E3015" w14:textId="77777777" w:rsidR="002B5DC0" w:rsidRDefault="002B5DC0" w:rsidP="002B5DC0">
      <w:pPr>
        <w:spacing w:line="240" w:lineRule="auto"/>
      </w:pPr>
      <w:r>
        <w:rPr>
          <w:b/>
          <w:noProof/>
        </w:rPr>
        <w:lastRenderedPageBreak/>
        <w:drawing>
          <wp:inline distT="114300" distB="114300" distL="114300" distR="114300" wp14:anchorId="5FF5A4C5" wp14:editId="6DBEF2CE">
            <wp:extent cx="6772275" cy="5241761"/>
            <wp:effectExtent l="0" t="0" r="0" b="0"/>
            <wp:docPr id="19" name="image15.png" descr="A graph with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15.png" descr="A graph with different colored lines&#10;&#10;AI-generated content may be incorrect."/>
                    <pic:cNvPicPr preferRelativeResize="0"/>
                  </pic:nvPicPr>
                  <pic:blipFill>
                    <a:blip r:embed="rId26"/>
                    <a:srcRect l="3008"/>
                    <a:stretch>
                      <a:fillRect/>
                    </a:stretch>
                  </pic:blipFill>
                  <pic:spPr>
                    <a:xfrm>
                      <a:off x="0" y="0"/>
                      <a:ext cx="6772275" cy="5241761"/>
                    </a:xfrm>
                    <a:prstGeom prst="rect">
                      <a:avLst/>
                    </a:prstGeom>
                    <a:ln/>
                  </pic:spPr>
                </pic:pic>
              </a:graphicData>
            </a:graphic>
          </wp:inline>
        </w:drawing>
      </w:r>
      <w:r>
        <w:rPr>
          <w:b/>
        </w:rPr>
        <w:t>Supplementary Fig 16.</w:t>
      </w:r>
      <w:r>
        <w:t xml:space="preserve"> Regional plot of genomic locus 16 around the lead variant rs10145529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60376EA4" w14:textId="77777777" w:rsidR="002B5DC0" w:rsidRDefault="002B5DC0" w:rsidP="002B5DC0">
      <w:pPr>
        <w:spacing w:line="240" w:lineRule="auto"/>
      </w:pPr>
      <w:r>
        <w:rPr>
          <w:b/>
          <w:noProof/>
        </w:rPr>
        <w:lastRenderedPageBreak/>
        <w:drawing>
          <wp:inline distT="114300" distB="114300" distL="114300" distR="114300" wp14:anchorId="5175AF7D" wp14:editId="2ADA2268">
            <wp:extent cx="6845688" cy="7999140"/>
            <wp:effectExtent l="0" t="0" r="0" b="0"/>
            <wp:docPr id="9" name="image7.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7.png" descr="A screenshot of a graph&#10;&#10;AI-generated content may be incorrect."/>
                    <pic:cNvPicPr preferRelativeResize="0"/>
                  </pic:nvPicPr>
                  <pic:blipFill>
                    <a:blip r:embed="rId27"/>
                    <a:srcRect l="1443" r="1549"/>
                    <a:stretch>
                      <a:fillRect/>
                    </a:stretch>
                  </pic:blipFill>
                  <pic:spPr>
                    <a:xfrm>
                      <a:off x="0" y="0"/>
                      <a:ext cx="6845688" cy="7999140"/>
                    </a:xfrm>
                    <a:prstGeom prst="rect">
                      <a:avLst/>
                    </a:prstGeom>
                    <a:ln/>
                  </pic:spPr>
                </pic:pic>
              </a:graphicData>
            </a:graphic>
          </wp:inline>
        </w:drawing>
      </w:r>
      <w:r>
        <w:rPr>
          <w:b/>
        </w:rPr>
        <w:t>Supplementary Fig 17.</w:t>
      </w:r>
      <w:r>
        <w:t xml:space="preserve"> Regional plot of genomic locus 17 around the lead variant rs4572341 </w:t>
      </w:r>
      <w:r>
        <w:lastRenderedPageBreak/>
        <w:t xml:space="preserve">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Middle.</w:t>
      </w:r>
      <w:r>
        <w:t xml:space="preserve"> The middle panel presents the CADD scores and RegulomeDB scores (top and bottom tracks, respectively). </w:t>
      </w:r>
      <w:r>
        <w:rPr>
          <w:b/>
        </w:rPr>
        <w:t xml:space="preserve">Bottom. </w:t>
      </w:r>
      <w:r>
        <w:t>The bottom panel has the -log10(</w:t>
      </w:r>
      <w:r>
        <w:rPr>
          <w:i/>
        </w:rPr>
        <w:t>p</w:t>
      </w:r>
      <w:r>
        <w:t>-values) of the associations between variants and expression of the gene (on the y-axis), with the colour legend representing the eQTL database.</w:t>
      </w:r>
    </w:p>
    <w:p w14:paraId="499C81B0" w14:textId="77777777" w:rsidR="002B5DC0" w:rsidRDefault="002B5DC0" w:rsidP="002B5DC0">
      <w:pPr>
        <w:spacing w:line="240" w:lineRule="auto"/>
      </w:pPr>
      <w:r>
        <w:rPr>
          <w:b/>
          <w:noProof/>
        </w:rPr>
        <w:drawing>
          <wp:inline distT="114300" distB="114300" distL="114300" distR="114300" wp14:anchorId="0D66BB03" wp14:editId="392123A7">
            <wp:extent cx="6733556" cy="5130329"/>
            <wp:effectExtent l="0" t="0" r="0" b="0"/>
            <wp:docPr id="21" name="image6.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6.png" descr="A graph of different colored dots&#10;&#10;AI-generated content may be incorrect."/>
                    <pic:cNvPicPr preferRelativeResize="0"/>
                  </pic:nvPicPr>
                  <pic:blipFill>
                    <a:blip r:embed="rId28"/>
                    <a:srcRect l="2007" b="1666"/>
                    <a:stretch>
                      <a:fillRect/>
                    </a:stretch>
                  </pic:blipFill>
                  <pic:spPr>
                    <a:xfrm>
                      <a:off x="0" y="0"/>
                      <a:ext cx="6733556" cy="5130329"/>
                    </a:xfrm>
                    <a:prstGeom prst="rect">
                      <a:avLst/>
                    </a:prstGeom>
                    <a:ln/>
                  </pic:spPr>
                </pic:pic>
              </a:graphicData>
            </a:graphic>
          </wp:inline>
        </w:drawing>
      </w:r>
      <w:r>
        <w:rPr>
          <w:b/>
        </w:rPr>
        <w:t>Supplementary Fig 18.</w:t>
      </w:r>
      <w:r>
        <w:t xml:space="preserve"> Regional plot of genomic locus 18 around the lead variant rs117450000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14281D4C" w14:textId="77777777" w:rsidR="002B5DC0" w:rsidRDefault="002B5DC0" w:rsidP="002B5DC0">
      <w:pPr>
        <w:spacing w:line="240" w:lineRule="auto"/>
      </w:pPr>
      <w:r>
        <w:rPr>
          <w:b/>
          <w:noProof/>
        </w:rPr>
        <w:lastRenderedPageBreak/>
        <w:drawing>
          <wp:inline distT="114300" distB="114300" distL="114300" distR="114300" wp14:anchorId="47619509" wp14:editId="059F4C2C">
            <wp:extent cx="6886575" cy="5237269"/>
            <wp:effectExtent l="0" t="0" r="0" b="0"/>
            <wp:docPr id="261323650" name="image1.png" descr="A graph of a number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261323650" name="image1.png" descr="A graph of a number of different colored lines&#10;&#10;AI-generated content may be incorrect."/>
                    <pic:cNvPicPr preferRelativeResize="0"/>
                  </pic:nvPicPr>
                  <pic:blipFill>
                    <a:blip r:embed="rId29"/>
                    <a:srcRect/>
                    <a:stretch>
                      <a:fillRect/>
                    </a:stretch>
                  </pic:blipFill>
                  <pic:spPr>
                    <a:xfrm>
                      <a:off x="0" y="0"/>
                      <a:ext cx="6886575" cy="5237269"/>
                    </a:xfrm>
                    <a:prstGeom prst="rect">
                      <a:avLst/>
                    </a:prstGeom>
                    <a:ln/>
                  </pic:spPr>
                </pic:pic>
              </a:graphicData>
            </a:graphic>
          </wp:inline>
        </w:drawing>
      </w:r>
      <w:r>
        <w:rPr>
          <w:b/>
        </w:rPr>
        <w:t>Supplementary Fig 19.</w:t>
      </w:r>
      <w:r>
        <w:t xml:space="preserve"> Regional plot of genomic locus 19 around the lead variant rs6124907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61F8B6B6" w14:textId="77777777" w:rsidR="002B5DC0" w:rsidRDefault="002B5DC0" w:rsidP="002B5DC0">
      <w:r>
        <w:rPr>
          <w:b/>
          <w:noProof/>
        </w:rPr>
        <w:lastRenderedPageBreak/>
        <w:drawing>
          <wp:inline distT="114300" distB="114300" distL="114300" distR="114300" wp14:anchorId="4B39D58D" wp14:editId="04C26A74">
            <wp:extent cx="6594475" cy="4924425"/>
            <wp:effectExtent l="0" t="0" r="0" b="0"/>
            <wp:docPr id="17" name="image2.png" descr="A graph of a number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2.png" descr="A graph of a number of different colored lines&#10;&#10;AI-generated content may be incorrect."/>
                    <pic:cNvPicPr preferRelativeResize="0"/>
                  </pic:nvPicPr>
                  <pic:blipFill>
                    <a:blip r:embed="rId30"/>
                    <a:srcRect l="2212"/>
                    <a:stretch>
                      <a:fillRect/>
                    </a:stretch>
                  </pic:blipFill>
                  <pic:spPr>
                    <a:xfrm>
                      <a:off x="0" y="0"/>
                      <a:ext cx="6594475" cy="4924425"/>
                    </a:xfrm>
                    <a:prstGeom prst="rect">
                      <a:avLst/>
                    </a:prstGeom>
                    <a:ln/>
                  </pic:spPr>
                </pic:pic>
              </a:graphicData>
            </a:graphic>
          </wp:inline>
        </w:drawing>
      </w:r>
    </w:p>
    <w:p w14:paraId="1D86569C" w14:textId="77777777" w:rsidR="002B5DC0" w:rsidRDefault="002B5DC0" w:rsidP="002B5DC0">
      <w:pPr>
        <w:spacing w:line="240" w:lineRule="auto"/>
      </w:pPr>
      <w:r>
        <w:rPr>
          <w:b/>
        </w:rPr>
        <w:t>Supplementary Fig 20.</w:t>
      </w:r>
      <w:r>
        <w:t xml:space="preserve"> Regional plot of genomic locus 20 around the lead variant rs5986261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45B56721" w14:textId="77777777" w:rsidR="002B5DC0" w:rsidRDefault="002B5DC0" w:rsidP="002B5DC0">
      <w:r>
        <w:rPr>
          <w:b/>
          <w:noProof/>
        </w:rPr>
        <w:lastRenderedPageBreak/>
        <w:drawing>
          <wp:inline distT="114300" distB="114300" distL="114300" distR="114300" wp14:anchorId="317A8AA8" wp14:editId="45261072">
            <wp:extent cx="6607175" cy="5153025"/>
            <wp:effectExtent l="0" t="0" r="0" b="0"/>
            <wp:docPr id="14" name="image18.png" descr="A graph of different colo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18.png" descr="A graph of different colored dots&#10;&#10;AI-generated content may be incorrect."/>
                    <pic:cNvPicPr preferRelativeResize="0"/>
                  </pic:nvPicPr>
                  <pic:blipFill>
                    <a:blip r:embed="rId31"/>
                    <a:srcRect l="2024"/>
                    <a:stretch>
                      <a:fillRect/>
                    </a:stretch>
                  </pic:blipFill>
                  <pic:spPr>
                    <a:xfrm>
                      <a:off x="0" y="0"/>
                      <a:ext cx="6607175" cy="5153025"/>
                    </a:xfrm>
                    <a:prstGeom prst="rect">
                      <a:avLst/>
                    </a:prstGeom>
                    <a:ln/>
                  </pic:spPr>
                </pic:pic>
              </a:graphicData>
            </a:graphic>
          </wp:inline>
        </w:drawing>
      </w:r>
    </w:p>
    <w:p w14:paraId="5B422944" w14:textId="77777777" w:rsidR="002B5DC0" w:rsidRDefault="002B5DC0" w:rsidP="002B5DC0">
      <w:pPr>
        <w:spacing w:line="240" w:lineRule="auto"/>
      </w:pPr>
      <w:r>
        <w:rPr>
          <w:b/>
        </w:rPr>
        <w:t>Supplementary Fig 21.</w:t>
      </w:r>
      <w:r>
        <w:t xml:space="preserve"> Regional plot of genomic locus 21 around the lead variant rs5924107 identified in the Active Music Engagement Frequency (AME) GWAS (N=23,782). </w:t>
      </w:r>
      <w:r>
        <w:rPr>
          <w:b/>
        </w:rPr>
        <w:t>Top.</w:t>
      </w:r>
      <w:r>
        <w:t xml:space="preserve"> Top panel presents the -log10(</w:t>
      </w:r>
      <w:r>
        <w:rPr>
          <w:i/>
        </w:rPr>
        <w:t>p</w:t>
      </w:r>
      <w:r>
        <w:t xml:space="preserve">-values) of the association between variants and AME and linkage LD </w:t>
      </w:r>
      <w:r>
        <w:rPr>
          <w:i/>
        </w:rPr>
        <w:t>r</w:t>
      </w:r>
      <w:r>
        <w:rPr>
          <w:vertAlign w:val="superscript"/>
        </w:rPr>
        <w:t>2</w:t>
      </w:r>
      <w:r>
        <w:t xml:space="preserve"> information for the variants in the locus (variants are colored by LD </w:t>
      </w:r>
      <w:r>
        <w:rPr>
          <w:i/>
        </w:rPr>
        <w:t>r</w:t>
      </w:r>
      <w:r>
        <w:rPr>
          <w:vertAlign w:val="superscript"/>
        </w:rPr>
        <w:t>2</w:t>
      </w:r>
      <w:r>
        <w:t xml:space="preserve">) and any eQTL-mapped genes are in red below. </w:t>
      </w:r>
      <w:r>
        <w:rPr>
          <w:b/>
        </w:rPr>
        <w:t>Bottom.</w:t>
      </w:r>
      <w:r>
        <w:t xml:space="preserve"> The bottom panel presents the CADD scores and RegulomeDB scores (top and bottom tracks, respectively). </w:t>
      </w:r>
    </w:p>
    <w:p w14:paraId="1435EC19" w14:textId="77777777" w:rsidR="002B5DC0" w:rsidRDefault="002B5DC0" w:rsidP="002B5DC0">
      <w:pPr>
        <w:ind w:left="384" w:hanging="384"/>
        <w:rPr>
          <w:b/>
          <w:bCs/>
        </w:rPr>
      </w:pPr>
      <w:r>
        <w:rPr>
          <w:b/>
          <w:bCs/>
          <w:noProof/>
        </w:rPr>
        <w:lastRenderedPageBreak/>
        <w:drawing>
          <wp:inline distT="0" distB="0" distL="0" distR="0" wp14:anchorId="6051AED8" wp14:editId="38AD6E9C">
            <wp:extent cx="5943600" cy="5943600"/>
            <wp:effectExtent l="0" t="0" r="0" b="0"/>
            <wp:docPr id="864459993" name="Picture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9993" name="Picture 10" descr="A graph of a line graph&#10;&#10;AI-generated content may be incorrect."/>
                    <pic:cNvPicPr/>
                  </pic:nvPicPr>
                  <pic:blipFill>
                    <a:blip r:embed="rId32"/>
                    <a:stretch>
                      <a:fillRect/>
                    </a:stretch>
                  </pic:blipFill>
                  <pic:spPr>
                    <a:xfrm>
                      <a:off x="0" y="0"/>
                      <a:ext cx="5943600" cy="5943600"/>
                    </a:xfrm>
                    <a:prstGeom prst="rect">
                      <a:avLst/>
                    </a:prstGeom>
                  </pic:spPr>
                </pic:pic>
              </a:graphicData>
            </a:graphic>
          </wp:inline>
        </w:drawing>
      </w:r>
    </w:p>
    <w:p w14:paraId="73AF3F1D" w14:textId="77777777" w:rsidR="002B5DC0" w:rsidRDefault="002B5DC0" w:rsidP="002B5DC0">
      <w:pPr>
        <w:rPr>
          <w:b/>
          <w:bCs/>
        </w:rPr>
      </w:pPr>
      <w:r w:rsidRPr="00B80346">
        <w:rPr>
          <w:b/>
          <w:bCs/>
        </w:rPr>
        <w:t xml:space="preserve">Supplementary </w:t>
      </w:r>
      <w:r>
        <w:rPr>
          <w:b/>
          <w:bCs/>
        </w:rPr>
        <w:t>Fig 22.</w:t>
      </w:r>
      <w:r w:rsidRPr="00B80346">
        <w:rPr>
          <w:b/>
          <w:bCs/>
        </w:rPr>
        <w:t xml:space="preserve"> </w:t>
      </w:r>
      <w:r w:rsidRPr="00B80346">
        <w:t>Leave-one-out analysis Results for the effect of Beat Synchronization on Active Music Engagement Frequency</w:t>
      </w:r>
      <w:r>
        <w:t xml:space="preserve"> using MR-Egger regression.   </w:t>
      </w:r>
      <w:r w:rsidRPr="00B80346">
        <w:rPr>
          <w:b/>
          <w:bCs/>
        </w:rPr>
        <w:br w:type="page"/>
      </w:r>
      <w:r>
        <w:rPr>
          <w:noProof/>
        </w:rPr>
        <w:lastRenderedPageBreak/>
        <w:drawing>
          <wp:inline distT="0" distB="0" distL="0" distR="0" wp14:anchorId="70791DDA" wp14:editId="717B2376">
            <wp:extent cx="5943600" cy="5943600"/>
            <wp:effectExtent l="0" t="0" r="0" b="0"/>
            <wp:docPr id="152173837" name="Picture 9" descr="A graph of a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3837" name="Picture 9" descr="A graph of a line with numbers&#10;&#10;AI-generated content may be incorrect."/>
                    <pic:cNvPicPr/>
                  </pic:nvPicPr>
                  <pic:blipFill>
                    <a:blip r:embed="rId33"/>
                    <a:stretch>
                      <a:fillRect/>
                    </a:stretch>
                  </pic:blipFill>
                  <pic:spPr>
                    <a:xfrm>
                      <a:off x="0" y="0"/>
                      <a:ext cx="5943600" cy="5943600"/>
                    </a:xfrm>
                    <a:prstGeom prst="rect">
                      <a:avLst/>
                    </a:prstGeom>
                  </pic:spPr>
                </pic:pic>
              </a:graphicData>
            </a:graphic>
          </wp:inline>
        </w:drawing>
      </w:r>
      <w:bookmarkStart w:id="29" w:name="_shjdhn1mzryn" w:colFirst="0" w:colLast="0"/>
      <w:bookmarkEnd w:id="29"/>
    </w:p>
    <w:p w14:paraId="2515390B" w14:textId="77777777" w:rsidR="002B5DC0" w:rsidRDefault="002B5DC0" w:rsidP="002B5DC0">
      <w:r w:rsidRPr="00B80346">
        <w:rPr>
          <w:b/>
          <w:bCs/>
        </w:rPr>
        <w:t xml:space="preserve">Supplementary </w:t>
      </w:r>
      <w:r>
        <w:rPr>
          <w:b/>
          <w:bCs/>
        </w:rPr>
        <w:t>Fig 23.</w:t>
      </w:r>
      <w:r w:rsidRPr="00B80346">
        <w:rPr>
          <w:b/>
          <w:bCs/>
        </w:rPr>
        <w:t xml:space="preserve"> </w:t>
      </w:r>
      <w:r w:rsidRPr="00B80346">
        <w:t>Leave-one-out analysis Results for the effect of Beat Synchronization on Active Music Engagement Frequency</w:t>
      </w:r>
      <w:r>
        <w:t xml:space="preserve"> using Inverse Variance Weighted Meta-Analysis.</w:t>
      </w:r>
    </w:p>
    <w:p w14:paraId="4B6FA90A" w14:textId="77777777" w:rsidR="00B06C54" w:rsidRDefault="00B06C54" w:rsidP="002B5DC0"/>
    <w:p w14:paraId="668C605E" w14:textId="77777777" w:rsidR="00B06C54" w:rsidRDefault="00B06C54">
      <w:pPr>
        <w:spacing w:before="0" w:after="160" w:line="278" w:lineRule="auto"/>
        <w:rPr>
          <w:rFonts w:asciiTheme="majorHAnsi" w:eastAsiaTheme="majorEastAsia" w:hAnsiTheme="majorHAnsi" w:cstheme="majorBidi"/>
          <w:color w:val="0F4761" w:themeColor="accent1" w:themeShade="BF"/>
          <w:sz w:val="32"/>
          <w:szCs w:val="32"/>
        </w:rPr>
      </w:pPr>
      <w:r>
        <w:br w:type="page"/>
      </w:r>
    </w:p>
    <w:p w14:paraId="3861827D" w14:textId="746CE444" w:rsidR="00B06C54" w:rsidRDefault="00365507" w:rsidP="00365507">
      <w:pPr>
        <w:pStyle w:val="Heading1"/>
      </w:pPr>
      <w:bookmarkStart w:id="30" w:name="_Toc210218314"/>
      <w:r>
        <w:lastRenderedPageBreak/>
        <w:t xml:space="preserve">4. </w:t>
      </w:r>
      <w:r w:rsidR="00B06C54">
        <w:t>References</w:t>
      </w:r>
      <w:bookmarkEnd w:id="30"/>
    </w:p>
    <w:p w14:paraId="0FD7CB5B" w14:textId="0562EE2C" w:rsidR="00B06C54" w:rsidRPr="00F47F17" w:rsidRDefault="00B06C54" w:rsidP="00B06C54">
      <w:pPr>
        <w:pStyle w:val="Bibliography"/>
        <w:rPr>
          <w:rFonts w:eastAsiaTheme="minorHAnsi"/>
          <w:lang w:val="en-US" w:eastAsia="en-US"/>
        </w:rPr>
      </w:pPr>
      <w:r>
        <w:fldChar w:fldCharType="begin"/>
      </w:r>
      <w:r>
        <w:instrText xml:space="preserve"> ADDIN ZOTERO_BIBL {"uncited":[],"omitted":[],"custom":[]} CSL_BIBLIOGRAPHY </w:instrText>
      </w:r>
      <w:r>
        <w:fldChar w:fldCharType="separate"/>
      </w:r>
      <w:r>
        <w:rPr>
          <w:rFonts w:eastAsiaTheme="minorHAnsi"/>
          <w:lang w:val="en-US" w:eastAsia="en-US"/>
        </w:rPr>
        <w:t xml:space="preserve">1.  </w:t>
      </w:r>
      <w:r w:rsidRPr="00F47F17">
        <w:rPr>
          <w:rFonts w:eastAsiaTheme="minorHAnsi"/>
          <w:lang w:val="en-US" w:eastAsia="en-US"/>
        </w:rPr>
        <w:t xml:space="preserve">Bulik-Sullivan, B. K. </w:t>
      </w:r>
      <w:r w:rsidRPr="00F47F17">
        <w:rPr>
          <w:rFonts w:eastAsiaTheme="minorHAnsi"/>
          <w:i/>
          <w:iCs/>
          <w:lang w:val="en-US" w:eastAsia="en-US"/>
        </w:rPr>
        <w:t>et al.</w:t>
      </w:r>
      <w:r w:rsidRPr="00F47F17">
        <w:rPr>
          <w:rFonts w:eastAsiaTheme="minorHAnsi"/>
          <w:lang w:val="en-US" w:eastAsia="en-US"/>
        </w:rPr>
        <w:t xml:space="preserve"> LD Score regression distinguishes confounding from polygenicity in genome-wide association studies. </w:t>
      </w:r>
      <w:r w:rsidRPr="00F47F17">
        <w:rPr>
          <w:rFonts w:eastAsiaTheme="minorHAnsi"/>
          <w:i/>
          <w:iCs/>
          <w:lang w:val="en-US" w:eastAsia="en-US"/>
        </w:rPr>
        <w:t>Nat. Genet.</w:t>
      </w:r>
      <w:r w:rsidRPr="00F47F17">
        <w:rPr>
          <w:rFonts w:eastAsiaTheme="minorHAnsi"/>
          <w:lang w:val="en-US" w:eastAsia="en-US"/>
        </w:rPr>
        <w:t xml:space="preserve"> </w:t>
      </w:r>
      <w:r w:rsidRPr="00F47F17">
        <w:rPr>
          <w:rFonts w:eastAsiaTheme="minorHAnsi"/>
          <w:b/>
          <w:bCs/>
          <w:lang w:val="en-US" w:eastAsia="en-US"/>
        </w:rPr>
        <w:t>47</w:t>
      </w:r>
      <w:r w:rsidRPr="00F47F17">
        <w:rPr>
          <w:rFonts w:eastAsiaTheme="minorHAnsi"/>
          <w:lang w:val="en-US" w:eastAsia="en-US"/>
        </w:rPr>
        <w:t>, 291–295 (2015).</w:t>
      </w:r>
    </w:p>
    <w:p w14:paraId="64A122A5"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2.</w:t>
      </w:r>
      <w:r w:rsidRPr="00F47F17">
        <w:rPr>
          <w:rFonts w:eastAsiaTheme="minorHAnsi"/>
          <w:lang w:val="en-US" w:eastAsia="en-US"/>
        </w:rPr>
        <w:tab/>
        <w:t xml:space="preserve">Raina, P. </w:t>
      </w:r>
      <w:r w:rsidRPr="00F47F17">
        <w:rPr>
          <w:rFonts w:eastAsiaTheme="minorHAnsi"/>
          <w:i/>
          <w:iCs/>
          <w:lang w:val="en-US" w:eastAsia="en-US"/>
        </w:rPr>
        <w:t>et al.</w:t>
      </w:r>
      <w:r w:rsidRPr="00F47F17">
        <w:rPr>
          <w:rFonts w:eastAsiaTheme="minorHAnsi"/>
          <w:lang w:val="en-US" w:eastAsia="en-US"/>
        </w:rPr>
        <w:t xml:space="preserve"> Cohort Profile: The Canadian Longitudinal Study on Aging (CLSA). </w:t>
      </w:r>
      <w:r w:rsidRPr="00F47F17">
        <w:rPr>
          <w:rFonts w:eastAsiaTheme="minorHAnsi"/>
          <w:i/>
          <w:iCs/>
          <w:lang w:val="en-US" w:eastAsia="en-US"/>
        </w:rPr>
        <w:t>Int. J. Epidemiol.</w:t>
      </w:r>
      <w:r w:rsidRPr="00F47F17">
        <w:rPr>
          <w:rFonts w:eastAsiaTheme="minorHAnsi"/>
          <w:lang w:val="en-US" w:eastAsia="en-US"/>
        </w:rPr>
        <w:t xml:space="preserve"> </w:t>
      </w:r>
      <w:r w:rsidRPr="00F47F17">
        <w:rPr>
          <w:rFonts w:eastAsiaTheme="minorHAnsi"/>
          <w:b/>
          <w:bCs/>
          <w:lang w:val="en-US" w:eastAsia="en-US"/>
        </w:rPr>
        <w:t>48</w:t>
      </w:r>
      <w:r w:rsidRPr="00F47F17">
        <w:rPr>
          <w:rFonts w:eastAsiaTheme="minorHAnsi"/>
          <w:lang w:val="en-US" w:eastAsia="en-US"/>
        </w:rPr>
        <w:t>, 1752–1753j (2019).</w:t>
      </w:r>
    </w:p>
    <w:p w14:paraId="14BB03D0"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3.</w:t>
      </w:r>
      <w:r w:rsidRPr="00F47F17">
        <w:rPr>
          <w:rFonts w:eastAsiaTheme="minorHAnsi"/>
          <w:lang w:val="en-US" w:eastAsia="en-US"/>
        </w:rPr>
        <w:tab/>
        <w:t xml:space="preserve">Forgetta, V. </w:t>
      </w:r>
      <w:r w:rsidRPr="00F47F17">
        <w:rPr>
          <w:rFonts w:eastAsiaTheme="minorHAnsi"/>
          <w:i/>
          <w:iCs/>
          <w:lang w:val="en-US" w:eastAsia="en-US"/>
        </w:rPr>
        <w:t>et al.</w:t>
      </w:r>
      <w:r w:rsidRPr="00F47F17">
        <w:rPr>
          <w:rFonts w:eastAsiaTheme="minorHAnsi"/>
          <w:lang w:val="en-US" w:eastAsia="en-US"/>
        </w:rPr>
        <w:t xml:space="preserve"> Cohort profile: genomic data for 26 622 individuals from the Canadian Longitudinal Study on Aging (CLSA). </w:t>
      </w:r>
      <w:r w:rsidRPr="00F47F17">
        <w:rPr>
          <w:rFonts w:eastAsiaTheme="minorHAnsi"/>
          <w:i/>
          <w:iCs/>
          <w:lang w:val="en-US" w:eastAsia="en-US"/>
        </w:rPr>
        <w:t>BMJ Open</w:t>
      </w:r>
      <w:r w:rsidRPr="00F47F17">
        <w:rPr>
          <w:rFonts w:eastAsiaTheme="minorHAnsi"/>
          <w:lang w:val="en-US" w:eastAsia="en-US"/>
        </w:rPr>
        <w:t xml:space="preserve"> </w:t>
      </w:r>
      <w:r w:rsidRPr="00F47F17">
        <w:rPr>
          <w:rFonts w:eastAsiaTheme="minorHAnsi"/>
          <w:b/>
          <w:bCs/>
          <w:lang w:val="en-US" w:eastAsia="en-US"/>
        </w:rPr>
        <w:t>12</w:t>
      </w:r>
      <w:r w:rsidRPr="00F47F17">
        <w:rPr>
          <w:rFonts w:eastAsiaTheme="minorHAnsi"/>
          <w:lang w:val="en-US" w:eastAsia="en-US"/>
        </w:rPr>
        <w:t>, e059021 (2022).</w:t>
      </w:r>
    </w:p>
    <w:p w14:paraId="658DFD4E"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4.</w:t>
      </w:r>
      <w:r w:rsidRPr="00F47F17">
        <w:rPr>
          <w:rFonts w:eastAsiaTheme="minorHAnsi"/>
          <w:lang w:val="en-US" w:eastAsia="en-US"/>
        </w:rPr>
        <w:tab/>
        <w:t xml:space="preserve">Purcell, S. </w:t>
      </w:r>
      <w:r w:rsidRPr="00F47F17">
        <w:rPr>
          <w:rFonts w:eastAsiaTheme="minorHAnsi"/>
          <w:i/>
          <w:iCs/>
          <w:lang w:val="en-US" w:eastAsia="en-US"/>
        </w:rPr>
        <w:t>et al.</w:t>
      </w:r>
      <w:r w:rsidRPr="00F47F17">
        <w:rPr>
          <w:rFonts w:eastAsiaTheme="minorHAnsi"/>
          <w:lang w:val="en-US" w:eastAsia="en-US"/>
        </w:rPr>
        <w:t xml:space="preserve"> PLINK: a tool set for whole-genome association and population-based linkage analyses. </w:t>
      </w:r>
      <w:r w:rsidRPr="00F47F17">
        <w:rPr>
          <w:rFonts w:eastAsiaTheme="minorHAnsi"/>
          <w:i/>
          <w:iCs/>
          <w:lang w:val="en-US" w:eastAsia="en-US"/>
        </w:rPr>
        <w:t>Am. J. Hum. Genet.</w:t>
      </w:r>
      <w:r w:rsidRPr="00F47F17">
        <w:rPr>
          <w:rFonts w:eastAsiaTheme="minorHAnsi"/>
          <w:lang w:val="en-US" w:eastAsia="en-US"/>
        </w:rPr>
        <w:t xml:space="preserve"> </w:t>
      </w:r>
      <w:r w:rsidRPr="00F47F17">
        <w:rPr>
          <w:rFonts w:eastAsiaTheme="minorHAnsi"/>
          <w:b/>
          <w:bCs/>
          <w:lang w:val="en-US" w:eastAsia="en-US"/>
        </w:rPr>
        <w:t>81</w:t>
      </w:r>
      <w:r w:rsidRPr="00F47F17">
        <w:rPr>
          <w:rFonts w:eastAsiaTheme="minorHAnsi"/>
          <w:lang w:val="en-US" w:eastAsia="en-US"/>
        </w:rPr>
        <w:t>, 559–575 (2007).</w:t>
      </w:r>
    </w:p>
    <w:p w14:paraId="133B82C3"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5.</w:t>
      </w:r>
      <w:r w:rsidRPr="00F47F17">
        <w:rPr>
          <w:rFonts w:eastAsiaTheme="minorHAnsi"/>
          <w:lang w:val="en-US" w:eastAsia="en-US"/>
        </w:rPr>
        <w:tab/>
        <w:t xml:space="preserve">Staples, J. </w:t>
      </w:r>
      <w:r w:rsidRPr="00F47F17">
        <w:rPr>
          <w:rFonts w:eastAsiaTheme="minorHAnsi"/>
          <w:i/>
          <w:iCs/>
          <w:lang w:val="en-US" w:eastAsia="en-US"/>
        </w:rPr>
        <w:t>et al.</w:t>
      </w:r>
      <w:r w:rsidRPr="00F47F17">
        <w:rPr>
          <w:rFonts w:eastAsiaTheme="minorHAnsi"/>
          <w:lang w:val="en-US" w:eastAsia="en-US"/>
        </w:rPr>
        <w:t xml:space="preserve"> PRIMUS: Rapid Reconstruction of Pedigrees from Genome-wide Estimates of Identity by Descent. </w:t>
      </w:r>
      <w:r w:rsidRPr="00F47F17">
        <w:rPr>
          <w:rFonts w:eastAsiaTheme="minorHAnsi"/>
          <w:i/>
          <w:iCs/>
          <w:lang w:val="en-US" w:eastAsia="en-US"/>
        </w:rPr>
        <w:t>Am. J. Hum. Genet.</w:t>
      </w:r>
      <w:r w:rsidRPr="00F47F17">
        <w:rPr>
          <w:rFonts w:eastAsiaTheme="minorHAnsi"/>
          <w:lang w:val="en-US" w:eastAsia="en-US"/>
        </w:rPr>
        <w:t xml:space="preserve"> </w:t>
      </w:r>
      <w:r w:rsidRPr="00F47F17">
        <w:rPr>
          <w:rFonts w:eastAsiaTheme="minorHAnsi"/>
          <w:b/>
          <w:bCs/>
          <w:lang w:val="en-US" w:eastAsia="en-US"/>
        </w:rPr>
        <w:t>95</w:t>
      </w:r>
      <w:r w:rsidRPr="00F47F17">
        <w:rPr>
          <w:rFonts w:eastAsiaTheme="minorHAnsi"/>
          <w:lang w:val="en-US" w:eastAsia="en-US"/>
        </w:rPr>
        <w:t>, 553–564 (2014).</w:t>
      </w:r>
    </w:p>
    <w:p w14:paraId="6D143C1E"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6.</w:t>
      </w:r>
      <w:r w:rsidRPr="00F47F17">
        <w:rPr>
          <w:rFonts w:eastAsiaTheme="minorHAnsi"/>
          <w:lang w:val="en-US" w:eastAsia="en-US"/>
        </w:rPr>
        <w:tab/>
        <w:t xml:space="preserve">Forgetta, V. </w:t>
      </w:r>
      <w:r w:rsidRPr="00F47F17">
        <w:rPr>
          <w:rFonts w:eastAsiaTheme="minorHAnsi"/>
          <w:i/>
          <w:iCs/>
          <w:lang w:val="en-US" w:eastAsia="en-US"/>
        </w:rPr>
        <w:t>et al.</w:t>
      </w:r>
      <w:r w:rsidRPr="00F47F17">
        <w:rPr>
          <w:rFonts w:eastAsiaTheme="minorHAnsi"/>
          <w:lang w:val="en-US" w:eastAsia="en-US"/>
        </w:rPr>
        <w:t xml:space="preserve"> The Canadian Longitudinal Study on Aging.</w:t>
      </w:r>
    </w:p>
    <w:p w14:paraId="3C533D77"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7.</w:t>
      </w:r>
      <w:r w:rsidRPr="00F47F17">
        <w:rPr>
          <w:rFonts w:eastAsiaTheme="minorHAnsi"/>
          <w:lang w:val="en-US" w:eastAsia="en-US"/>
        </w:rPr>
        <w:tab/>
        <w:t xml:space="preserve">Chang, C. C. </w:t>
      </w:r>
      <w:r w:rsidRPr="00F47F17">
        <w:rPr>
          <w:rFonts w:eastAsiaTheme="minorHAnsi"/>
          <w:i/>
          <w:iCs/>
          <w:lang w:val="en-US" w:eastAsia="en-US"/>
        </w:rPr>
        <w:t>et al.</w:t>
      </w:r>
      <w:r w:rsidRPr="00F47F17">
        <w:rPr>
          <w:rFonts w:eastAsiaTheme="minorHAnsi"/>
          <w:lang w:val="en-US" w:eastAsia="en-US"/>
        </w:rPr>
        <w:t xml:space="preserve"> Second-generation PLINK: rising to the challenge of larger and richer datasets. </w:t>
      </w:r>
      <w:r w:rsidRPr="00F47F17">
        <w:rPr>
          <w:rFonts w:eastAsiaTheme="minorHAnsi"/>
          <w:i/>
          <w:iCs/>
          <w:lang w:val="en-US" w:eastAsia="en-US"/>
        </w:rPr>
        <w:t>GigaScience</w:t>
      </w:r>
      <w:r w:rsidRPr="00F47F17">
        <w:rPr>
          <w:rFonts w:eastAsiaTheme="minorHAnsi"/>
          <w:lang w:val="en-US" w:eastAsia="en-US"/>
        </w:rPr>
        <w:t xml:space="preserve"> </w:t>
      </w:r>
      <w:r w:rsidRPr="00F47F17">
        <w:rPr>
          <w:rFonts w:eastAsiaTheme="minorHAnsi"/>
          <w:b/>
          <w:bCs/>
          <w:lang w:val="en-US" w:eastAsia="en-US"/>
        </w:rPr>
        <w:t>4</w:t>
      </w:r>
      <w:r w:rsidRPr="00F47F17">
        <w:rPr>
          <w:rFonts w:eastAsiaTheme="minorHAnsi"/>
          <w:lang w:val="en-US" w:eastAsia="en-US"/>
        </w:rPr>
        <w:t>, 7 (2015).</w:t>
      </w:r>
    </w:p>
    <w:p w14:paraId="6069CDBA"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8.</w:t>
      </w:r>
      <w:r w:rsidRPr="00F47F17">
        <w:rPr>
          <w:rFonts w:eastAsiaTheme="minorHAnsi"/>
          <w:lang w:val="en-US" w:eastAsia="en-US"/>
        </w:rPr>
        <w:tab/>
        <w:t xml:space="preserve">Herd, P., Carr, D. &amp; Roan, C. Cohort Profile: Wisconsin longitudinal study (WLS). </w:t>
      </w:r>
      <w:r w:rsidRPr="00F47F17">
        <w:rPr>
          <w:rFonts w:eastAsiaTheme="minorHAnsi"/>
          <w:i/>
          <w:iCs/>
          <w:lang w:val="en-US" w:eastAsia="en-US"/>
        </w:rPr>
        <w:t>Int. J. Epidemiol.</w:t>
      </w:r>
      <w:r w:rsidRPr="00F47F17">
        <w:rPr>
          <w:rFonts w:eastAsiaTheme="minorHAnsi"/>
          <w:lang w:val="en-US" w:eastAsia="en-US"/>
        </w:rPr>
        <w:t xml:space="preserve"> </w:t>
      </w:r>
      <w:r w:rsidRPr="00F47F17">
        <w:rPr>
          <w:rFonts w:eastAsiaTheme="minorHAnsi"/>
          <w:b/>
          <w:bCs/>
          <w:lang w:val="en-US" w:eastAsia="en-US"/>
        </w:rPr>
        <w:t>43</w:t>
      </w:r>
      <w:r w:rsidRPr="00F47F17">
        <w:rPr>
          <w:rFonts w:eastAsiaTheme="minorHAnsi"/>
          <w:lang w:val="en-US" w:eastAsia="en-US"/>
        </w:rPr>
        <w:t>, 34–41 (2014).</w:t>
      </w:r>
    </w:p>
    <w:p w14:paraId="56064E0F"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9.</w:t>
      </w:r>
      <w:r w:rsidRPr="00F47F17">
        <w:rPr>
          <w:rFonts w:eastAsiaTheme="minorHAnsi"/>
          <w:lang w:val="en-US" w:eastAsia="en-US"/>
        </w:rPr>
        <w:tab/>
        <w:t xml:space="preserve">Lee, J. J. </w:t>
      </w:r>
      <w:r w:rsidRPr="00F47F17">
        <w:rPr>
          <w:rFonts w:eastAsiaTheme="minorHAnsi"/>
          <w:i/>
          <w:iCs/>
          <w:lang w:val="en-US" w:eastAsia="en-US"/>
        </w:rPr>
        <w:t>et al.</w:t>
      </w:r>
      <w:r w:rsidRPr="00F47F17">
        <w:rPr>
          <w:rFonts w:eastAsiaTheme="minorHAnsi"/>
          <w:lang w:val="en-US" w:eastAsia="en-US"/>
        </w:rPr>
        <w:t xml:space="preserve"> Gene discovery and polygenic prediction from a genome-wide association study of educational attainment in 1.1 million individuals. </w:t>
      </w:r>
      <w:r w:rsidRPr="00F47F17">
        <w:rPr>
          <w:rFonts w:eastAsiaTheme="minorHAnsi"/>
          <w:i/>
          <w:iCs/>
          <w:lang w:val="en-US" w:eastAsia="en-US"/>
        </w:rPr>
        <w:t>Nat. Genet.</w:t>
      </w:r>
      <w:r w:rsidRPr="00F47F17">
        <w:rPr>
          <w:rFonts w:eastAsiaTheme="minorHAnsi"/>
          <w:lang w:val="en-US" w:eastAsia="en-US"/>
        </w:rPr>
        <w:t xml:space="preserve"> </w:t>
      </w:r>
      <w:r w:rsidRPr="00F47F17">
        <w:rPr>
          <w:rFonts w:eastAsiaTheme="minorHAnsi"/>
          <w:b/>
          <w:bCs/>
          <w:lang w:val="en-US" w:eastAsia="en-US"/>
        </w:rPr>
        <w:t>50</w:t>
      </w:r>
      <w:r w:rsidRPr="00F47F17">
        <w:rPr>
          <w:rFonts w:eastAsiaTheme="minorHAnsi"/>
          <w:lang w:val="en-US" w:eastAsia="en-US"/>
        </w:rPr>
        <w:t>, 1112–1121 (2018).</w:t>
      </w:r>
    </w:p>
    <w:p w14:paraId="4AED6818"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lastRenderedPageBreak/>
        <w:t>10.</w:t>
      </w:r>
      <w:r w:rsidRPr="00F47F17">
        <w:rPr>
          <w:rFonts w:eastAsiaTheme="minorHAnsi"/>
          <w:lang w:val="en-US" w:eastAsia="en-US"/>
        </w:rPr>
        <w:tab/>
        <w:t xml:space="preserve">Zheng, X. </w:t>
      </w:r>
      <w:r w:rsidRPr="00F47F17">
        <w:rPr>
          <w:rFonts w:eastAsiaTheme="minorHAnsi"/>
          <w:i/>
          <w:iCs/>
          <w:lang w:val="en-US" w:eastAsia="en-US"/>
        </w:rPr>
        <w:t>et al.</w:t>
      </w:r>
      <w:r w:rsidRPr="00F47F17">
        <w:rPr>
          <w:rFonts w:eastAsiaTheme="minorHAnsi"/>
          <w:lang w:val="en-US" w:eastAsia="en-US"/>
        </w:rPr>
        <w:t xml:space="preserve"> A high-performance computing toolset for relatedness and principal component analysis of SNP data. </w:t>
      </w:r>
      <w:r w:rsidRPr="00F47F17">
        <w:rPr>
          <w:rFonts w:eastAsiaTheme="minorHAnsi"/>
          <w:i/>
          <w:iCs/>
          <w:lang w:val="en-US" w:eastAsia="en-US"/>
        </w:rPr>
        <w:t>Bioinforma. Oxf. Engl.</w:t>
      </w:r>
      <w:r w:rsidRPr="00F47F17">
        <w:rPr>
          <w:rFonts w:eastAsiaTheme="minorHAnsi"/>
          <w:lang w:val="en-US" w:eastAsia="en-US"/>
        </w:rPr>
        <w:t xml:space="preserve"> </w:t>
      </w:r>
      <w:r w:rsidRPr="00F47F17">
        <w:rPr>
          <w:rFonts w:eastAsiaTheme="minorHAnsi"/>
          <w:b/>
          <w:bCs/>
          <w:lang w:val="en-US" w:eastAsia="en-US"/>
        </w:rPr>
        <w:t>28</w:t>
      </w:r>
      <w:r w:rsidRPr="00F47F17">
        <w:rPr>
          <w:rFonts w:eastAsiaTheme="minorHAnsi"/>
          <w:lang w:val="en-US" w:eastAsia="en-US"/>
        </w:rPr>
        <w:t>, 3326–3328 (2012).</w:t>
      </w:r>
    </w:p>
    <w:p w14:paraId="10BF47F9"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11.</w:t>
      </w:r>
      <w:r w:rsidRPr="00F47F17">
        <w:rPr>
          <w:rFonts w:eastAsiaTheme="minorHAnsi"/>
          <w:lang w:val="en-US" w:eastAsia="en-US"/>
        </w:rPr>
        <w:tab/>
        <w:t xml:space="preserve">Brumpton, B. M. </w:t>
      </w:r>
      <w:r w:rsidRPr="00F47F17">
        <w:rPr>
          <w:rFonts w:eastAsiaTheme="minorHAnsi"/>
          <w:i/>
          <w:iCs/>
          <w:lang w:val="en-US" w:eastAsia="en-US"/>
        </w:rPr>
        <w:t>et al.</w:t>
      </w:r>
      <w:r w:rsidRPr="00F47F17">
        <w:rPr>
          <w:rFonts w:eastAsiaTheme="minorHAnsi"/>
          <w:lang w:val="en-US" w:eastAsia="en-US"/>
        </w:rPr>
        <w:t xml:space="preserve"> The HUNT study: A population-based cohort for genetic research. </w:t>
      </w:r>
      <w:r w:rsidRPr="00F47F17">
        <w:rPr>
          <w:rFonts w:eastAsiaTheme="minorHAnsi"/>
          <w:i/>
          <w:iCs/>
          <w:lang w:val="en-US" w:eastAsia="en-US"/>
        </w:rPr>
        <w:t>Cell Genomics</w:t>
      </w:r>
      <w:r w:rsidRPr="00F47F17">
        <w:rPr>
          <w:rFonts w:eastAsiaTheme="minorHAnsi"/>
          <w:lang w:val="en-US" w:eastAsia="en-US"/>
        </w:rPr>
        <w:t xml:space="preserve"> </w:t>
      </w:r>
      <w:r w:rsidRPr="00F47F17">
        <w:rPr>
          <w:rFonts w:eastAsiaTheme="minorHAnsi"/>
          <w:b/>
          <w:bCs/>
          <w:lang w:val="en-US" w:eastAsia="en-US"/>
        </w:rPr>
        <w:t>2</w:t>
      </w:r>
      <w:r w:rsidRPr="00F47F17">
        <w:rPr>
          <w:rFonts w:eastAsiaTheme="minorHAnsi"/>
          <w:lang w:val="en-US" w:eastAsia="en-US"/>
        </w:rPr>
        <w:t>, 100193 (2022).</w:t>
      </w:r>
    </w:p>
    <w:p w14:paraId="1538DA7A"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12.</w:t>
      </w:r>
      <w:r w:rsidRPr="00F47F17">
        <w:rPr>
          <w:rFonts w:eastAsiaTheme="minorHAnsi"/>
          <w:lang w:val="en-US" w:eastAsia="en-US"/>
        </w:rPr>
        <w:tab/>
        <w:t xml:space="preserve">Åsvold, B. O. </w:t>
      </w:r>
      <w:r w:rsidRPr="00F47F17">
        <w:rPr>
          <w:rFonts w:eastAsiaTheme="minorHAnsi"/>
          <w:i/>
          <w:iCs/>
          <w:lang w:val="en-US" w:eastAsia="en-US"/>
        </w:rPr>
        <w:t>et al.</w:t>
      </w:r>
      <w:r w:rsidRPr="00F47F17">
        <w:rPr>
          <w:rFonts w:eastAsiaTheme="minorHAnsi"/>
          <w:lang w:val="en-US" w:eastAsia="en-US"/>
        </w:rPr>
        <w:t xml:space="preserve"> Cohort Profile Update: The HUNT Study, Norway. </w:t>
      </w:r>
      <w:r w:rsidRPr="00F47F17">
        <w:rPr>
          <w:rFonts w:eastAsiaTheme="minorHAnsi"/>
          <w:i/>
          <w:iCs/>
          <w:lang w:val="en-US" w:eastAsia="en-US"/>
        </w:rPr>
        <w:t>Int. J. Epidemiol.</w:t>
      </w:r>
      <w:r w:rsidRPr="00F47F17">
        <w:rPr>
          <w:rFonts w:eastAsiaTheme="minorHAnsi"/>
          <w:lang w:val="en-US" w:eastAsia="en-US"/>
        </w:rPr>
        <w:t xml:space="preserve"> </w:t>
      </w:r>
      <w:r w:rsidRPr="00F47F17">
        <w:rPr>
          <w:rFonts w:eastAsiaTheme="minorHAnsi"/>
          <w:b/>
          <w:bCs/>
          <w:lang w:val="en-US" w:eastAsia="en-US"/>
        </w:rPr>
        <w:t>52</w:t>
      </w:r>
      <w:r w:rsidRPr="00F47F17">
        <w:rPr>
          <w:rFonts w:eastAsiaTheme="minorHAnsi"/>
          <w:lang w:val="en-US" w:eastAsia="en-US"/>
        </w:rPr>
        <w:t>, e80–e91 (2023).</w:t>
      </w:r>
    </w:p>
    <w:p w14:paraId="41222495" w14:textId="77777777" w:rsidR="00B06C54" w:rsidRPr="00F47F17" w:rsidRDefault="00B06C54" w:rsidP="00B06C54">
      <w:pPr>
        <w:pStyle w:val="Bibliography"/>
        <w:rPr>
          <w:rFonts w:eastAsiaTheme="minorHAnsi"/>
          <w:lang w:val="en-US" w:eastAsia="en-US"/>
        </w:rPr>
      </w:pPr>
      <w:r w:rsidRPr="00F47F17">
        <w:rPr>
          <w:rFonts w:eastAsiaTheme="minorHAnsi"/>
          <w:lang w:val="en-US" w:eastAsia="en-US"/>
        </w:rPr>
        <w:t>13.</w:t>
      </w:r>
      <w:r w:rsidRPr="00F47F17">
        <w:rPr>
          <w:rFonts w:eastAsiaTheme="minorHAnsi"/>
          <w:lang w:val="en-US" w:eastAsia="en-US"/>
        </w:rPr>
        <w:tab/>
        <w:t xml:space="preserve">Næss, M. </w:t>
      </w:r>
      <w:r w:rsidRPr="00F47F17">
        <w:rPr>
          <w:rFonts w:eastAsiaTheme="minorHAnsi"/>
          <w:i/>
          <w:iCs/>
          <w:lang w:val="en-US" w:eastAsia="en-US"/>
        </w:rPr>
        <w:t>et al.</w:t>
      </w:r>
      <w:r w:rsidRPr="00F47F17">
        <w:rPr>
          <w:rFonts w:eastAsiaTheme="minorHAnsi"/>
          <w:lang w:val="en-US" w:eastAsia="en-US"/>
        </w:rPr>
        <w:t xml:space="preserve"> Data Resource Profile: The HUNT Biobank. </w:t>
      </w:r>
      <w:r w:rsidRPr="00F47F17">
        <w:rPr>
          <w:rFonts w:eastAsiaTheme="minorHAnsi"/>
          <w:i/>
          <w:iCs/>
          <w:lang w:val="en-US" w:eastAsia="en-US"/>
        </w:rPr>
        <w:t>Int. J. Epidemiol.</w:t>
      </w:r>
      <w:r w:rsidRPr="00F47F17">
        <w:rPr>
          <w:rFonts w:eastAsiaTheme="minorHAnsi"/>
          <w:lang w:val="en-US" w:eastAsia="en-US"/>
        </w:rPr>
        <w:t xml:space="preserve"> </w:t>
      </w:r>
      <w:r w:rsidRPr="00F47F17">
        <w:rPr>
          <w:rFonts w:eastAsiaTheme="minorHAnsi"/>
          <w:b/>
          <w:bCs/>
          <w:lang w:val="en-US" w:eastAsia="en-US"/>
        </w:rPr>
        <w:t>53</w:t>
      </w:r>
      <w:r w:rsidRPr="00F47F17">
        <w:rPr>
          <w:rFonts w:eastAsiaTheme="minorHAnsi"/>
          <w:lang w:val="en-US" w:eastAsia="en-US"/>
        </w:rPr>
        <w:t>, dyae073 (2024).</w:t>
      </w:r>
    </w:p>
    <w:p w14:paraId="0727F1F1" w14:textId="2AD2F93B" w:rsidR="002135B6" w:rsidRDefault="00B06C54" w:rsidP="00C14645">
      <w:pPr>
        <w:pStyle w:val="Heading2"/>
      </w:pPr>
      <w:r>
        <w:fldChar w:fldCharType="end"/>
      </w:r>
    </w:p>
    <w:sectPr w:rsidR="002135B6">
      <w:headerReference w:type="even" r:id="rId34"/>
      <w:head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54E63" w14:textId="77777777" w:rsidR="00F55B35" w:rsidRDefault="00F55B35" w:rsidP="00365507">
      <w:pPr>
        <w:spacing w:before="0" w:line="240" w:lineRule="auto"/>
      </w:pPr>
      <w:r>
        <w:separator/>
      </w:r>
    </w:p>
  </w:endnote>
  <w:endnote w:type="continuationSeparator" w:id="0">
    <w:p w14:paraId="5320CE3D" w14:textId="77777777" w:rsidR="00F55B35" w:rsidRDefault="00F55B35" w:rsidP="003655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0CAA7" w14:textId="77777777" w:rsidR="00F55B35" w:rsidRDefault="00F55B35" w:rsidP="00365507">
      <w:pPr>
        <w:spacing w:before="0" w:line="240" w:lineRule="auto"/>
      </w:pPr>
      <w:r>
        <w:separator/>
      </w:r>
    </w:p>
  </w:footnote>
  <w:footnote w:type="continuationSeparator" w:id="0">
    <w:p w14:paraId="0E763753" w14:textId="77777777" w:rsidR="00F55B35" w:rsidRDefault="00F55B35" w:rsidP="003655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8985475"/>
      <w:docPartObj>
        <w:docPartGallery w:val="Page Numbers (Top of Page)"/>
        <w:docPartUnique/>
      </w:docPartObj>
    </w:sdtPr>
    <w:sdtContent>
      <w:p w14:paraId="1CB7D306" w14:textId="278B94CE" w:rsidR="00D35BC2" w:rsidRDefault="00D35BC2" w:rsidP="004A543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AD8BD" w14:textId="77777777" w:rsidR="00D35BC2" w:rsidRDefault="00D35BC2" w:rsidP="00D35BC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8734690"/>
      <w:docPartObj>
        <w:docPartGallery w:val="Page Numbers (Top of Page)"/>
        <w:docPartUnique/>
      </w:docPartObj>
    </w:sdtPr>
    <w:sdtContent>
      <w:p w14:paraId="5AF44368" w14:textId="09887A67" w:rsidR="00D35BC2" w:rsidRDefault="00D35BC2" w:rsidP="004A543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CCB96C" w14:textId="77777777" w:rsidR="00D35BC2" w:rsidRDefault="00D35BC2" w:rsidP="00D35BC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D0E9C"/>
    <w:multiLevelType w:val="hybridMultilevel"/>
    <w:tmpl w:val="846ED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EB7BC3"/>
    <w:multiLevelType w:val="hybridMultilevel"/>
    <w:tmpl w:val="C5EC7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2145025">
    <w:abstractNumId w:val="1"/>
  </w:num>
  <w:num w:numId="2" w16cid:durableId="331447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C0"/>
    <w:rsid w:val="001631FD"/>
    <w:rsid w:val="002135B6"/>
    <w:rsid w:val="00265EF6"/>
    <w:rsid w:val="002A1EB9"/>
    <w:rsid w:val="002A3728"/>
    <w:rsid w:val="002B5DC0"/>
    <w:rsid w:val="002C535B"/>
    <w:rsid w:val="002F6356"/>
    <w:rsid w:val="00326AA3"/>
    <w:rsid w:val="00365507"/>
    <w:rsid w:val="0055093F"/>
    <w:rsid w:val="00677675"/>
    <w:rsid w:val="006F43A7"/>
    <w:rsid w:val="00703CFB"/>
    <w:rsid w:val="008F0739"/>
    <w:rsid w:val="00A06511"/>
    <w:rsid w:val="00AA2794"/>
    <w:rsid w:val="00B06C54"/>
    <w:rsid w:val="00B4213D"/>
    <w:rsid w:val="00BE55DB"/>
    <w:rsid w:val="00C14645"/>
    <w:rsid w:val="00C8118B"/>
    <w:rsid w:val="00D35BC2"/>
    <w:rsid w:val="00D7644F"/>
    <w:rsid w:val="00DB6052"/>
    <w:rsid w:val="00DE124B"/>
    <w:rsid w:val="00EF1FA2"/>
    <w:rsid w:val="00F47F17"/>
    <w:rsid w:val="00F55B35"/>
    <w:rsid w:val="00FE3C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6A8C0D1"/>
  <w15:chartTrackingRefBased/>
  <w15:docId w15:val="{63485D03-3D51-6646-913D-F3970635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C0"/>
    <w:pPr>
      <w:spacing w:before="240" w:after="0" w:line="360" w:lineRule="auto"/>
    </w:pPr>
    <w:rPr>
      <w:rFonts w:ascii="Times New Roman" w:eastAsia="Times New Roman" w:hAnsi="Times New Roman" w:cs="Times New Roman"/>
      <w:kern w:val="0"/>
      <w:szCs w:val="20"/>
      <w:lang w:eastAsia="en-CA"/>
      <w14:ligatures w14:val="none"/>
    </w:rPr>
  </w:style>
  <w:style w:type="paragraph" w:styleId="Heading1">
    <w:name w:val="heading 1"/>
    <w:basedOn w:val="Normal"/>
    <w:next w:val="Normal"/>
    <w:link w:val="Heading1Char"/>
    <w:uiPriority w:val="9"/>
    <w:qFormat/>
    <w:rsid w:val="002B5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5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5D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D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D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D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D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D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D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D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5D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5D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D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D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D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D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D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DC0"/>
    <w:rPr>
      <w:rFonts w:eastAsiaTheme="majorEastAsia" w:cstheme="majorBidi"/>
      <w:color w:val="272727" w:themeColor="text1" w:themeTint="D8"/>
    </w:rPr>
  </w:style>
  <w:style w:type="paragraph" w:styleId="Title">
    <w:name w:val="Title"/>
    <w:basedOn w:val="Normal"/>
    <w:next w:val="Normal"/>
    <w:link w:val="TitleChar"/>
    <w:uiPriority w:val="10"/>
    <w:qFormat/>
    <w:rsid w:val="002B5D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D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D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D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DC0"/>
    <w:pPr>
      <w:spacing w:before="160"/>
      <w:jc w:val="center"/>
    </w:pPr>
    <w:rPr>
      <w:i/>
      <w:iCs/>
      <w:color w:val="404040" w:themeColor="text1" w:themeTint="BF"/>
    </w:rPr>
  </w:style>
  <w:style w:type="character" w:customStyle="1" w:styleId="QuoteChar">
    <w:name w:val="Quote Char"/>
    <w:basedOn w:val="DefaultParagraphFont"/>
    <w:link w:val="Quote"/>
    <w:uiPriority w:val="29"/>
    <w:rsid w:val="002B5DC0"/>
    <w:rPr>
      <w:i/>
      <w:iCs/>
      <w:color w:val="404040" w:themeColor="text1" w:themeTint="BF"/>
    </w:rPr>
  </w:style>
  <w:style w:type="paragraph" w:styleId="ListParagraph">
    <w:name w:val="List Paragraph"/>
    <w:basedOn w:val="Normal"/>
    <w:uiPriority w:val="34"/>
    <w:qFormat/>
    <w:rsid w:val="002B5DC0"/>
    <w:pPr>
      <w:ind w:left="720"/>
      <w:contextualSpacing/>
    </w:pPr>
  </w:style>
  <w:style w:type="character" w:styleId="IntenseEmphasis">
    <w:name w:val="Intense Emphasis"/>
    <w:basedOn w:val="DefaultParagraphFont"/>
    <w:uiPriority w:val="21"/>
    <w:qFormat/>
    <w:rsid w:val="002B5DC0"/>
    <w:rPr>
      <w:i/>
      <w:iCs/>
      <w:color w:val="0F4761" w:themeColor="accent1" w:themeShade="BF"/>
    </w:rPr>
  </w:style>
  <w:style w:type="paragraph" w:styleId="IntenseQuote">
    <w:name w:val="Intense Quote"/>
    <w:basedOn w:val="Normal"/>
    <w:next w:val="Normal"/>
    <w:link w:val="IntenseQuoteChar"/>
    <w:uiPriority w:val="30"/>
    <w:qFormat/>
    <w:rsid w:val="002B5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DC0"/>
    <w:rPr>
      <w:i/>
      <w:iCs/>
      <w:color w:val="0F4761" w:themeColor="accent1" w:themeShade="BF"/>
    </w:rPr>
  </w:style>
  <w:style w:type="character" w:styleId="IntenseReference">
    <w:name w:val="Intense Reference"/>
    <w:basedOn w:val="DefaultParagraphFont"/>
    <w:uiPriority w:val="32"/>
    <w:qFormat/>
    <w:rsid w:val="002B5DC0"/>
    <w:rPr>
      <w:b/>
      <w:bCs/>
      <w:smallCaps/>
      <w:color w:val="0F4761" w:themeColor="accent1" w:themeShade="BF"/>
      <w:spacing w:val="5"/>
    </w:rPr>
  </w:style>
  <w:style w:type="paragraph" w:customStyle="1" w:styleId="Chapter">
    <w:name w:val="Chapter"/>
    <w:basedOn w:val="Normal"/>
    <w:next w:val="Normal"/>
    <w:rsid w:val="002B5DC0"/>
    <w:pPr>
      <w:spacing w:after="240" w:line="240" w:lineRule="auto"/>
      <w:jc w:val="center"/>
      <w:outlineLvl w:val="0"/>
    </w:pPr>
    <w:rPr>
      <w:rFonts w:ascii="Arial" w:hAnsi="Arial"/>
      <w:sz w:val="32"/>
      <w:szCs w:val="28"/>
    </w:rPr>
  </w:style>
  <w:style w:type="character" w:customStyle="1" w:styleId="normaltextrun">
    <w:name w:val="normaltextrun"/>
    <w:basedOn w:val="DefaultParagraphFont"/>
    <w:rsid w:val="002B5DC0"/>
  </w:style>
  <w:style w:type="character" w:customStyle="1" w:styleId="eop">
    <w:name w:val="eop"/>
    <w:basedOn w:val="DefaultParagraphFont"/>
    <w:rsid w:val="002B5DC0"/>
  </w:style>
  <w:style w:type="paragraph" w:customStyle="1" w:styleId="paragraph">
    <w:name w:val="paragraph"/>
    <w:basedOn w:val="Normal"/>
    <w:rsid w:val="002B5DC0"/>
    <w:pPr>
      <w:spacing w:before="100" w:beforeAutospacing="1" w:after="100" w:afterAutospacing="1" w:line="240" w:lineRule="auto"/>
    </w:pPr>
    <w:rPr>
      <w:szCs w:val="24"/>
      <w:lang w:val="en-US" w:eastAsia="en-US"/>
    </w:rPr>
  </w:style>
  <w:style w:type="paragraph" w:styleId="Bibliography">
    <w:name w:val="Bibliography"/>
    <w:basedOn w:val="Normal"/>
    <w:next w:val="Normal"/>
    <w:uiPriority w:val="37"/>
    <w:unhideWhenUsed/>
    <w:rsid w:val="00AA2794"/>
    <w:pPr>
      <w:tabs>
        <w:tab w:val="left" w:pos="380"/>
      </w:tabs>
      <w:spacing w:line="480" w:lineRule="auto"/>
      <w:ind w:left="384" w:hanging="384"/>
    </w:pPr>
  </w:style>
  <w:style w:type="paragraph" w:styleId="TOCHeading">
    <w:name w:val="TOC Heading"/>
    <w:basedOn w:val="Heading1"/>
    <w:next w:val="Normal"/>
    <w:uiPriority w:val="39"/>
    <w:unhideWhenUsed/>
    <w:qFormat/>
    <w:rsid w:val="00365507"/>
    <w:pPr>
      <w:spacing w:before="480" w:after="0" w:line="276" w:lineRule="auto"/>
      <w:outlineLvl w:val="9"/>
    </w:pPr>
    <w:rPr>
      <w:b/>
      <w:bCs/>
      <w:sz w:val="28"/>
      <w:szCs w:val="28"/>
      <w:lang w:val="en-US" w:eastAsia="en-US"/>
    </w:rPr>
  </w:style>
  <w:style w:type="paragraph" w:styleId="TOC1">
    <w:name w:val="toc 1"/>
    <w:basedOn w:val="Normal"/>
    <w:next w:val="Normal"/>
    <w:autoRedefine/>
    <w:uiPriority w:val="39"/>
    <w:unhideWhenUsed/>
    <w:rsid w:val="00365507"/>
    <w:pPr>
      <w:spacing w:before="120"/>
    </w:pPr>
    <w:rPr>
      <w:rFonts w:asciiTheme="minorHAnsi" w:hAnsiTheme="minorHAnsi"/>
      <w:b/>
      <w:bCs/>
      <w:i/>
      <w:iCs/>
      <w:szCs w:val="24"/>
    </w:rPr>
  </w:style>
  <w:style w:type="paragraph" w:styleId="TOC2">
    <w:name w:val="toc 2"/>
    <w:basedOn w:val="Normal"/>
    <w:next w:val="Normal"/>
    <w:autoRedefine/>
    <w:uiPriority w:val="39"/>
    <w:unhideWhenUsed/>
    <w:rsid w:val="00365507"/>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365507"/>
    <w:pPr>
      <w:spacing w:before="0"/>
      <w:ind w:left="480"/>
    </w:pPr>
    <w:rPr>
      <w:rFonts w:asciiTheme="minorHAnsi" w:hAnsiTheme="minorHAnsi"/>
      <w:sz w:val="20"/>
    </w:rPr>
  </w:style>
  <w:style w:type="character" w:styleId="Hyperlink">
    <w:name w:val="Hyperlink"/>
    <w:basedOn w:val="DefaultParagraphFont"/>
    <w:uiPriority w:val="99"/>
    <w:unhideWhenUsed/>
    <w:rsid w:val="00365507"/>
    <w:rPr>
      <w:color w:val="467886" w:themeColor="hyperlink"/>
      <w:u w:val="single"/>
    </w:rPr>
  </w:style>
  <w:style w:type="paragraph" w:styleId="TOC4">
    <w:name w:val="toc 4"/>
    <w:basedOn w:val="Normal"/>
    <w:next w:val="Normal"/>
    <w:autoRedefine/>
    <w:uiPriority w:val="39"/>
    <w:semiHidden/>
    <w:unhideWhenUsed/>
    <w:rsid w:val="00365507"/>
    <w:pPr>
      <w:spacing w:before="0"/>
      <w:ind w:left="720"/>
    </w:pPr>
    <w:rPr>
      <w:rFonts w:asciiTheme="minorHAnsi" w:hAnsiTheme="minorHAnsi"/>
      <w:sz w:val="20"/>
    </w:rPr>
  </w:style>
  <w:style w:type="paragraph" w:styleId="TOC5">
    <w:name w:val="toc 5"/>
    <w:basedOn w:val="Normal"/>
    <w:next w:val="Normal"/>
    <w:autoRedefine/>
    <w:uiPriority w:val="39"/>
    <w:semiHidden/>
    <w:unhideWhenUsed/>
    <w:rsid w:val="00365507"/>
    <w:pPr>
      <w:spacing w:before="0"/>
      <w:ind w:left="960"/>
    </w:pPr>
    <w:rPr>
      <w:rFonts w:asciiTheme="minorHAnsi" w:hAnsiTheme="minorHAnsi"/>
      <w:sz w:val="20"/>
    </w:rPr>
  </w:style>
  <w:style w:type="paragraph" w:styleId="TOC6">
    <w:name w:val="toc 6"/>
    <w:basedOn w:val="Normal"/>
    <w:next w:val="Normal"/>
    <w:autoRedefine/>
    <w:uiPriority w:val="39"/>
    <w:semiHidden/>
    <w:unhideWhenUsed/>
    <w:rsid w:val="00365507"/>
    <w:pPr>
      <w:spacing w:before="0"/>
      <w:ind w:left="1200"/>
    </w:pPr>
    <w:rPr>
      <w:rFonts w:asciiTheme="minorHAnsi" w:hAnsiTheme="minorHAnsi"/>
      <w:sz w:val="20"/>
    </w:rPr>
  </w:style>
  <w:style w:type="paragraph" w:styleId="TOC7">
    <w:name w:val="toc 7"/>
    <w:basedOn w:val="Normal"/>
    <w:next w:val="Normal"/>
    <w:autoRedefine/>
    <w:uiPriority w:val="39"/>
    <w:semiHidden/>
    <w:unhideWhenUsed/>
    <w:rsid w:val="00365507"/>
    <w:pPr>
      <w:spacing w:before="0"/>
      <w:ind w:left="1440"/>
    </w:pPr>
    <w:rPr>
      <w:rFonts w:asciiTheme="minorHAnsi" w:hAnsiTheme="minorHAnsi"/>
      <w:sz w:val="20"/>
    </w:rPr>
  </w:style>
  <w:style w:type="paragraph" w:styleId="TOC8">
    <w:name w:val="toc 8"/>
    <w:basedOn w:val="Normal"/>
    <w:next w:val="Normal"/>
    <w:autoRedefine/>
    <w:uiPriority w:val="39"/>
    <w:semiHidden/>
    <w:unhideWhenUsed/>
    <w:rsid w:val="00365507"/>
    <w:pPr>
      <w:spacing w:before="0"/>
      <w:ind w:left="1680"/>
    </w:pPr>
    <w:rPr>
      <w:rFonts w:asciiTheme="minorHAnsi" w:hAnsiTheme="minorHAnsi"/>
      <w:sz w:val="20"/>
    </w:rPr>
  </w:style>
  <w:style w:type="paragraph" w:styleId="TOC9">
    <w:name w:val="toc 9"/>
    <w:basedOn w:val="Normal"/>
    <w:next w:val="Normal"/>
    <w:autoRedefine/>
    <w:uiPriority w:val="39"/>
    <w:semiHidden/>
    <w:unhideWhenUsed/>
    <w:rsid w:val="00365507"/>
    <w:pPr>
      <w:spacing w:before="0"/>
      <w:ind w:left="1920"/>
    </w:pPr>
    <w:rPr>
      <w:rFonts w:asciiTheme="minorHAnsi" w:hAnsiTheme="minorHAnsi"/>
      <w:sz w:val="20"/>
    </w:rPr>
  </w:style>
  <w:style w:type="paragraph" w:styleId="Header">
    <w:name w:val="header"/>
    <w:basedOn w:val="Normal"/>
    <w:link w:val="HeaderChar"/>
    <w:uiPriority w:val="99"/>
    <w:unhideWhenUsed/>
    <w:rsid w:val="0036550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65507"/>
    <w:rPr>
      <w:rFonts w:ascii="Times New Roman" w:eastAsia="Times New Roman" w:hAnsi="Times New Roman" w:cs="Times New Roman"/>
      <w:kern w:val="0"/>
      <w:szCs w:val="20"/>
      <w:lang w:eastAsia="en-CA"/>
      <w14:ligatures w14:val="none"/>
    </w:rPr>
  </w:style>
  <w:style w:type="paragraph" w:styleId="Footer">
    <w:name w:val="footer"/>
    <w:basedOn w:val="Normal"/>
    <w:link w:val="FooterChar"/>
    <w:uiPriority w:val="99"/>
    <w:unhideWhenUsed/>
    <w:rsid w:val="0036550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65507"/>
    <w:rPr>
      <w:rFonts w:ascii="Times New Roman" w:eastAsia="Times New Roman" w:hAnsi="Times New Roman" w:cs="Times New Roman"/>
      <w:kern w:val="0"/>
      <w:szCs w:val="20"/>
      <w:lang w:eastAsia="en-CA"/>
      <w14:ligatures w14:val="none"/>
    </w:rPr>
  </w:style>
  <w:style w:type="character" w:styleId="PageNumber">
    <w:name w:val="page number"/>
    <w:basedOn w:val="DefaultParagraphFont"/>
    <w:uiPriority w:val="99"/>
    <w:semiHidden/>
    <w:unhideWhenUsed/>
    <w:rsid w:val="00D35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csg.sph.umich.edu/chaolong/LASER/"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hgdownload.soe.ucsc.edu/gbdb/hg38/snp/dbSnp155.b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hyperlink" Target="https://www.zotero.org/google-docs/?wLSmk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8C2DE-FA52-7740-B76C-F458552B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10345</Words>
  <Characters>58967</Characters>
  <Application>Microsoft Office Word</Application>
  <DocSecurity>0</DocSecurity>
  <Lines>491</Lines>
  <Paragraphs>138</Paragraphs>
  <ScaleCrop>false</ScaleCrop>
  <Company/>
  <LinksUpToDate>false</LinksUpToDate>
  <CharactersWithSpaces>69174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Henechowicz</dc:creator>
  <cp:keywords/>
  <dc:description/>
  <cp:lastModifiedBy>Tara Henechowicz</cp:lastModifiedBy>
  <cp:revision>6</cp:revision>
  <dcterms:created xsi:type="dcterms:W3CDTF">2025-10-10T17:47:00Z</dcterms:created>
  <dcterms:modified xsi:type="dcterms:W3CDTF">2025-10-10T17:48:00Z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id="NrKees25"/&gt;&lt;style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