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629C" w14:textId="7437737B" w:rsidR="0023654C" w:rsidRPr="009864ED" w:rsidRDefault="00B51B2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8C821D3" wp14:editId="790A5FF0">
            <wp:extent cx="5400040" cy="2912110"/>
            <wp:effectExtent l="0" t="0" r="0" b="2540"/>
            <wp:docPr id="1677515852" name="Imagen 1" descr="Diagrama, Esquemát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15852" name="Imagen 1" descr="Diagrama, Esquemát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54C" w:rsidRPr="009864ED">
        <w:rPr>
          <w:rFonts w:ascii="Arial" w:eastAsia="Calibri" w:hAnsi="Arial" w:cs="Arial"/>
          <w:b/>
          <w:sz w:val="24"/>
          <w:szCs w:val="24"/>
        </w:rPr>
        <w:t>Suppl. Figure 1.</w:t>
      </w:r>
      <w:r w:rsidR="0023654C" w:rsidRPr="009864ED">
        <w:rPr>
          <w:rFonts w:ascii="Arial" w:eastAsia="Calibri" w:hAnsi="Arial" w:cs="Arial"/>
          <w:sz w:val="24"/>
          <w:szCs w:val="24"/>
        </w:rPr>
        <w:t xml:space="preserve"> ROC curves for assessing the predictive capacity of the CSF amyloid cutoff. </w:t>
      </w:r>
      <w:r w:rsidR="0023654C" w:rsidRPr="009864ED">
        <w:rPr>
          <w:rFonts w:ascii="Arial" w:eastAsia="Calibri" w:hAnsi="Arial" w:cs="Arial"/>
          <w:color w:val="000000"/>
          <w:sz w:val="24"/>
          <w:szCs w:val="24"/>
        </w:rPr>
        <w:t xml:space="preserve">The p-value indicates the differences in the AUC under both conditions. </w:t>
      </w:r>
      <w:r w:rsidR="0023654C" w:rsidRPr="009864ED">
        <w:rPr>
          <w:rFonts w:ascii="Arial" w:eastAsia="Calibri" w:hAnsi="Arial" w:cs="Arial"/>
          <w:sz w:val="24"/>
          <w:szCs w:val="24"/>
        </w:rPr>
        <w:t xml:space="preserve">*p-value below significance threshold of 0.05. F, Fasting; NF, Non-fasting; Aβ, Amyloid Beta; GFAP, glial fibrillary acid protein; </w:t>
      </w:r>
      <w:proofErr w:type="spellStart"/>
      <w:r w:rsidR="0023654C" w:rsidRPr="009864ED">
        <w:rPr>
          <w:rFonts w:ascii="Arial" w:eastAsia="Calibri" w:hAnsi="Arial" w:cs="Arial"/>
          <w:sz w:val="24"/>
          <w:szCs w:val="24"/>
        </w:rPr>
        <w:t>NfL</w:t>
      </w:r>
      <w:proofErr w:type="spellEnd"/>
      <w:r w:rsidR="0023654C" w:rsidRPr="009864ED">
        <w:rPr>
          <w:rFonts w:ascii="Arial" w:eastAsia="Calibri" w:hAnsi="Arial" w:cs="Arial"/>
          <w:sz w:val="24"/>
          <w:szCs w:val="24"/>
        </w:rPr>
        <w:t>, Neurofilament Light Chain.</w:t>
      </w:r>
    </w:p>
    <w:p w14:paraId="310CB471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732E9D" w14:textId="77777777" w:rsidR="0023654C" w:rsidRPr="009864ED" w:rsidRDefault="0023654C" w:rsidP="0023654C">
      <w:pPr>
        <w:spacing w:line="480" w:lineRule="auto"/>
        <w:rPr>
          <w:rFonts w:ascii="Arial" w:eastAsia="Calibri" w:hAnsi="Arial" w:cs="Arial"/>
          <w:sz w:val="24"/>
          <w:szCs w:val="24"/>
        </w:rPr>
      </w:pPr>
      <w:r w:rsidRPr="009864ED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00"/>
        <w:gridCol w:w="1500"/>
        <w:gridCol w:w="1500"/>
        <w:gridCol w:w="1500"/>
        <w:gridCol w:w="1500"/>
      </w:tblGrid>
      <w:tr w:rsidR="0023654C" w:rsidRPr="009864ED" w14:paraId="1DA5C158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0158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19D6A36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Estimate</w:t>
            </w:r>
            <w:proofErr w:type="spellEnd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(β)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5A4670B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Std</w:t>
            </w:r>
            <w:proofErr w:type="spellEnd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. Error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5B5F0A5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p-</w:t>
            </w: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value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681BF6E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R²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13DCEE1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Partial</w:t>
            </w:r>
            <w:proofErr w:type="spellEnd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R²</w:t>
            </w:r>
          </w:p>
        </w:tc>
      </w:tr>
      <w:tr w:rsidR="0023654C" w:rsidRPr="009864ED" w14:paraId="33D78E93" w14:textId="77777777" w:rsidTr="00973AF2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052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Aβ40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FEF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1F9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EA8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D3D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279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039DEF63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5D6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A3C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3E5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0.01014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C9B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0.37315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8C5E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0.1390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1D06E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0.1117</w:t>
            </w:r>
          </w:p>
        </w:tc>
      </w:tr>
      <w:tr w:rsidR="0023654C" w:rsidRPr="009864ED" w14:paraId="6310857C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4FE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225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7AD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FFF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0.01545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BF5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E03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0C91BDC1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D38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574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0.00518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82C7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E682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B6B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C7B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7808F688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5BC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796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-0.03479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EA7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0.01138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6D27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0.00233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B17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F4D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C950BF9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A71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9FA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0.01337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E81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675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0.25112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B676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A720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36164CA7" w14:textId="77777777" w:rsidTr="00973AF2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CF9275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Aβ42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D675DA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180546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33244D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A86BA2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DA034C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2553C107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08774B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795665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0.13567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984445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0.01889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23DA50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1C47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0.0957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0A831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0.0771</w:t>
            </w:r>
          </w:p>
        </w:tc>
      </w:tr>
      <w:tr w:rsidR="0023654C" w:rsidRPr="009864ED" w14:paraId="34023993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92101D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24F3AF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-0.00455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496DF1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0.01123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AFA484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0.684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2D4F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91B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7578ECC2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467830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21BBB4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-0.11378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CED658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0.11971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A5D66E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0.326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8AD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AC5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09068EA0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B1FB62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A9CC52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-0.50532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B45073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0.12207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233C2B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F32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7D8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331EFF0B" w14:textId="77777777" w:rsidTr="00973AF2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A420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Aβ42/Aβ40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3DF5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A31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495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CAA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258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37C5279B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0FA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5E8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-0.00005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00E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E5D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0.7608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787AF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0.0741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1751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0.0002</w:t>
            </w:r>
          </w:p>
        </w:tc>
      </w:tr>
      <w:tr w:rsidR="0023654C" w:rsidRPr="009864ED" w14:paraId="0372EA37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26A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70C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-0.00049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ED7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B50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0D2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BCB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3750D2EF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FEDC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2B0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A50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957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0.0376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342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676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7DC1C90B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EAE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403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-0.00606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629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18A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9F56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BE7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10E7D21C" w14:textId="77777777" w:rsidTr="00973AF2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E4A9C9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p-tau181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F660E6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943F63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F4A540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1878B6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7FAF07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7C342C2F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8743D9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E6B6CE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-0.01276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A3E73D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8F01F8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0.00191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F779D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0.1021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A964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0.0566</w:t>
            </w:r>
          </w:p>
        </w:tc>
      </w:tr>
      <w:tr w:rsidR="0023654C" w:rsidRPr="009864ED" w14:paraId="6EF5E30C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88FF3B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585C25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77E78F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9F3C6B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B47A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9E1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28D8EA3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A14259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1F2F0C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00C548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414263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A33D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9BE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12973DDA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BA5D30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39D051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0.01011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9D9058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5B581B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0.03733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ADD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29D3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1C4F341F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F2C7E0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8EAD3D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0.00777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3CDB30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559D7C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0.11757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8BF8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284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31458C44" w14:textId="77777777" w:rsidTr="00973AF2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F3F7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lastRenderedPageBreak/>
              <w:t>p-tau231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16BA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AA5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5A9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394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649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4C490775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CD2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C00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-0.08551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F61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0.02180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1F9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77411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0.0799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8DE6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0.0299</w:t>
            </w:r>
          </w:p>
        </w:tc>
      </w:tr>
      <w:tr w:rsidR="0023654C" w:rsidRPr="009864ED" w14:paraId="0917531B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FEE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1C7D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0.00631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759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370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5DE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3A75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0E9B798E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E38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F4F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0.00999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F33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2B8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8EB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F6E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42160598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EA7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D13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0.00509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DD3B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0.02060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CC9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0.805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0CF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AA0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0622D18D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686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ABC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0.09172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D1C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C3B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9EF6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B9E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775D6FFD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0CDC0A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GFAP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064838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B15FEF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5E284D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E103BA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FCC301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43D4579E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69E3F5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FF18F6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-0.12153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1173A3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0.03030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321E52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06BA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0.2211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E836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0.0365</w:t>
            </w:r>
          </w:p>
        </w:tc>
      </w:tr>
      <w:tr w:rsidR="0023654C" w:rsidRPr="009864ED" w14:paraId="1410FB7A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43227A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327468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0.00880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4C93FE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7A51D6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5601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44B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7DBCE43F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A8C31B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F5B19E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0.03761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4FCD0F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0.00318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1EA443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 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B93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6F5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B7D1519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28D32F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DE8B46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-0.19480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35D8D4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0.03388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70125D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B06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9674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983AE7F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89F1A0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AB55B8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0.10222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A840DB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0.03464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71046D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0.00329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292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8E5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4D3F934" w14:textId="77777777" w:rsidTr="00973AF2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008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NfL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EBF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7A6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F40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256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D19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3E77CF91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2E2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4A94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FBBD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5B9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0.2199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5392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0.1665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9F547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0.0024</w:t>
            </w:r>
          </w:p>
        </w:tc>
      </w:tr>
      <w:tr w:rsidR="0023654C" w:rsidRPr="009864ED" w14:paraId="1B3DE201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B6F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A13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0.00514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3DA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045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560E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D7E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AE99FB9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FF3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3D2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-0.00888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C9B1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5959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0.0717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C24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50D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4232A7E7" w14:textId="77777777" w:rsidTr="00973AF2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1335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BF7E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74E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3BF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0.0739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DEA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6C6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2C603125" w14:textId="77777777" w:rsidR="0023654C" w:rsidRPr="009864ED" w:rsidRDefault="0023654C" w:rsidP="0023654C">
      <w:pPr>
        <w:spacing w:before="240"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9864ED">
        <w:rPr>
          <w:rFonts w:ascii="Arial" w:eastAsia="Calibri" w:hAnsi="Arial" w:cs="Arial"/>
          <w:b/>
          <w:sz w:val="24"/>
          <w:szCs w:val="24"/>
        </w:rPr>
        <w:t>Suppl. Table 1.</w:t>
      </w:r>
      <w:r w:rsidRPr="009864ED">
        <w:rPr>
          <w:rFonts w:ascii="Arial" w:eastAsia="Calibri" w:hAnsi="Arial" w:cs="Arial"/>
          <w:sz w:val="24"/>
          <w:szCs w:val="24"/>
        </w:rPr>
        <w:t xml:space="preserve"> Regression model of the storage time effect on the biomarker’s concentration with samples stored up to 10 years. The model is corrected by age, sex and </w:t>
      </w:r>
      <w:r w:rsidRPr="009864ED">
        <w:rPr>
          <w:rFonts w:ascii="Arial" w:eastAsia="Calibri" w:hAnsi="Arial" w:cs="Arial"/>
          <w:i/>
          <w:iCs/>
          <w:sz w:val="24"/>
          <w:szCs w:val="24"/>
        </w:rPr>
        <w:t>APOE-ε4</w:t>
      </w:r>
      <w:r w:rsidRPr="009864ED">
        <w:rPr>
          <w:rFonts w:ascii="Arial" w:eastAsia="Calibri" w:hAnsi="Arial" w:cs="Arial"/>
          <w:sz w:val="24"/>
          <w:szCs w:val="24"/>
        </w:rPr>
        <w:t xml:space="preserve"> carriership. The partial R2 indicates the variability explained by the storage time. *p-value below significance threshold of 0.05. Aβ, Amyloid Beta; GFAP, glial fibrillary acid protein; </w:t>
      </w:r>
      <w:proofErr w:type="spellStart"/>
      <w:r w:rsidRPr="009864ED">
        <w:rPr>
          <w:rFonts w:ascii="Arial" w:eastAsia="Calibri" w:hAnsi="Arial" w:cs="Arial"/>
          <w:sz w:val="24"/>
          <w:szCs w:val="24"/>
        </w:rPr>
        <w:t>NfL</w:t>
      </w:r>
      <w:proofErr w:type="spellEnd"/>
      <w:r w:rsidRPr="009864ED">
        <w:rPr>
          <w:rFonts w:ascii="Arial" w:eastAsia="Calibri" w:hAnsi="Arial" w:cs="Arial"/>
          <w:sz w:val="24"/>
          <w:szCs w:val="24"/>
        </w:rPr>
        <w:t>, Neurofilament Light Chain.</w:t>
      </w:r>
    </w:p>
    <w:p w14:paraId="014A2552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867C34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66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2483"/>
      </w:tblGrid>
      <w:tr w:rsidR="0023654C" w:rsidRPr="009864ED" w14:paraId="3C2A04CB" w14:textId="77777777" w:rsidTr="00973AF2">
        <w:trPr>
          <w:trHeight w:val="410"/>
          <w:jc w:val="center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7A05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vAlign w:val="center"/>
            <w:hideMark/>
          </w:tcPr>
          <w:p w14:paraId="6AAE4F6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/>
              </w:rPr>
              <w:t>SAMPLES INFORMATION</w:t>
            </w:r>
          </w:p>
        </w:tc>
      </w:tr>
      <w:tr w:rsidR="0023654C" w:rsidRPr="009864ED" w14:paraId="0F4097D0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A90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Sample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size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3DB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412</w:t>
            </w:r>
          </w:p>
        </w:tc>
      </w:tr>
      <w:tr w:rsidR="0023654C" w:rsidRPr="009864ED" w14:paraId="448C2A8C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CEB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Age, y (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range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3F9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63.0 (50.6 - 73.4)</w:t>
            </w:r>
          </w:p>
        </w:tc>
      </w:tr>
      <w:tr w:rsidR="0023654C" w:rsidRPr="009864ED" w14:paraId="58CFAA70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25C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Gender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, F (%)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A68B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65.8</w:t>
            </w:r>
          </w:p>
        </w:tc>
      </w:tr>
      <w:tr w:rsidR="0023654C" w:rsidRPr="009864ED" w14:paraId="16A5F4EB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7DD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carrier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 (%)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F50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36.9</w:t>
            </w:r>
          </w:p>
        </w:tc>
      </w:tr>
      <w:tr w:rsidR="0023654C" w:rsidRPr="009864ED" w14:paraId="49548070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8EC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Plasma Aβ40,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pg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/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mL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F0CA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103.81 ± 19.42</w:t>
            </w:r>
          </w:p>
        </w:tc>
      </w:tr>
      <w:tr w:rsidR="0023654C" w:rsidRPr="009864ED" w14:paraId="6B4F0715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1D9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Plasma Aβ42,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pg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/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mL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AF4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6.17 ± 1.33</w:t>
            </w:r>
          </w:p>
        </w:tc>
      </w:tr>
      <w:tr w:rsidR="0023654C" w:rsidRPr="009864ED" w14:paraId="20D18FE7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B2D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Plasma Aβ42/Aβ40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49B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0.06 ± 0.01</w:t>
            </w:r>
          </w:p>
        </w:tc>
      </w:tr>
      <w:tr w:rsidR="0023654C" w:rsidRPr="009864ED" w14:paraId="164FD369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8A610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Plasma p-tau181,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pg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/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mL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8B6F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19.98 ± 6.74</w:t>
            </w:r>
          </w:p>
        </w:tc>
      </w:tr>
      <w:tr w:rsidR="0023654C" w:rsidRPr="009864ED" w14:paraId="0BD548C6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E270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Plasma p-tau231,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pg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/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mL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C271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2.23 ± 0.85</w:t>
            </w:r>
          </w:p>
        </w:tc>
      </w:tr>
      <w:tr w:rsidR="0023654C" w:rsidRPr="009864ED" w14:paraId="2D70E6B7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55811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Plasma GFAP,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pg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/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mL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6FD5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98.64 ± 50.28</w:t>
            </w:r>
          </w:p>
        </w:tc>
      </w:tr>
      <w:tr w:rsidR="0023654C" w:rsidRPr="009864ED" w14:paraId="7B1CBC24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FCF9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Plasma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NfL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pg</w:t>
            </w:r>
            <w:proofErr w:type="spellEnd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/</w:t>
            </w:r>
            <w:proofErr w:type="spellStart"/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mL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C079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15.32 ± 6.84</w:t>
            </w:r>
          </w:p>
        </w:tc>
      </w:tr>
      <w:tr w:rsidR="0023654C" w:rsidRPr="009864ED" w14:paraId="0AC425B0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AB46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Storage time N4PE, mean years (range)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8A37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3.55 (0.69-6.27)</w:t>
            </w:r>
          </w:p>
        </w:tc>
      </w:tr>
      <w:tr w:rsidR="0023654C" w:rsidRPr="009864ED" w14:paraId="00AAC61B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846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Storage time p-tau181, mean years (range)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A82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3.21 (0.41-5.88)</w:t>
            </w:r>
          </w:p>
        </w:tc>
      </w:tr>
      <w:tr w:rsidR="0023654C" w:rsidRPr="009864ED" w14:paraId="730E6EA3" w14:textId="77777777" w:rsidTr="00973AF2">
        <w:trPr>
          <w:trHeight w:val="29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EA1A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Storage time p-tau231, mean years (range)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0F3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4.79 (1.96-7.51)</w:t>
            </w:r>
          </w:p>
        </w:tc>
      </w:tr>
    </w:tbl>
    <w:p w14:paraId="0BB752B6" w14:textId="77777777" w:rsidR="0023654C" w:rsidRPr="009864ED" w:rsidRDefault="0023654C" w:rsidP="0023654C">
      <w:pPr>
        <w:spacing w:after="0"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2ECCE63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9864ED">
        <w:rPr>
          <w:rFonts w:ascii="Arial" w:eastAsia="Calibri" w:hAnsi="Arial" w:cs="Arial"/>
          <w:b/>
          <w:sz w:val="24"/>
          <w:szCs w:val="24"/>
        </w:rPr>
        <w:t>Suppl. Table 2</w:t>
      </w:r>
      <w:r w:rsidRPr="009864ED">
        <w:rPr>
          <w:rFonts w:ascii="Arial" w:eastAsia="Calibri" w:hAnsi="Arial" w:cs="Arial"/>
          <w:sz w:val="24"/>
          <w:szCs w:val="24"/>
        </w:rPr>
        <w:t xml:space="preserve">. Demographic table of participants included in the storage time study with samples stored up to 6.5 years. Plasma biomarker concentrations are expressed as </w:t>
      </w:r>
      <w:proofErr w:type="spellStart"/>
      <w:r w:rsidRPr="009864ED">
        <w:rPr>
          <w:rFonts w:ascii="Arial" w:eastAsia="Calibri" w:hAnsi="Arial" w:cs="Arial"/>
          <w:sz w:val="24"/>
          <w:szCs w:val="24"/>
        </w:rPr>
        <w:t>mean±SD</w:t>
      </w:r>
      <w:proofErr w:type="spellEnd"/>
      <w:r w:rsidRPr="009864ED">
        <w:rPr>
          <w:rFonts w:ascii="Arial" w:eastAsia="Calibri" w:hAnsi="Arial" w:cs="Arial"/>
          <w:sz w:val="24"/>
          <w:szCs w:val="24"/>
        </w:rPr>
        <w:t xml:space="preserve">. Aβ, Amyloid Beta; GFAP, glial fibrillary acid protein; </w:t>
      </w:r>
      <w:proofErr w:type="spellStart"/>
      <w:r w:rsidRPr="009864ED">
        <w:rPr>
          <w:rFonts w:ascii="Arial" w:eastAsia="Calibri" w:hAnsi="Arial" w:cs="Arial"/>
          <w:sz w:val="24"/>
          <w:szCs w:val="24"/>
        </w:rPr>
        <w:t>NfL</w:t>
      </w:r>
      <w:proofErr w:type="spellEnd"/>
      <w:r w:rsidRPr="009864ED">
        <w:rPr>
          <w:rFonts w:ascii="Arial" w:eastAsia="Calibri" w:hAnsi="Arial" w:cs="Arial"/>
          <w:sz w:val="24"/>
          <w:szCs w:val="24"/>
        </w:rPr>
        <w:t>, Neurofilament Light Chain.</w:t>
      </w:r>
    </w:p>
    <w:p w14:paraId="21B65D45" w14:textId="77777777" w:rsidR="0023654C" w:rsidRPr="009864ED" w:rsidRDefault="0023654C" w:rsidP="0023654C">
      <w:pPr>
        <w:spacing w:line="480" w:lineRule="auto"/>
        <w:rPr>
          <w:rFonts w:ascii="Arial" w:eastAsia="Calibri" w:hAnsi="Arial" w:cs="Arial"/>
          <w:noProof/>
          <w:sz w:val="24"/>
          <w:szCs w:val="24"/>
        </w:rPr>
      </w:pPr>
    </w:p>
    <w:p w14:paraId="6C24E778" w14:textId="1772EC0C" w:rsidR="0023654C" w:rsidRPr="009864ED" w:rsidRDefault="0027207B" w:rsidP="0023654C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3C34DE" wp14:editId="553353F2">
            <wp:extent cx="5400040" cy="3739515"/>
            <wp:effectExtent l="0" t="0" r="0" b="0"/>
            <wp:docPr id="767640975" name="Imagen 2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40975" name="Imagen 2" descr="Diagrama, Dibujo de ingenierí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EAC4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9864ED">
        <w:rPr>
          <w:rFonts w:ascii="Arial" w:eastAsia="Calibri" w:hAnsi="Arial" w:cs="Arial"/>
          <w:b/>
          <w:sz w:val="24"/>
          <w:szCs w:val="24"/>
        </w:rPr>
        <w:t>Suppl. Figure 2.</w:t>
      </w:r>
      <w:r w:rsidRPr="009864ED">
        <w:rPr>
          <w:rFonts w:ascii="Arial" w:eastAsia="Calibri" w:hAnsi="Arial" w:cs="Arial"/>
          <w:sz w:val="24"/>
          <w:szCs w:val="24"/>
        </w:rPr>
        <w:t xml:space="preserve"> Scatterplot of the relationship between the storage time (up to 6 .5 years) and the biomarkers concentration. Depicted curves are fitted with a Loess. Regression models were performed and corrected by age, sex and </w:t>
      </w:r>
      <w:r w:rsidRPr="009864ED">
        <w:rPr>
          <w:rFonts w:ascii="Arial" w:eastAsia="Calibri" w:hAnsi="Arial" w:cs="Arial"/>
          <w:i/>
          <w:iCs/>
          <w:sz w:val="24"/>
          <w:szCs w:val="24"/>
        </w:rPr>
        <w:t>APOE-ε4</w:t>
      </w:r>
      <w:r w:rsidRPr="009864ED">
        <w:rPr>
          <w:rFonts w:ascii="Arial" w:eastAsia="Calibri" w:hAnsi="Arial" w:cs="Arial"/>
          <w:sz w:val="24"/>
          <w:szCs w:val="24"/>
        </w:rPr>
        <w:t xml:space="preserve"> carriership. The </w:t>
      </w:r>
      <w:r w:rsidRPr="009864ED">
        <w:rPr>
          <w:rFonts w:ascii="Arial" w:eastAsia="Calibri" w:hAnsi="Arial" w:cs="Arial"/>
          <w:i/>
          <w:sz w:val="24"/>
          <w:szCs w:val="24"/>
        </w:rPr>
        <w:t>β</w:t>
      </w:r>
      <w:r w:rsidRPr="009864ED">
        <w:rPr>
          <w:rFonts w:ascii="Arial" w:eastAsia="Calibri" w:hAnsi="Arial" w:cs="Arial"/>
          <w:sz w:val="24"/>
          <w:szCs w:val="24"/>
        </w:rPr>
        <w:t xml:space="preserve">s </w:t>
      </w:r>
      <w:r w:rsidRPr="009864ED">
        <w:rPr>
          <w:rFonts w:ascii="Arial" w:eastAsia="Calibri" w:hAnsi="Arial" w:cs="Arial"/>
          <w:color w:val="000000"/>
          <w:sz w:val="24"/>
          <w:szCs w:val="24"/>
        </w:rPr>
        <w:t xml:space="preserve">and p-values correspond to the model corrected. *p-value </w:t>
      </w:r>
      <w:r w:rsidRPr="009864ED">
        <w:rPr>
          <w:rFonts w:ascii="Arial" w:eastAsia="Calibri" w:hAnsi="Arial" w:cs="Arial"/>
          <w:sz w:val="24"/>
          <w:szCs w:val="24"/>
        </w:rPr>
        <w:t xml:space="preserve">below significance threshold of 0.05. Aβ, Amyloid Beta; GFAP, glial fibrillary acid protein; </w:t>
      </w:r>
      <w:proofErr w:type="spellStart"/>
      <w:r w:rsidRPr="009864ED">
        <w:rPr>
          <w:rFonts w:ascii="Arial" w:eastAsia="Calibri" w:hAnsi="Arial" w:cs="Arial"/>
          <w:sz w:val="24"/>
          <w:szCs w:val="24"/>
        </w:rPr>
        <w:t>NfL</w:t>
      </w:r>
      <w:proofErr w:type="spellEnd"/>
      <w:r w:rsidRPr="009864ED">
        <w:rPr>
          <w:rFonts w:ascii="Arial" w:eastAsia="Calibri" w:hAnsi="Arial" w:cs="Arial"/>
          <w:sz w:val="24"/>
          <w:szCs w:val="24"/>
        </w:rPr>
        <w:t>, Neurofilament Light Chain.</w:t>
      </w:r>
    </w:p>
    <w:p w14:paraId="0FCB4AEE" w14:textId="77777777" w:rsidR="0023654C" w:rsidRDefault="0023654C" w:rsidP="0023654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tbl>
      <w:tblPr>
        <w:tblW w:w="9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00"/>
        <w:gridCol w:w="1500"/>
        <w:gridCol w:w="1500"/>
        <w:gridCol w:w="1500"/>
        <w:gridCol w:w="1500"/>
      </w:tblGrid>
      <w:tr w:rsidR="0023654C" w:rsidRPr="009864ED" w14:paraId="4E4F9E01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4B4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5D81B85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Estimate</w:t>
            </w:r>
            <w:proofErr w:type="spellEnd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(β)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548965C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Std</w:t>
            </w:r>
            <w:proofErr w:type="spellEnd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. Error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361349E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p-</w:t>
            </w: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value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1D071A5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R²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9B9D6"/>
            <w:noWrap/>
            <w:vAlign w:val="center"/>
            <w:hideMark/>
          </w:tcPr>
          <w:p w14:paraId="348ADD1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Partial</w:t>
            </w:r>
            <w:proofErr w:type="spellEnd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R²</w:t>
            </w:r>
          </w:p>
        </w:tc>
      </w:tr>
      <w:tr w:rsidR="0023654C" w:rsidRPr="009864ED" w14:paraId="74957AB0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7B7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Aβ40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05D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7A8A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DD43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97F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FC9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199926A5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0ADF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57F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0.00358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7A2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0.00350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A7F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0.30715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B13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0.04942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3AB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0.00256</w:t>
            </w:r>
          </w:p>
        </w:tc>
      </w:tr>
      <w:tr w:rsidR="0023654C" w:rsidRPr="009864ED" w14:paraId="2B2FC1F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493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31C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E4EC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A1F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A9F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A1E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4A96177B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C5E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E5B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-0.03292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AEC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0.01052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476C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0.00188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DD8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35F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37A5874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AB1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704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0.02261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A61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0.01086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A19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0.03791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1B4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75D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48081D3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4446D8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Aβ42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02B156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FE2160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F74923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61A295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4AFBA0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58F83F20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10148F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9598A0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0.08160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B119F2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0.04590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E12E51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0.07617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2EE"/>
            <w:noWrap/>
            <w:vAlign w:val="center"/>
            <w:hideMark/>
          </w:tcPr>
          <w:p w14:paraId="45EAB7D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0.01903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2EE"/>
            <w:noWrap/>
            <w:vAlign w:val="center"/>
            <w:hideMark/>
          </w:tcPr>
          <w:p w14:paraId="589B4D7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0.00771</w:t>
            </w:r>
          </w:p>
        </w:tc>
      </w:tr>
      <w:tr w:rsidR="0023654C" w:rsidRPr="009864ED" w14:paraId="199049D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69A877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14CB09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-0.00825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61F2CB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0.012730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503CB4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0.51729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A90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4496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2459627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F6E502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6065F6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-0.10639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D8678B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0.138110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AD1C1D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0.44155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729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76C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1373223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29E1D6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6DBAE7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-0.38462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4C1239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0.142480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07E095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0.00724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AAD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0E0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3E628F8E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36A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Aβ42/Aβ40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C07D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DFC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8A82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702F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4C5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65CF5A6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0E4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B5D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246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0.0003972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192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0.39540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BA4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0.08484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E57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0.00178</w:t>
            </w:r>
          </w:p>
        </w:tc>
      </w:tr>
      <w:tr w:rsidR="0023654C" w:rsidRPr="009864ED" w14:paraId="4BCDD4AE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F10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73C7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-0.00055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471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4D0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47C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C734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71D59AC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4F94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9A2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615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0.0011952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8B9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0.02250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0E3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8FE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C55CAEE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03A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4A2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-0.00632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732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0.0012331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B4F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ABE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EF1F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1B347BD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256CE6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p-tau181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738F2E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ECB454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72DD24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3E959B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A24A75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7F4BEFB7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7809D2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C19F98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-0.007031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B85618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0.004234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6FBD44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0.0975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2EE"/>
            <w:noWrap/>
            <w:vAlign w:val="center"/>
            <w:hideMark/>
          </w:tcPr>
          <w:p w14:paraId="460ABBD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0.04450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2EE"/>
            <w:noWrap/>
            <w:vAlign w:val="center"/>
            <w:hideMark/>
          </w:tcPr>
          <w:p w14:paraId="24D44AF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0.00673</w:t>
            </w:r>
          </w:p>
        </w:tc>
      </w:tr>
      <w:tr w:rsidR="0023654C" w:rsidRPr="009864ED" w14:paraId="497E29B2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F383C77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B7453C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0.004775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8BFF6F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772B94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B88B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310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084AB807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8125C1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362E02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0.009217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33EFCA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0.012669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270935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0.4673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AC0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060B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682C61AE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582A7E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0702E1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0.029086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AA44A9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0.013072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BCF86C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0.0266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A7E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2FB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1D95847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3BE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p-tau231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279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9C0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DC61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182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A2C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4DCAE748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673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B25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-0.02769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1810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0.00785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F0D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0.00046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FF1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0.06662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1A60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0.02971</w:t>
            </w:r>
          </w:p>
        </w:tc>
      </w:tr>
      <w:tr w:rsidR="0023654C" w:rsidRPr="009864ED" w14:paraId="1DC3A593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8A5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lastRenderedPageBreak/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3665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0.00819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70D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D20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0.00024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7D0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C66E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2477694A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3B82A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133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-0.01663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73C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0.02399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7FF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0.48857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F4B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CD5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60E090DA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F031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56C1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0.08283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315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0.02476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22DB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0.00090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FED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D99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621111BB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2221DAB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GFAP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7D1021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784AE5A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C583C2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009CA1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29AA74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504BEC78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3E22E31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712DFE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-0.04992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A253D9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0.01109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1B7E5E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2EE"/>
            <w:noWrap/>
            <w:vAlign w:val="center"/>
            <w:hideMark/>
          </w:tcPr>
          <w:p w14:paraId="16FB9CE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0.2694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2EE"/>
            <w:noWrap/>
            <w:vAlign w:val="center"/>
            <w:hideMark/>
          </w:tcPr>
          <w:p w14:paraId="4DBFC09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0.0474</w:t>
            </w:r>
          </w:p>
        </w:tc>
      </w:tr>
      <w:tr w:rsidR="0023654C" w:rsidRPr="009864ED" w14:paraId="3560B84A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BBB975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6AA36C8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0.03435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B045D6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0.00307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17F8AC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297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C26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660AD2C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5A8AB96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6F8CD4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-0.13527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1E7596E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0.03332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035EC5D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FD7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0535C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6B87336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4845EF45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3DF8FA04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0.10867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139C3E07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0.03438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9E2EE"/>
            <w:noWrap/>
            <w:vAlign w:val="bottom"/>
            <w:hideMark/>
          </w:tcPr>
          <w:p w14:paraId="6C044C7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0.00169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6345D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CA66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BC32CB5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B56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9864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NfL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577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CC4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457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E4FA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3E5D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 </w:t>
            </w:r>
          </w:p>
        </w:tc>
      </w:tr>
      <w:tr w:rsidR="0023654C" w:rsidRPr="009864ED" w14:paraId="73FF4F5D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FB0F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Storage time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707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-0.00043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8CB3C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9A65F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0.6259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061BB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0.18680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06E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0.00058</w:t>
            </w:r>
          </w:p>
        </w:tc>
      </w:tr>
      <w:tr w:rsidR="0023654C" w:rsidRPr="009864ED" w14:paraId="6BDC12E3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48A43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0055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AE79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198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&lt;0.001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7DAAE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3D79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6FBECFCB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76B0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Sex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3141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-0.00596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531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A5D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0.0261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2195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22D2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  <w:tr w:rsidR="0023654C" w:rsidRPr="009864ED" w14:paraId="5DC2E878" w14:textId="77777777" w:rsidTr="00973AF2">
        <w:trPr>
          <w:trHeight w:val="290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821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APOE-ε4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9F3E3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4082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0.00275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D6436" w14:textId="77777777" w:rsidR="0023654C" w:rsidRPr="009864ED" w:rsidRDefault="0023654C" w:rsidP="00973AF2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  <w:r w:rsidRPr="009864ED"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  <w:t>0.0527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532B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573A8" w14:textId="77777777" w:rsidR="0023654C" w:rsidRPr="009864ED" w:rsidRDefault="0023654C" w:rsidP="00973AF2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195D27ED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5D16AE4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9864ED">
        <w:rPr>
          <w:rFonts w:ascii="Arial" w:eastAsia="Calibri" w:hAnsi="Arial" w:cs="Arial"/>
          <w:b/>
          <w:sz w:val="24"/>
          <w:szCs w:val="24"/>
        </w:rPr>
        <w:t>Suppl. Table 3.</w:t>
      </w:r>
      <w:r w:rsidRPr="009864ED">
        <w:rPr>
          <w:rFonts w:ascii="Arial" w:eastAsia="Calibri" w:hAnsi="Arial" w:cs="Arial"/>
          <w:sz w:val="24"/>
          <w:szCs w:val="24"/>
        </w:rPr>
        <w:t xml:space="preserve"> Regression model of the storage time effect on the biomarker’s concentration with samples stored up to 6.5 years. The model is corrected by age, sex and </w:t>
      </w:r>
      <w:r w:rsidRPr="009864ED">
        <w:rPr>
          <w:rFonts w:ascii="Arial" w:eastAsia="Calibri" w:hAnsi="Arial" w:cs="Arial"/>
          <w:i/>
          <w:iCs/>
          <w:sz w:val="24"/>
          <w:szCs w:val="24"/>
        </w:rPr>
        <w:t>APOE-ε4</w:t>
      </w:r>
      <w:r w:rsidRPr="009864ED">
        <w:rPr>
          <w:rFonts w:ascii="Arial" w:eastAsia="Calibri" w:hAnsi="Arial" w:cs="Arial"/>
          <w:sz w:val="24"/>
          <w:szCs w:val="24"/>
        </w:rPr>
        <w:t xml:space="preserve"> carriership. The partial R2 indicates the variability explained by the storage time. *p-value below significance threshold of 0.05. Aβ, Amyloid Beta; GFAP, glial fibrillary acid protein; </w:t>
      </w:r>
      <w:proofErr w:type="spellStart"/>
      <w:r w:rsidRPr="009864ED">
        <w:rPr>
          <w:rFonts w:ascii="Arial" w:eastAsia="Calibri" w:hAnsi="Arial" w:cs="Arial"/>
          <w:sz w:val="24"/>
          <w:szCs w:val="24"/>
        </w:rPr>
        <w:t>NfL</w:t>
      </w:r>
      <w:proofErr w:type="spellEnd"/>
      <w:r w:rsidRPr="009864ED">
        <w:rPr>
          <w:rFonts w:ascii="Arial" w:eastAsia="Calibri" w:hAnsi="Arial" w:cs="Arial"/>
          <w:sz w:val="24"/>
          <w:szCs w:val="24"/>
        </w:rPr>
        <w:t>, Neurofilament Light Chain.</w:t>
      </w:r>
    </w:p>
    <w:p w14:paraId="6DFE84B7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8366327" w14:textId="77777777" w:rsidR="0023654C" w:rsidRPr="009864ED" w:rsidRDefault="0023654C" w:rsidP="0023654C">
      <w:pPr>
        <w:spacing w:line="48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9A8E5A4" w14:textId="77777777" w:rsidR="00325114" w:rsidRDefault="00325114"/>
    <w:sectPr w:rsidR="00325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4C"/>
    <w:rsid w:val="000439E9"/>
    <w:rsid w:val="001F07A3"/>
    <w:rsid w:val="0023654C"/>
    <w:rsid w:val="0027207B"/>
    <w:rsid w:val="00325114"/>
    <w:rsid w:val="00B5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D366"/>
  <w15:chartTrackingRefBased/>
  <w15:docId w15:val="{9412E42F-E2E1-4378-AF5E-0DA94F0E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4C"/>
    <w:rPr>
      <w:rFonts w:ascii="Aptos" w:eastAsia="Aptos" w:hAnsi="Aptos" w:cs="Aptos"/>
      <w:lang w:val="en-AU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36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5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5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ca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5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ca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5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ca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5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ca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5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ca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5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5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54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54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54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54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54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54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54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36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3654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5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3654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3654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ca-ES" w:eastAsia="en-US"/>
    </w:rPr>
  </w:style>
  <w:style w:type="character" w:customStyle="1" w:styleId="CitaCar">
    <w:name w:val="Cita Car"/>
    <w:basedOn w:val="Fuentedeprrafopredeter"/>
    <w:link w:val="Cita"/>
    <w:uiPriority w:val="29"/>
    <w:rsid w:val="0023654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3654C"/>
    <w:pPr>
      <w:ind w:left="720"/>
      <w:contextualSpacing/>
    </w:pPr>
    <w:rPr>
      <w:rFonts w:asciiTheme="minorHAnsi" w:eastAsiaTheme="minorHAnsi" w:hAnsiTheme="minorHAnsi" w:cstheme="minorBidi"/>
      <w:lang w:val="ca-ES" w:eastAsia="en-US"/>
    </w:rPr>
  </w:style>
  <w:style w:type="character" w:styleId="nfasisintenso">
    <w:name w:val="Intense Emphasis"/>
    <w:basedOn w:val="Fuentedeprrafopredeter"/>
    <w:uiPriority w:val="21"/>
    <w:qFormat/>
    <w:rsid w:val="002365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ca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54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36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767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Blasco Fornies</dc:creator>
  <cp:keywords/>
  <dc:description/>
  <cp:lastModifiedBy>Helena Blasco Fornies</cp:lastModifiedBy>
  <cp:revision>3</cp:revision>
  <dcterms:created xsi:type="dcterms:W3CDTF">2025-10-27T07:56:00Z</dcterms:created>
  <dcterms:modified xsi:type="dcterms:W3CDTF">2025-10-28T15:26:00Z</dcterms:modified>
</cp:coreProperties>
</file>