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9C7BB">
      <w:pPr>
        <w:spacing w:line="48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Supplemental 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>i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nformation fo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r</w:t>
      </w:r>
    </w:p>
    <w:p w14:paraId="0B039194">
      <w:pPr>
        <w:spacing w:line="480" w:lineRule="auto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A novel antisense lncRNA, LPCRL, </w:t>
      </w:r>
      <w:bookmarkStart w:id="1" w:name="_GoBack"/>
      <w:bookmarkEnd w:id="1"/>
      <w:r>
        <w:rPr>
          <w:rFonts w:hint="eastAsia"/>
          <w:b/>
          <w:sz w:val="24"/>
          <w:szCs w:val="24"/>
          <w:lang w:val="en-US" w:eastAsia="zh-CN"/>
        </w:rPr>
        <w:t>functions as a molecular scaffold for the USP15/MIB1 complex to promote primary cisplatin resistance and tumor progression in lung squamous cell carcinoma</w:t>
      </w:r>
    </w:p>
    <w:p w14:paraId="260904A0">
      <w:pPr>
        <w:spacing w:line="480" w:lineRule="auto"/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Peng Luo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Dapeng Lu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Shuang Zhang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Wenqian Dong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Kai Fang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Shihao Yu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Bing He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Maoxin Zhu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Yuee Wang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Xianliang Jiang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4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, Baolong Wang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vertAlign w:val="superscript"/>
          <w:lang w:val="en-US" w:eastAsia="zh-CN"/>
        </w:rPr>
        <w:t>1,2*</w:t>
      </w:r>
    </w:p>
    <w:p w14:paraId="724AC305">
      <w:pPr>
        <w:spacing w:line="48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This file includes: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Supplementary Tables (Table S1 and Table S2)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Supplementary Figures (Figure S1-Figure S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>6)</w:t>
      </w:r>
    </w:p>
    <w:p w14:paraId="0DD1A1E6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65F95CEB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54534562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75DBDCEA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44E2FCBD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6EC8B062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0F9B6CC2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40BFE3C9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108FE977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2DD4E6DC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7A5D8570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6F0E63CF">
      <w:pPr>
        <w:spacing w:line="480" w:lineRule="auto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</w:p>
    <w:p w14:paraId="4A3E532E">
      <w:pPr>
        <w:spacing w:line="48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0232327C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Table 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b/>
          <w:sz w:val="24"/>
          <w:szCs w:val="24"/>
        </w:rPr>
        <w:t>The sequences of primers used in this study.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6765"/>
      </w:tblGrid>
      <w:tr w14:paraId="1B994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8434E25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Target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8749343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Primer sequence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(5’-3’)</w:t>
            </w:r>
          </w:p>
        </w:tc>
      </w:tr>
      <w:tr w14:paraId="61716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B94E1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cs="Times New Roman"/>
                <w:i/>
                <w:iCs/>
                <w:sz w:val="20"/>
                <w:szCs w:val="20"/>
                <w:lang w:val="en-US" w:eastAsia="zh-CN"/>
              </w:rPr>
              <w:t>PC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RL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95B6B74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AAGATGAGATGGCTGCTGTTG</w:t>
            </w:r>
          </w:p>
        </w:tc>
      </w:tr>
      <w:tr w14:paraId="45582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B7AE1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677BF8F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CTTATGGTGCTCTGTTACCTGTAA</w:t>
            </w:r>
          </w:p>
        </w:tc>
      </w:tr>
      <w:tr w14:paraId="69330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4A2A0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GAPDH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95794C5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GGAGCGAGATCCCTCCAAAAT</w:t>
            </w:r>
          </w:p>
        </w:tc>
      </w:tr>
      <w:tr w14:paraId="5062D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FFDB1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EBC6667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GGCTGTTGTCATACTTCTCATGG</w:t>
            </w:r>
          </w:p>
        </w:tc>
      </w:tr>
      <w:tr w14:paraId="35093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39D29CA1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U6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976CB5B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GCTTCGGCAGCACATATACTAAAAT</w:t>
            </w:r>
          </w:p>
        </w:tc>
      </w:tr>
      <w:tr w14:paraId="2CB03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E3CC9B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E4F4143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 CGCTTCACGAATTTGCGTGTCAT</w:t>
            </w:r>
          </w:p>
        </w:tc>
      </w:tr>
      <w:tr w14:paraId="1F420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248ED0DC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18S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F1DBF9D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CAGCCACCCGAGATTGAGCA</w:t>
            </w:r>
          </w:p>
        </w:tc>
      </w:tr>
      <w:tr w14:paraId="7F23D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19674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9A53B75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TAGTAGCGACGGGCGGTGTG</w:t>
            </w:r>
          </w:p>
        </w:tc>
      </w:tr>
      <w:tr w14:paraId="33AB4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59A86AB7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MIB1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061FF6A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CGAGGAGGTGGTGGTAGTGT</w:t>
            </w:r>
          </w:p>
        </w:tc>
      </w:tr>
      <w:tr w14:paraId="16851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1B52D1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DE5F2CE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GATGCGGAGGTCGTAAGC</w:t>
            </w:r>
          </w:p>
        </w:tc>
      </w:tr>
      <w:tr w14:paraId="574E9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653A00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auto"/>
                <w:sz w:val="20"/>
                <w:szCs w:val="20"/>
                <w:lang w:val="en-US" w:eastAsia="zh-CN"/>
              </w:rPr>
              <w:t>USP15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957F7F2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TCAAAATGTGTATCCTGGACCCA</w:t>
            </w:r>
          </w:p>
        </w:tc>
      </w:tr>
      <w:tr w14:paraId="7199E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7B35B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1CE9BB0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GTGCTATTGGCTCTTGACCTT</w:t>
            </w:r>
          </w:p>
        </w:tc>
      </w:tr>
      <w:tr w14:paraId="63AF3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3595697A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  <w:t>HES1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2F2732F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CATTCCAAGCTGGAGAAGGC</w:t>
            </w:r>
          </w:p>
        </w:tc>
      </w:tr>
      <w:tr w14:paraId="652C0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04CE8A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6A5750B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 GTCACCTCGTTCATGCACTC</w:t>
            </w:r>
          </w:p>
        </w:tc>
      </w:tr>
      <w:tr w14:paraId="7AEBE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5A384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  <w:t>p21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1DB68A67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TGTCCGTCAGAACCCATGC</w:t>
            </w:r>
          </w:p>
        </w:tc>
      </w:tr>
      <w:tr w14:paraId="3A2A1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2C006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B570297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 AAAGTCGAAGTTCCATCGCTC</w:t>
            </w:r>
          </w:p>
        </w:tc>
      </w:tr>
      <w:tr w14:paraId="12345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6DE6C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  <w:t>Cyclin D3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C9104ED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TACCCGCCATCCATGATCG </w:t>
            </w:r>
          </w:p>
        </w:tc>
      </w:tr>
      <w:tr w14:paraId="3BAED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2D54EF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28CE888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AGGCAGTCCACTTCAGTGC </w:t>
            </w:r>
          </w:p>
        </w:tc>
      </w:tr>
      <w:tr w14:paraId="4298E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CA65ADA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0"/>
                <w:szCs w:val="20"/>
                <w:lang w:val="en-US" w:eastAsia="zh-CN"/>
              </w:rPr>
              <w:t>C-MYC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85ABD83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GGCTCCTGGCAAAAGGTCA</w:t>
            </w:r>
          </w:p>
        </w:tc>
      </w:tr>
      <w:tr w14:paraId="7B564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EEB6A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CF0E35E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CTGCGTAGTTGTGCTGATGT </w:t>
            </w:r>
          </w:p>
        </w:tc>
      </w:tr>
      <w:tr w14:paraId="555D5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0D5402">
            <w:pPr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cs="Times New Roman"/>
                <w:i/>
                <w:iCs/>
                <w:sz w:val="20"/>
                <w:szCs w:val="20"/>
                <w:lang w:val="en-US" w:eastAsia="zh-CN"/>
              </w:rPr>
              <w:t>PC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RL-M1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5D783C0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TCTGCAACTTTTTCCCCTCTTCT</w:t>
            </w:r>
          </w:p>
        </w:tc>
      </w:tr>
      <w:tr w14:paraId="68005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8D80E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2E19629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 AGTGTTGGCCATTTGATTTGGA</w:t>
            </w:r>
          </w:p>
        </w:tc>
      </w:tr>
      <w:tr w14:paraId="293E7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D6FBF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cs="Times New Roman"/>
                <w:i/>
                <w:iCs/>
                <w:sz w:val="20"/>
                <w:szCs w:val="20"/>
                <w:lang w:val="en-US" w:eastAsia="zh-CN"/>
              </w:rPr>
              <w:t>PC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RL-M2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312415B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AGGTGAGGTTCTGTGTTCACT</w:t>
            </w:r>
          </w:p>
        </w:tc>
      </w:tr>
      <w:tr w14:paraId="53960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A37D4B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02A41A1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R:TCACATCAACAGCAGCCATCT </w:t>
            </w:r>
          </w:p>
        </w:tc>
      </w:tr>
      <w:tr w14:paraId="1A967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D1FA368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L</w:t>
            </w:r>
            <w:r>
              <w:rPr>
                <w:rFonts w:hint="eastAsia" w:cs="Times New Roman"/>
                <w:i/>
                <w:iCs/>
                <w:sz w:val="20"/>
                <w:szCs w:val="20"/>
                <w:lang w:val="en-US" w:eastAsia="zh-CN"/>
              </w:rPr>
              <w:t>PC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0"/>
                <w:szCs w:val="20"/>
                <w:lang w:val="en-US" w:eastAsia="zh-CN"/>
              </w:rPr>
              <w:t>RL-M3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1D1900F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AGCACCATAAGGCCTGTACTT</w:t>
            </w:r>
          </w:p>
        </w:tc>
      </w:tr>
      <w:tr w14:paraId="41FB7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067E7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7920645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 AGTTACTGCCATAGTATCTGAACA</w:t>
            </w:r>
          </w:p>
        </w:tc>
      </w:tr>
      <w:tr w14:paraId="53430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EB6D471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'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RACE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daptor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995DD64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GCGCTGACAACGCTCCCGCTGAATTGGAATTTTTTTTTTTTTTTTTTTT</w:t>
            </w:r>
          </w:p>
        </w:tc>
      </w:tr>
      <w:tr w14:paraId="18561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F0497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3' RACE outer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F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331BEA4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CTGCTGTTGATGTGATTCTC</w:t>
            </w:r>
          </w:p>
        </w:tc>
      </w:tr>
      <w:tr w14:paraId="603A6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F5B2F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3' RACE oute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r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EFA7F75"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GCGCTGACAACGCTCCCGCT</w:t>
            </w:r>
          </w:p>
        </w:tc>
      </w:tr>
      <w:tr w14:paraId="56461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51A373C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bookmarkStart w:id="0" w:name="_Hlk151466885"/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' RACE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inner F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7E000AE"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CTGCATGACACTAAGCTTAC</w:t>
            </w:r>
          </w:p>
        </w:tc>
      </w:tr>
      <w:tr w14:paraId="38D1C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6C43B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' RACE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inner R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7DDA5C9"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CGCTCCCGCTGAATTGGAAT</w:t>
            </w:r>
          </w:p>
        </w:tc>
      </w:tr>
      <w:tr w14:paraId="508DA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07C21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'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RACE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RT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36EA8EC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ACAGCAGCCATCTCATCTTG</w:t>
            </w:r>
          </w:p>
        </w:tc>
      </w:tr>
      <w:tr w14:paraId="284BB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57BEFAA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' RACE GSP1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548E48B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CACTCTATTTGCTGATTCAGC</w:t>
            </w:r>
          </w:p>
        </w:tc>
      </w:tr>
      <w:tr w14:paraId="42CAC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5E8AB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' RACE UPM1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1280DBB0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TCTAATACGACTCACTATAGGGCAAGCAGTGGTATCAACGCAGAGTTTTTTTTTTTTTTTTTT</w:t>
            </w:r>
          </w:p>
        </w:tc>
      </w:tr>
      <w:tr w14:paraId="14136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2D0AF12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' RACE GSP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3EEE6C0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TCAGTGAACACAGAACCTCA</w:t>
            </w:r>
          </w:p>
        </w:tc>
      </w:tr>
      <w:tr w14:paraId="41183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98135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' RACE UPM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0DD7D52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CTAATACGACTCACTATAGGGC</w:t>
            </w:r>
          </w:p>
        </w:tc>
      </w:tr>
      <w:bookmarkEnd w:id="0"/>
    </w:tbl>
    <w:p w14:paraId="70DFB630">
      <w:pPr>
        <w:spacing w:line="480" w:lineRule="auto"/>
        <w:rPr>
          <w:rFonts w:hint="default" w:ascii="Times New Roman" w:hAnsi="Times New Roman" w:cs="Times New Roman"/>
          <w:b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Table </w:t>
      </w:r>
      <w:r>
        <w:rPr>
          <w:rFonts w:hint="eastAsia" w:cs="Times New Roman"/>
          <w:b w:val="0"/>
          <w:bCs w:val="0"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. 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 xml:space="preserve">The sequences of </w:t>
      </w: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siRNA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s</w:t>
      </w: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 xml:space="preserve"> and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 xml:space="preserve">shRNAs 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used in this study.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6765"/>
      </w:tblGrid>
      <w:tr w14:paraId="6045B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0480581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Target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F94E20C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sequence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(5’-3’)</w:t>
            </w:r>
          </w:p>
        </w:tc>
      </w:tr>
      <w:tr w14:paraId="5B07D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CD5F7D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si-NC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9E12AAF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UUCUCCGAACGUGUCACGUTT</w:t>
            </w:r>
          </w:p>
        </w:tc>
      </w:tr>
      <w:tr w14:paraId="20D8A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351E03A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978704D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ACGUGACACGUUCGGAGAATT</w:t>
            </w:r>
          </w:p>
        </w:tc>
      </w:tr>
      <w:tr w14:paraId="02EC2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CED45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LPCRL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-1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171DB65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UCAAAUGGCCAACACUGAUTT</w:t>
            </w:r>
          </w:p>
        </w:tc>
      </w:tr>
      <w:tr w14:paraId="1ECEC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250DD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0E13076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AUCAGUGUUGGCCAUUUGATT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 </w:t>
            </w:r>
          </w:p>
        </w:tc>
      </w:tr>
      <w:tr w14:paraId="039DD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5E367AC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LPCRL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-2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0A29740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GCUUACAGGUAACAGAGCATT</w:t>
            </w:r>
          </w:p>
        </w:tc>
      </w:tr>
      <w:tr w14:paraId="79AF4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497D6">
            <w:pPr>
              <w:widowControl/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54306BF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UGCUCUGUUACCUGUAAGCTT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 </w:t>
            </w:r>
          </w:p>
        </w:tc>
      </w:tr>
      <w:tr w14:paraId="18A16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DB185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LPCRL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35159C3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CCAUAGCCUAAUUUCACAATT</w:t>
            </w:r>
          </w:p>
        </w:tc>
      </w:tr>
      <w:tr w14:paraId="0C67D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9AF033E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1728A4C7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UUGUGAAAUUAGGCUAUGGTT</w:t>
            </w:r>
          </w:p>
        </w:tc>
      </w:tr>
      <w:tr w14:paraId="41BC5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EB14E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sh-NC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59B0EF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Top strand:</w:t>
            </w:r>
          </w:p>
          <w:p w14:paraId="6974586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GATCCGTTCTCCGAACGTGTCACGTAATTCAAGAGATTACGTGACACGTTCGGAGAATTTTTTC</w:t>
            </w:r>
          </w:p>
        </w:tc>
      </w:tr>
      <w:tr w14:paraId="02FC9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73787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A0834E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Bottom strand:</w:t>
            </w:r>
          </w:p>
          <w:p w14:paraId="3B03443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AATTGAAAAAATTCTCCGAACGTGTCACGTAATCTCTTGAATTACGTGACACGTTCGGAGAACG</w:t>
            </w:r>
          </w:p>
        </w:tc>
      </w:tr>
      <w:tr w14:paraId="4279F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6413E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sh-LPCRL-1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27F5929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Top strand: </w:t>
            </w:r>
            <w:r>
              <w:rPr>
                <w:rFonts w:hint="default" w:ascii="Times New Roman" w:hAnsi="Times New Roman" w:eastAsia="宋体" w:cs="Times New Roman"/>
                <w:b w:val="0"/>
                <w:color w:val="auto"/>
                <w:kern w:val="0"/>
                <w:sz w:val="20"/>
                <w:szCs w:val="20"/>
                <w:lang w:val="en-US" w:eastAsia="zh-CN" w:bidi="ar"/>
              </w:rPr>
              <w:t>GATCCGGACGGCAATGAAGAAGATTTCAAGAGAATCTTCTTCATTGCCGTCCTTTTTTG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</w:tc>
      </w:tr>
      <w:tr w14:paraId="69F00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4BA5D8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C65D51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Bottom strand:      </w:t>
            </w:r>
          </w:p>
          <w:p w14:paraId="4FBF988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auto"/>
                <w:kern w:val="0"/>
                <w:sz w:val="20"/>
                <w:szCs w:val="20"/>
                <w:lang w:val="en-US" w:eastAsia="zh-CN" w:bidi="ar"/>
              </w:rPr>
              <w:t>AATTCAAAAAAGGACGGCAATGAAGAAGATTCTCTTGAAATCTTCTTCATTGCCGTCCG</w:t>
            </w:r>
          </w:p>
        </w:tc>
      </w:tr>
      <w:tr w14:paraId="6721C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EC210C8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sh-LPCRL-2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115C209D">
            <w:pPr>
              <w:keepNext w:val="0"/>
              <w:keepLines w:val="0"/>
              <w:widowControl/>
              <w:suppressLineNumbers w:val="0"/>
              <w:spacing w:before="100" w:beforeAutospacing="1" w:after="0" w:afterAutospacing="0" w:line="273" w:lineRule="auto"/>
              <w:ind w:left="0" w:right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Top strand:        </w:t>
            </w:r>
          </w:p>
          <w:p w14:paraId="634B01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auto"/>
                <w:kern w:val="0"/>
                <w:sz w:val="20"/>
                <w:szCs w:val="20"/>
                <w:lang w:val="en-US" w:eastAsia="zh-CN" w:bidi="ar"/>
              </w:rPr>
              <w:t>GATCCGCTTACAGGTAACAGAGCATTCAAGAGATGCTCTGTTACCTGTAAGCTTTTTTG</w:t>
            </w:r>
          </w:p>
        </w:tc>
      </w:tr>
      <w:tr w14:paraId="7A2EF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4B554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B954EF6">
            <w:pPr>
              <w:keepNext w:val="0"/>
              <w:keepLines w:val="0"/>
              <w:widowControl/>
              <w:suppressLineNumbers w:val="0"/>
              <w:spacing w:before="100" w:beforeAutospacing="1" w:after="0" w:afterAutospacing="0" w:line="273" w:lineRule="auto"/>
              <w:ind w:left="0" w:right="0"/>
              <w:jc w:val="both"/>
              <w:rPr>
                <w:rFonts w:hint="default" w:ascii="Times New Roman" w:hAnsi="Times New Roman" w:eastAsia="宋体" w:cs="Times New Roman"/>
                <w:b w:val="0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auto"/>
                <w:kern w:val="0"/>
                <w:sz w:val="20"/>
                <w:szCs w:val="20"/>
                <w:lang w:val="en-US" w:eastAsia="zh-CN" w:bidi="ar"/>
              </w:rPr>
              <w:t xml:space="preserve">Bottom strand:        </w:t>
            </w:r>
          </w:p>
          <w:p w14:paraId="4ED9AE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auto"/>
                <w:kern w:val="0"/>
                <w:sz w:val="20"/>
                <w:szCs w:val="20"/>
                <w:lang w:val="en-US" w:eastAsia="zh-CN" w:bidi="ar"/>
              </w:rPr>
              <w:t>AATTCAAAAAAGCTTACAGGTAACAGAGCATCTCTTGAATGCTCTGTTACCTGTAAGCG</w:t>
            </w:r>
          </w:p>
        </w:tc>
      </w:tr>
      <w:tr w14:paraId="46892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07B3EE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MIB1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7B158268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GCUUCCAACUUUAGGUAAATT</w:t>
            </w:r>
          </w:p>
        </w:tc>
      </w:tr>
      <w:tr w14:paraId="146C0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382BCEF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19132DC5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UUUACCUAAAGUUGGAAGCTT</w:t>
            </w:r>
          </w:p>
        </w:tc>
      </w:tr>
      <w:tr w14:paraId="764D1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7F94EFA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MIB1-2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AF04102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GCUUGUGAGAACUGUGCUATT</w:t>
            </w:r>
          </w:p>
        </w:tc>
      </w:tr>
      <w:tr w14:paraId="4B83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9F488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D43F131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UAGCACAGUUCUCACAAGCTT</w:t>
            </w:r>
          </w:p>
        </w:tc>
      </w:tr>
      <w:tr w14:paraId="6F9AF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08BD6BB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USP15-1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2EC1B4B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GAAUUGGAUUACAUACUGUTT</w:t>
            </w:r>
          </w:p>
        </w:tc>
      </w:tr>
      <w:tr w14:paraId="617DD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8BF3FAD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69DCD529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ACAGUAUGUAAUCCAAUUCTT</w:t>
            </w:r>
          </w:p>
        </w:tc>
      </w:tr>
      <w:tr w14:paraId="48F12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434C7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USP15-2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C150D16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F: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GUAUAUCUCACAGAAUUGATT</w:t>
            </w:r>
          </w:p>
        </w:tc>
      </w:tr>
      <w:tr w14:paraId="74B30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B3C15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4C5700D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R: 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UCAAUUCUGUGAGAUAUACTT</w:t>
            </w:r>
          </w:p>
        </w:tc>
      </w:tr>
      <w:tr w14:paraId="2C79B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70049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HES1-1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057C0709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AGAUCAAUGCCAUGACCUATT</w:t>
            </w:r>
          </w:p>
        </w:tc>
      </w:tr>
      <w:tr w14:paraId="552D0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E41B6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346E81EC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 xml:space="preserve"> UAGGUCAUGGCAUUGAUCUTT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 </w:t>
            </w:r>
          </w:p>
        </w:tc>
      </w:tr>
      <w:tr w14:paraId="67178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57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4FFE1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si-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HES1-2</w:t>
            </w: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51D4AE86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F: GGACAUUCUGGAAAUGACATT</w:t>
            </w:r>
          </w:p>
        </w:tc>
      </w:tr>
      <w:tr w14:paraId="15CDA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5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C178B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 w14:paraId="430B92B8">
            <w:pPr>
              <w:spacing w:line="36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R: UGUCAUUUCCAGAAUGUCCTT</w:t>
            </w:r>
          </w:p>
        </w:tc>
      </w:tr>
    </w:tbl>
    <w:p w14:paraId="2227555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3E014E1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099AFAF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1F8525F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3962CCF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70E2D3F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62A9F7B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1B798B9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47D841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32B9F66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4F9DB28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14C8265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66464CD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Style w:val="6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eastAsia="zh-CN"/>
        </w:rPr>
      </w:pPr>
      <w:r>
        <w:rPr>
          <w:rStyle w:val="6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eastAsia="zh-CN"/>
        </w:rPr>
        <w:drawing>
          <wp:inline distT="0" distB="0" distL="114300" distR="114300">
            <wp:extent cx="5273040" cy="6082030"/>
            <wp:effectExtent l="9525" t="9525" r="13335" b="17145"/>
            <wp:docPr id="7" name="图片 7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820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8D5E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spacing w:before="183" w:beforeAutospacing="0" w:after="137" w:afterAutospacing="0" w:line="15" w:lineRule="atLeast"/>
        <w:ind w:leftChars="0" w:right="0" w:rightChars="0"/>
        <w:jc w:val="both"/>
        <w:outlineLvl w:val="2"/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Fig</w:t>
      </w:r>
      <w:r>
        <w:rPr>
          <w:rStyle w:val="6"/>
          <w:rFonts w:hint="eastAsia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ure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S</w:t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1</w:t>
      </w:r>
      <w:r>
        <w:rPr>
          <w:rStyle w:val="6"/>
          <w:rFonts w:hint="eastAsia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.</w:t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 Characterization of PDX models and molecular identification of LPCRL.</w:t>
      </w:r>
      <w:r>
        <w:rPr>
          <w:rStyle w:val="6"/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(A-B)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In vivo responses of six patient-derived xenograft (PDX) models to cisplatin. (A) Cisplatin-sensitive models (PDX1 and PDX2). (B) Cisplatin-resistant models (PDX3–PDX6). Representative images of excised tumors (left panels) and corresponding tumor growth curves (right panels) from the cisplatin and PBS groups for each model are shown.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(C)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Representative H&amp;E staining (upper panel) and fluorescence in situ hybridization (FISH) images (lower panel) showing LPCRL signals (red) in tumor sections. Nuclei are counterstained with DAPI (blue). Scale bar, 20 μm.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(D)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Four transcript variants of the host gene MIR133A1HG, as displayed in the UCSC Genome Browser.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(E)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Schematic of the full-length MIR133A1HG-204 transcript (1,731 nt), with the identified LPCRL sequence (688 nt) highlighted in blue.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(F)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A screenshot from ORF Finder shows predicted open reading frames (ORFs) within the 688-nucleotide LPCRL sequence.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(G)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Subcellular localization of LPCRL in NCI-H520 cells based on nuclear-cytoplasmic RNA fractionation followed by RT-qPCR. GAPDH (cytoplasmic) and U6 (nuclear) served as controls.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(H)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Representative fluorescence in situ hybridization (FISH) images showing LPCRL signals (red) in NCI-H520. Nuclei are stained with DAPI (blue). Scale bar: 50 μm.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(I)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Validation of LPCRL knockdown efficiency by RT-qPCR in primary cells transfected with negative control siRNA (si-NC) or three independent LPCRL-targeting siRNAs (si-LPCRL #1, #2, #3).</w:t>
      </w:r>
    </w:p>
    <w:p w14:paraId="3725EF7F">
      <w:pPr>
        <w:rPr>
          <w:rFonts w:hint="default" w:ascii="Times New Roman" w:hAnsi="Times New Roman" w:cs="Times New Roman"/>
          <w:b/>
          <w:sz w:val="20"/>
          <w:szCs w:val="20"/>
        </w:rPr>
      </w:pPr>
      <w:r>
        <w:rPr>
          <w:rFonts w:hint="eastAsia"/>
          <w:sz w:val="20"/>
          <w:szCs w:val="20"/>
          <w:lang w:val="en-US" w:eastAsia="zh-CN"/>
        </w:rPr>
        <w:drawing>
          <wp:inline distT="0" distB="0" distL="114300" distR="114300">
            <wp:extent cx="5272405" cy="4319905"/>
            <wp:effectExtent l="9525" t="9525" r="13970" b="13970"/>
            <wp:docPr id="2" name="图片 2" descr="Supplement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 Fig.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990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54AE998">
      <w:pPr>
        <w:rPr>
          <w:rFonts w:hint="default"/>
          <w:b/>
          <w:sz w:val="20"/>
          <w:szCs w:val="20"/>
          <w:lang w:val="en-US" w:eastAsia="zh-CN"/>
        </w:rPr>
      </w:pPr>
    </w:p>
    <w:p w14:paraId="1C02789C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Fig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ure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S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2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.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z w:val="16"/>
          <w:szCs w:val="16"/>
          <w:lang w:val="en-US" w:eastAsia="zh-CN"/>
        </w:rPr>
        <w:t xml:space="preserve">LPCRL promotes cisplatin resistance, cell </w:t>
      </w:r>
      <w:r>
        <w:rPr>
          <w:rFonts w:hint="default" w:ascii="Times New Roman" w:hAnsi="Times New Roman" w:cs="Times New Roman"/>
          <w:b/>
          <w:bCs/>
          <w:color w:val="000000"/>
          <w:sz w:val="16"/>
          <w:szCs w:val="16"/>
          <w:lang w:val="en-US" w:eastAsia="zh-CN"/>
        </w:rPr>
        <w:t>proliferation and migration</w:t>
      </w:r>
      <w:r>
        <w:rPr>
          <w:rFonts w:hint="default" w:ascii="Times New Roman" w:hAnsi="Times New Roman" w:cs="Times New Roman"/>
          <w:color w:val="000000"/>
          <w:sz w:val="16"/>
          <w:szCs w:val="16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z w:val="16"/>
          <w:szCs w:val="16"/>
          <w:lang w:val="en-US" w:eastAsia="zh-CN"/>
        </w:rPr>
        <w:t xml:space="preserve">in NCI-H520 cells (A-C) </w:t>
      </w:r>
      <w:r>
        <w:rPr>
          <w:rFonts w:hint="default" w:ascii="Times New Roman" w:hAnsi="Times New Roman" w:cs="Times New Roman"/>
          <w:b w:val="0"/>
          <w:bCs/>
          <w:color w:val="000000"/>
          <w:sz w:val="16"/>
          <w:szCs w:val="16"/>
          <w:lang w:val="en-US" w:eastAsia="zh-CN"/>
        </w:rPr>
        <w:t>RT-qPCR analysis of LPCRL expression in SK-MES-1 cells transfected with LPCRL-targeting siRNA (A), shRNA (B), and ASO (C).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(D)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Schematic illustrating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the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target site of siRNA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(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siRNA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vertAlign w:val="superscript"/>
          <w:lang w:val="en-US" w:eastAsia="zh-CN"/>
        </w:rPr>
        <w:t>#2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on LPCRL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(E) 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RT-qPCR analysis of LPCRL expression in NCI-H520 cells stably overexpressing LPCRL (oeLPCRL) or transfected with empty vector (Vector)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.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(F)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Cell viability was evaluated by MTT assay in NCI-H520 cells stably overexpressing LPCRL (oeLPCRL) or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transfected with empty vector (Vector)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following 48-hour treatment with various concentrations of cisplatin.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(G)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Representative Annexin V-FITC/PI staining images showing apoptosis in NCI-H520 cells stably overexpressing LPCRL (oeLPCRL) or transfected with empty vector (Vector) following 24-hour treatment with 20 μM cisplatin, along with quantification of apoptotic rates (right panel), are presented.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(H)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Western blot analysis of protein levels of γ-H2AX (a DNA damage marker) and cleaved PARP (c-PARP; an apoptosis marker) in NCI-H520 cells stably overexpressing LPCRL (oeLPCRL) or transfected with empty vector (Vector) following 48-hour treatment with 20 μM cisplatin.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(I-J)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Colony formation (I) and Transwell assays (J) assessing the proliferative and migratory capacities of NCI-H520 cells stably overexpressing LPCRL (oeLPCRL) or transfected with empty vector (Vector). Representative images (left panel) and quantification (right panel) are presented.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color="auto" w:fill="FFFFFF"/>
          <w:lang w:val="en-US" w:eastAsia="zh-CN" w:bidi="ar"/>
        </w:rPr>
        <w:t>(K)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color="auto" w:fill="FFFFFF"/>
          <w:lang w:val="en-US" w:eastAsia="zh-CN" w:bidi="ar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Western blot analysis of protein levels of PCNA, N-cadherin, and Vimentin in NCI-H520 cells stably overexpressing LPCRL (oeLPCRL) or transfected with empty vector (Vector).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color="auto" w:fill="FFFFFF"/>
          <w:lang w:val="en-US" w:eastAsia="zh-CN" w:bidi="ar"/>
        </w:rPr>
        <w:t xml:space="preserve">(L-M)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Schematic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s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illustrating the generation of subcutaneous tumor models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(L)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and lung metastasis models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(M)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</w:p>
    <w:p w14:paraId="0FA947C6">
      <w:pPr>
        <w:rPr>
          <w:rFonts w:hint="default"/>
          <w:b/>
          <w:sz w:val="20"/>
          <w:szCs w:val="20"/>
          <w:lang w:val="en-US" w:eastAsia="zh-CN"/>
        </w:rPr>
      </w:pPr>
    </w:p>
    <w:p w14:paraId="66CF0845">
      <w:pPr>
        <w:rPr>
          <w:rFonts w:hint="default"/>
          <w:lang w:val="en-US" w:eastAsia="zh-CN"/>
        </w:rPr>
      </w:pPr>
    </w:p>
    <w:p w14:paraId="15E934DE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55C1F83E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352FD98C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029CFDF3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5F755D2C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0"/>
          <w:szCs w:val="20"/>
          <w:lang w:val="en-US" w:eastAsia="zh-CN"/>
        </w:rPr>
        <w:drawing>
          <wp:inline distT="0" distB="0" distL="114300" distR="114300">
            <wp:extent cx="5269230" cy="3521075"/>
            <wp:effectExtent l="9525" t="9525" r="17145" b="12700"/>
            <wp:docPr id="3" name="图片 3" descr="Supplement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 Fig.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1075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5DBD9EC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774A0226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Fig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ure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S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3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.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MIB1 is highly expressed in lung squamous cell carcinoma tissues.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(A)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Analysis of MIB1 protein levels in LUSC and adjacent normal tissues using the CPTAC database.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(B)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Representative immunohistochemical (IHC) staining images of MIB1 in clinical LUSC tissues and matched adjacent normal tissues.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7F8FA"/>
        </w:rPr>
        <w:t xml:space="preserve">Scale bar,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7F8FA"/>
          <w:lang w:val="en-US" w:eastAsia="zh-CN"/>
        </w:rPr>
        <w:t>5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7F8FA"/>
        </w:rPr>
        <w:t>0 μm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7F8FA"/>
          <w:lang w:val="en-US" w:eastAsia="zh-CN"/>
        </w:rPr>
        <w:t xml:space="preserve">.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(C-D)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RT-qPCR analysis of MIB1 mRNA levels in SK-MES-1 cells following LPCRL knockdown (C) and in NCI-H520 cells following stable LPCRL overexpression (oeLPCRL) (D).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(E-F)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RT-qPCR analysis of LPCRL expression in SK-MES-1 cells following MIB1 knockdown (E) and in NCI-H520 cells following MIB1 overexpression (F).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(G)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MIB1, PCNA, N-cadherin, and </w:t>
      </w:r>
      <w:r>
        <w:rPr>
          <w:rFonts w:hint="eastAsia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v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imentin protein levels in SK-MES-1 cells following MIB1 knockdown.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(H)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γ-H2AX and cleaved PARP (c-PARP; an apoptosis marker) protein levels in SK-MES-1 cells with or without MIB1 knockdown (siMIB1 or siNC) following 48-hour treatment with cisplatin (20 μM).</w:t>
      </w:r>
    </w:p>
    <w:p w14:paraId="1BF01698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1316B759">
      <w:pP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</w:p>
    <w:p w14:paraId="0231103C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54B4BD26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4DC3D013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487F4005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01853400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4258B64A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69B80B9E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1D5CCB94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7546F8FA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2CC22F46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564E28D5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10E7C6FC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6A42F6F9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0A24FB21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772B0C86">
      <w:pP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eastAsia="zh-CN"/>
        </w:rPr>
        <w:drawing>
          <wp:inline distT="0" distB="0" distL="114300" distR="114300">
            <wp:extent cx="5178425" cy="3892550"/>
            <wp:effectExtent l="9525" t="9525" r="19050" b="9525"/>
            <wp:docPr id="1" name="图片 1" descr="Fig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892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4BBCA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5626A6E1">
      <w:pP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Fig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ure S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4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.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 Endogenous interaction between LPCRL, MIB1 and USP15 in LUSC cells. (A) 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Co-IP showing the endogenous interaction between MIB1 and USP15 in NCI-H520 cells. 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(B)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Representative immunofluorescence images of endogenous MIB1 (green) and USP15 (red) in NCI-H520 cells; nuclei were stained with DAPI (blue). Scale bar: 10 µm. 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(C)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Western blot analysis of MIB1 protein levels in NCI-H520 cells transfected with si-USP15 or si-NC. 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D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Western blot analysis of MIB1 ubiquitination levels in NCI-H520 cells stably overexpressing LPCRL (oeLPCRL) with USP15 knockdown (si-USP15). 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E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-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F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)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Western blot analysis of MIB1 protein levels (</w:t>
      </w:r>
      <w:r>
        <w:rPr>
          <w:rStyle w:val="6"/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E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) and its ubiquitination (</w:t>
      </w:r>
      <w:r>
        <w:rPr>
          <w:rStyle w:val="6"/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F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) in NCI-H520 cells transfected with USP15-expressing plasmids. 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(G-H)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Western blot analysis of USP15 protein levels in SK-MES-1 cells transfected with si-LPCRL or si-NC (G) and in NCI-H520 cells stably overexpressing LPCRL (oeLPCRL)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or transfected with empty vector (Vector)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(H). 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(I-J)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RT-qPCR analysis of USP15 mRNA levels in SK-MES-1 cells transfected with si-LPCRL or si-NC (I) and in NCI-H520 cells stably overexpressing LPCRL (oeLPCRL)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or transfected with empty vector (Vector)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(J).</w:t>
      </w:r>
    </w:p>
    <w:p w14:paraId="01BEF60E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5E718226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74B5FBF3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41F08FCF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31B9E027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6CEDD65A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483FB930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3F4FE430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7846DB32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4A33BE05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162F0511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0B570333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37FC0EB9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41C6591A">
      <w:pPr>
        <w:rPr>
          <w:rFonts w:hint="eastAsia"/>
          <w:b w:val="0"/>
          <w:bCs/>
          <w:sz w:val="20"/>
          <w:szCs w:val="20"/>
          <w:lang w:val="en-US" w:eastAsia="zh-CN"/>
        </w:rPr>
      </w:pPr>
      <w:r>
        <w:rPr>
          <w:rFonts w:hint="eastAsia"/>
          <w:b w:val="0"/>
          <w:bCs/>
          <w:sz w:val="20"/>
          <w:szCs w:val="20"/>
          <w:lang w:val="en-US" w:eastAsia="zh-CN"/>
        </w:rPr>
        <w:t xml:space="preserve">  </w:t>
      </w:r>
      <w:r>
        <w:rPr>
          <w:rFonts w:hint="default"/>
          <w:b w:val="0"/>
          <w:bCs/>
          <w:sz w:val="20"/>
          <w:szCs w:val="20"/>
          <w:lang w:val="en-US" w:eastAsia="zh-CN"/>
        </w:rPr>
        <w:drawing>
          <wp:inline distT="0" distB="0" distL="114300" distR="114300">
            <wp:extent cx="5271770" cy="5288280"/>
            <wp:effectExtent l="9525" t="9525" r="14605" b="10795"/>
            <wp:docPr id="5" name="图片 5" descr="Supplement Fig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 Fig.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8828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67D2158">
      <w:pPr>
        <w:rPr>
          <w:rFonts w:hint="eastAsia"/>
          <w:b w:val="0"/>
          <w:bCs/>
          <w:sz w:val="20"/>
          <w:szCs w:val="20"/>
          <w:lang w:val="en-US" w:eastAsia="zh-CN"/>
        </w:rPr>
      </w:pPr>
    </w:p>
    <w:p w14:paraId="170FB023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Fig</w:t>
      </w:r>
      <w:r>
        <w:rPr>
          <w:rStyle w:val="6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ure S5.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eastAsia="zh-CN"/>
        </w:rPr>
        <w:t>LPCRL</w:t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-MIB1-USP15 complex activates Notch signaling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pathway</w:t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.</w:t>
      </w:r>
      <w:r>
        <w:rPr>
          <w:rStyle w:val="6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(A-B)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Co-IP assay showing the interaction between MIB1 and DLL4 in SK-MES-1 (A) and NCI-H520 cells (B).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(C)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MIB1 protein levels in subcellular fractions from SK-MES-1 cells with or without transient USP15 overexpression.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(D)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Representative immunofluorescence images showing subcellular localization of MIB1 (green) in SK-MES-1 cells with or without transient USP15 overexpression; nuclei were counterstained with DAPI (blue). Scale bar: 20 µm.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 xml:space="preserve">(E)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Analysis of HES1 protein levels in LUSC and adjacent normal tissues using the CPTAC database.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(F)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Representative immunohistochemical (IHC) staining images of HES1 in clinical LUSC tissues and matched adjacent normal tissues.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(G)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HES1, PCNA, N-cadherin, and Vimentin protein levels in SK-MES-1 cells following HES1 knockdown (si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HES1).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(H)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Representative IHC staining images of HES1 in cisplatin-resistant and cisplatin-sensitive patient-derived xenograft (PDX) tissues; quantitative analysis of HES1 by H-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score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is shown (right panel). Scale bar: 20 µm.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(I)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γ-H2AX and cleaved PARP (c-PARP; an apoptosis marker) protein levels in SK-MES-1 cells with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HES1 knockdown (si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HES1) following 48-hour treatment with cisplatin (20 μM).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(J)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γ-H2AX and cleaved PARP (c-PARP; an apoptosis marker) protein levels in NCI-H520 cells stably overexpressing LPCRL (oeLPCRL) with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HES1 knockdown (si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HES1) following 48-hour treatment with cisplatin (20 μM).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  <w:t>(K)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Western blot analysis of Vimentin and PCNA protein levels in NCI-H520 cells stably overexpressing LPCRL (oeLPCRL) with HES1 knockdown (si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HES1).</w:t>
      </w:r>
    </w:p>
    <w:p w14:paraId="3C28E23C">
      <w:pPr>
        <w:rPr>
          <w:rFonts w:hint="default"/>
          <w:b w:val="0"/>
          <w:bCs/>
          <w:sz w:val="20"/>
          <w:szCs w:val="20"/>
          <w:lang w:val="en-US" w:eastAsia="zh-CN"/>
        </w:rPr>
      </w:pPr>
    </w:p>
    <w:p w14:paraId="537F5A3A">
      <w:pPr>
        <w:rPr>
          <w:rStyle w:val="6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271135" cy="2682240"/>
            <wp:effectExtent l="9525" t="9525" r="15240" b="13335"/>
            <wp:docPr id="6" name="图片 6" descr="Supplement Fig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 Fig.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224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3C6E8BF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76C3D377">
      <w:pP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2"/>
          <w:sz w:val="16"/>
          <w:szCs w:val="16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Fig</w:t>
      </w:r>
      <w:r>
        <w:rPr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ure S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6</w:t>
      </w:r>
      <w:r>
        <w:rPr>
          <w:rFonts w:hint="eastAsia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.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Therapeutic targeting of LPCRL in primary LUSC cells.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Primary LUSC cells were transfected with si-LPCRL or si-NC, followed by analysis via MTT, colony formation, flow cytometry, RT-qPCR, and western blot assays.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(A)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Apoptosis distribution was evaluated by flow cytometry after 24-hour cisplatin treatment (10 μM) using CytExpert software. Representative Annexin V-FITC/PI staining images and apoptotic rate quantification (right panel) are shown.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(B)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Cleaved PARP (c-PARP) and γ-H2AX protein levels were analyzed by western blot following 48-hour cisplatin treatment (4 μM).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(C–D)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MIB1 mRNA (C) and protein (D) levels were measured by RT-qPCR and western blot, respectively.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(E)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Endogenous interaction between MIB1 and USP15 in primary cells was detected by Co-IP.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(F)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 MIB1 protein levels in primary cells following USP15 knockdown (si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>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 xml:space="preserve">USP15 or siNC) or overexpression (USP15-expressing plasmid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(HA-USP15)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  <w:t>or empty vector) were analyzed by western blot.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  <w:lang w:val="en-US" w:eastAsia="zh-CN"/>
        </w:rPr>
        <w:t xml:space="preserve"> </w:t>
      </w:r>
    </w:p>
    <w:p w14:paraId="2B8E7A08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3B69F291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16"/>
          <w:szCs w:val="16"/>
          <w:shd w:val="clear" w:color="auto" w:fill="FFFFFF"/>
        </w:rPr>
      </w:pPr>
    </w:p>
    <w:p w14:paraId="1EEE0F6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3B2245"/>
    <w:rsid w:val="1EB467A8"/>
    <w:rsid w:val="1FA117A7"/>
    <w:rsid w:val="21C332F6"/>
    <w:rsid w:val="21DB05F4"/>
    <w:rsid w:val="24B33CFB"/>
    <w:rsid w:val="24DC5993"/>
    <w:rsid w:val="26BB1EFF"/>
    <w:rsid w:val="3612313C"/>
    <w:rsid w:val="37D75F26"/>
    <w:rsid w:val="3F070532"/>
    <w:rsid w:val="55A86046"/>
    <w:rsid w:val="5BAA621C"/>
    <w:rsid w:val="5C6D1388"/>
    <w:rsid w:val="62A532C0"/>
    <w:rsid w:val="6AFC57EB"/>
    <w:rsid w:val="6D5719CC"/>
    <w:rsid w:val="6E2A04BD"/>
    <w:rsid w:val="77175E05"/>
    <w:rsid w:val="7BF5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page number"/>
    <w:basedOn w:val="5"/>
    <w:unhideWhenUsed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1423</Words>
  <Characters>9590</Characters>
  <Lines>0</Lines>
  <Paragraphs>0</Paragraphs>
  <TotalTime>4</TotalTime>
  <ScaleCrop>false</ScaleCrop>
  <LinksUpToDate>false</LinksUpToDate>
  <CharactersWithSpaces>10928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2025-11-13T09:04:00Z</dcterms:created>
  <dc:creator>罗朋</dc:creator>
  <cp:lastModifiedBy>罗朋</cp:lastModifiedBy>
  <dcterms:modified xsi:type="dcterms:W3CDTF">2025-11-16T12:20:29Z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eyJoZGlkIjoiMjdiMWNlZWU4YmI1NGZhZGM1NzRiOTg2ZGJjNDAwZDUiLCJ1c2VySWQiOiI2NjAwNTQwMDAifQ==</vt:lpwstr>
  </property>
  <property fmtid="{D5CDD505-2E9C-101B-9397-08002B2CF9AE}" pid="4" name="ICV">
    <vt:lpwstr>F6360E5094A44AAF8A2DAD2B343AE165_13</vt:lpwstr>
  </property>
</Properties>
</file>