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1355" w14:textId="77777777" w:rsidR="00D51481" w:rsidRPr="00D51481" w:rsidRDefault="00D51481" w:rsidP="00D51481">
      <w:pPr>
        <w:spacing w:line="360" w:lineRule="auto"/>
        <w:rPr>
          <w:rFonts w:ascii="Times New Roman" w:eastAsia="Aptos" w:hAnsi="Times New Roman" w:cs="Times New Roman"/>
          <w:b/>
          <w:bCs/>
          <w:noProof/>
          <w:kern w:val="0"/>
          <w:sz w:val="20"/>
          <w:szCs w:val="20"/>
          <w14:ligatures w14:val="none"/>
        </w:rPr>
      </w:pPr>
      <w:r w:rsidRPr="00D51481">
        <w:rPr>
          <w:rFonts w:ascii="Times New Roman" w:eastAsia="Aptos" w:hAnsi="Times New Roman" w:cs="Times New Roman"/>
          <w:b/>
          <w:bCs/>
          <w:noProof/>
          <w:kern w:val="0"/>
          <w:sz w:val="20"/>
          <w:szCs w:val="20"/>
          <w14:ligatures w14:val="none"/>
        </w:rPr>
        <w:t>TITLE</w:t>
      </w:r>
    </w:p>
    <w:p w14:paraId="2EFC8822" w14:textId="77777777" w:rsidR="00D51481" w:rsidRPr="00D51481" w:rsidRDefault="00D51481" w:rsidP="00D51481">
      <w:pPr>
        <w:spacing w:after="0" w:line="360" w:lineRule="auto"/>
        <w:jc w:val="both"/>
        <w:rPr>
          <w:rFonts w:ascii="Times New Roman" w:eastAsia="Aptos" w:hAnsi="Times New Roman" w:cs="Times New Roman"/>
          <w:b/>
          <w:bCs/>
          <w:noProof/>
          <w:kern w:val="0"/>
          <w:sz w:val="20"/>
          <w:szCs w:val="20"/>
          <w14:ligatures w14:val="none"/>
        </w:rPr>
      </w:pPr>
      <w:r w:rsidRPr="00D51481">
        <w:rPr>
          <w:rFonts w:ascii="Times New Roman" w:eastAsia="Aptos" w:hAnsi="Times New Roman" w:cs="Times New Roman"/>
          <w:b/>
          <w:bCs/>
          <w:noProof/>
          <w:kern w:val="0"/>
          <w:sz w:val="20"/>
          <w:szCs w:val="20"/>
          <w14:ligatures w14:val="none"/>
        </w:rPr>
        <w:t>Novel methodology for the digital analysis of circulating tumor cells in ovarian cancer</w:t>
      </w:r>
    </w:p>
    <w:p w14:paraId="28FF5BB1" w14:textId="77777777" w:rsidR="00D51481" w:rsidRPr="00D51481" w:rsidRDefault="00D51481" w:rsidP="00D51481">
      <w:pPr>
        <w:spacing w:after="0" w:line="360" w:lineRule="auto"/>
        <w:ind w:left="118" w:right="90"/>
        <w:jc w:val="both"/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Abigél Mészáros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1,2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Dávid Kis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1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Péter Hunyadi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1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Szabolcs Máté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3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Ágnes Égető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3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Szilárd Tóth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4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Ines Lidia Haffaressas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4,5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András Füredi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4,6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Csaba Bödör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7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András Rókusz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7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János Rigó Jr.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3,8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, Orsolya Biró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1,2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 </w:t>
      </w:r>
    </w:p>
    <w:p w14:paraId="676D58E2" w14:textId="77777777" w:rsidR="00D51481" w:rsidRPr="00D51481" w:rsidRDefault="00D51481" w:rsidP="00D51481">
      <w:pPr>
        <w:spacing w:after="0" w:line="360" w:lineRule="auto"/>
        <w:ind w:left="118" w:right="90"/>
        <w:jc w:val="both"/>
        <w:rPr>
          <w:rFonts w:ascii="Times New Roman" w:eastAsia="Times New Roman" w:hAnsi="Times New Roman" w:cs="Times New Roman"/>
          <w:i/>
          <w:noProof/>
          <w:kern w:val="0"/>
          <w:sz w:val="20"/>
          <w:szCs w:val="20"/>
          <w14:ligatures w14:val="none"/>
        </w:rPr>
      </w:pP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1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 Clinomics Europe Ltd, Budapest, Hungary</w:t>
      </w:r>
    </w:p>
    <w:p w14:paraId="68F7D028" w14:textId="77777777" w:rsidR="00D51481" w:rsidRPr="00D51481" w:rsidRDefault="00D51481" w:rsidP="00D51481">
      <w:pPr>
        <w:spacing w:after="0" w:line="360" w:lineRule="auto"/>
        <w:ind w:left="118" w:right="90"/>
        <w:jc w:val="both"/>
        <w:rPr>
          <w:rFonts w:ascii="Times New Roman" w:eastAsia="Aptos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 xml:space="preserve">2 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Semmelweis University, Doctoral School, Department of Operative Medicine, Budapest, Hungary</w:t>
      </w:r>
    </w:p>
    <w:p w14:paraId="05F98A9E" w14:textId="77777777" w:rsidR="00D51481" w:rsidRPr="00D51481" w:rsidRDefault="00D51481" w:rsidP="00D51481">
      <w:pPr>
        <w:spacing w:after="0" w:line="360" w:lineRule="auto"/>
        <w:ind w:left="118" w:right="90"/>
        <w:jc w:val="both"/>
        <w:rPr>
          <w:rFonts w:ascii="Times New Roman" w:eastAsia="Aptos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 xml:space="preserve">3 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Semmelweis University, Faculty of Medicine, Department of Obstetrics and Gynaecology, Budapest, Hungary</w:t>
      </w:r>
    </w:p>
    <w:p w14:paraId="51477B15" w14:textId="77777777" w:rsidR="00D51481" w:rsidRPr="00D51481" w:rsidRDefault="00D51481" w:rsidP="00D51481">
      <w:pPr>
        <w:spacing w:after="0" w:line="360" w:lineRule="auto"/>
        <w:ind w:left="118" w:right="90"/>
        <w:jc w:val="both"/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 xml:space="preserve">4 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Drug Resistance Research Group, Institute of Enzymology, HUN-REN Research Centre for Natural Sciences, Budapest, Hungary</w:t>
      </w:r>
    </w:p>
    <w:p w14:paraId="3E49AA7F" w14:textId="77777777" w:rsidR="00D51481" w:rsidRPr="00D51481" w:rsidRDefault="00D51481" w:rsidP="00D51481">
      <w:pPr>
        <w:spacing w:after="0" w:line="360" w:lineRule="auto"/>
        <w:ind w:left="118" w:right="90"/>
        <w:jc w:val="both"/>
        <w:rPr>
          <w:rFonts w:ascii="Times New Roman" w:eastAsia="Aptos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D51481">
        <w:rPr>
          <w:rFonts w:ascii="Times New Roman" w:eastAsia="Aptos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5</w:t>
      </w:r>
      <w:r w:rsidRPr="00D51481">
        <w:rPr>
          <w:rFonts w:ascii="Times New Roman" w:eastAsia="Aptos" w:hAnsi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 Doctoral School of Biology, Institute of Biology, ELTE Eötvös Loránd University, 1117 Budapest Pázmány Péter sétány 1/C, Hungary</w:t>
      </w:r>
    </w:p>
    <w:p w14:paraId="2B1EAA1F" w14:textId="77777777" w:rsidR="00D51481" w:rsidRPr="00D51481" w:rsidRDefault="00D51481" w:rsidP="00D51481">
      <w:pPr>
        <w:spacing w:after="0" w:line="360" w:lineRule="auto"/>
        <w:ind w:left="118" w:right="90"/>
        <w:jc w:val="both"/>
        <w:rPr>
          <w:rFonts w:ascii="Times New Roman" w:eastAsia="Aptos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 xml:space="preserve">6 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Microsystems Laboratory, Institute of Technical Physics and Materials Science, HUN-REN Centre for Energy Research, Budapest, Hungary</w:t>
      </w:r>
    </w:p>
    <w:p w14:paraId="527134E3" w14:textId="77777777" w:rsidR="00D51481" w:rsidRPr="00D51481" w:rsidRDefault="00D51481" w:rsidP="00D51481">
      <w:pPr>
        <w:spacing w:after="0" w:line="360" w:lineRule="auto"/>
        <w:ind w:left="118" w:right="90"/>
        <w:jc w:val="both"/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7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 Semmelweis University,</w:t>
      </w:r>
      <w:r w:rsidRPr="00D51481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0"/>
          <w:szCs w:val="20"/>
          <w14:ligatures w14:val="none"/>
        </w:rPr>
        <w:t xml:space="preserve"> 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>Faculty of Medicine, Department of Pathology and Experimental Cancer Research</w:t>
      </w:r>
    </w:p>
    <w:p w14:paraId="5C06C932" w14:textId="77777777" w:rsidR="00D51481" w:rsidRPr="00D51481" w:rsidRDefault="00D51481" w:rsidP="00D51481">
      <w:pPr>
        <w:spacing w:after="0" w:line="360" w:lineRule="auto"/>
        <w:ind w:left="118" w:right="90"/>
        <w:jc w:val="both"/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  <w:t>8</w:t>
      </w:r>
      <w:r w:rsidRPr="00D51481"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  <w:t xml:space="preserve"> Semmelweis University, Faculty of Health Sciences, Department of Clinical Studies in Obstetrics and Gynaecology, Budapest, Hungary</w:t>
      </w:r>
    </w:p>
    <w:p w14:paraId="0B61701D" w14:textId="77777777" w:rsidR="00D51481" w:rsidRPr="00D51481" w:rsidRDefault="00D51481" w:rsidP="00D51481">
      <w:pPr>
        <w:spacing w:after="0" w:line="360" w:lineRule="auto"/>
        <w:ind w:left="118" w:right="90"/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14:ligatures w14:val="none"/>
        </w:rPr>
      </w:pPr>
    </w:p>
    <w:p w14:paraId="3416C00F" w14:textId="77777777" w:rsidR="00D51481" w:rsidRPr="00D51481" w:rsidRDefault="00D51481" w:rsidP="00D51481">
      <w:pPr>
        <w:spacing w:after="0" w:line="360" w:lineRule="auto"/>
        <w:ind w:left="118" w:right="90"/>
        <w:rPr>
          <w:rFonts w:ascii="Times New Roman" w:eastAsia="MS Mincho" w:hAnsi="Times New Roman" w:cs="Times New Roman"/>
          <w:noProof/>
          <w:kern w:val="0"/>
          <w:sz w:val="20"/>
          <w:szCs w:val="20"/>
          <w14:ligatures w14:val="none"/>
        </w:rPr>
      </w:pPr>
      <w:r w:rsidRPr="00D51481">
        <w:rPr>
          <w:rFonts w:ascii="Times New Roman" w:eastAsia="MS Mincho" w:hAnsi="Times New Roman" w:cs="Times New Roman"/>
          <w:noProof/>
          <w:kern w:val="0"/>
          <w:sz w:val="20"/>
          <w:szCs w:val="20"/>
          <w14:ligatures w14:val="none"/>
        </w:rPr>
        <w:t>Corresponding author:</w:t>
      </w:r>
    </w:p>
    <w:p w14:paraId="67D2C9C7" w14:textId="77777777" w:rsidR="00D51481" w:rsidRPr="00D51481" w:rsidRDefault="00D51481" w:rsidP="00D51481">
      <w:pPr>
        <w:spacing w:after="0" w:line="360" w:lineRule="auto"/>
        <w:ind w:left="118" w:right="90"/>
        <w:rPr>
          <w:rFonts w:ascii="Times New Roman" w:eastAsia="MS Mincho" w:hAnsi="Times New Roman" w:cs="Times New Roman"/>
          <w:noProof/>
          <w:kern w:val="0"/>
          <w:sz w:val="20"/>
          <w:szCs w:val="20"/>
          <w14:ligatures w14:val="none"/>
        </w:rPr>
      </w:pPr>
      <w:r w:rsidRPr="00D51481">
        <w:rPr>
          <w:rFonts w:ascii="Times New Roman" w:eastAsia="MS Mincho" w:hAnsi="Times New Roman" w:cs="Times New Roman"/>
          <w:noProof/>
          <w:kern w:val="0"/>
          <w:sz w:val="20"/>
          <w:szCs w:val="20"/>
          <w14:ligatures w14:val="none"/>
        </w:rPr>
        <w:t>Abigél Mészáros: balla.abigel@phd.semmelweis.hu</w:t>
      </w:r>
    </w:p>
    <w:p w14:paraId="1C93B854" w14:textId="77777777" w:rsidR="00D51481" w:rsidRPr="00D51481" w:rsidRDefault="00D51481" w:rsidP="00D51481">
      <w:pPr>
        <w:spacing w:after="0" w:line="360" w:lineRule="auto"/>
        <w:ind w:left="118" w:right="90"/>
        <w:rPr>
          <w:rFonts w:ascii="Times New Roman" w:eastAsia="MS Mincho" w:hAnsi="Times New Roman" w:cs="Times New Roman"/>
          <w:noProof/>
          <w:kern w:val="0"/>
          <w:sz w:val="20"/>
          <w:szCs w:val="20"/>
          <w14:ligatures w14:val="none"/>
        </w:rPr>
      </w:pPr>
      <w:r w:rsidRPr="00D51481">
        <w:rPr>
          <w:rFonts w:ascii="Times New Roman" w:eastAsia="MS Mincho" w:hAnsi="Times New Roman" w:cs="Times New Roman"/>
          <w:noProof/>
          <w:kern w:val="0"/>
          <w:sz w:val="20"/>
          <w:szCs w:val="20"/>
          <w14:ligatures w14:val="none"/>
        </w:rPr>
        <w:t>ORCID ID: 0009-0007-1738-0918</w:t>
      </w:r>
    </w:p>
    <w:p w14:paraId="6A132A9B" w14:textId="77777777" w:rsidR="00D51481" w:rsidRPr="00D51481" w:rsidRDefault="00D51481" w:rsidP="00D51481">
      <w:pPr>
        <w:spacing w:after="0" w:line="360" w:lineRule="auto"/>
        <w:ind w:left="118" w:right="90"/>
        <w:rPr>
          <w:rFonts w:ascii="Times New Roman" w:eastAsia="Times New Roman" w:hAnsi="Times New Roman" w:cs="Times New Roman"/>
          <w:i/>
          <w:iCs/>
          <w:noProof/>
          <w:kern w:val="0"/>
          <w:sz w:val="20"/>
          <w:szCs w:val="20"/>
          <w:vertAlign w:val="superscript"/>
          <w14:ligatures w14:val="none"/>
        </w:rPr>
      </w:pPr>
    </w:p>
    <w:p w14:paraId="21A1E90C" w14:textId="5A0CE745" w:rsidR="00D51481" w:rsidRDefault="00D51481">
      <w:r>
        <w:br w:type="page"/>
      </w:r>
    </w:p>
    <w:tbl>
      <w:tblPr>
        <w:tblW w:w="8520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420"/>
        <w:gridCol w:w="1380"/>
        <w:gridCol w:w="1480"/>
        <w:gridCol w:w="1520"/>
        <w:gridCol w:w="1300"/>
      </w:tblGrid>
      <w:tr w:rsidR="00D51481" w:rsidRPr="00D51481" w14:paraId="24695126" w14:textId="77777777" w:rsidTr="00D51481">
        <w:trPr>
          <w:trHeight w:val="45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B388404" w14:textId="77777777" w:rsidR="00D51481" w:rsidRPr="00D51481" w:rsidRDefault="00D51481" w:rsidP="00D514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lastRenderedPageBreak/>
              <w:t>Cell</w:t>
            </w:r>
            <w:proofErr w:type="spellEnd"/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line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122D31DF" w14:textId="77777777" w:rsidR="00D51481" w:rsidRPr="00D51481" w:rsidRDefault="00D51481" w:rsidP="00D514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EPCAM (</w:t>
            </w:r>
            <w:proofErr w:type="spellStart"/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nTPM</w:t>
            </w:r>
            <w:proofErr w:type="spellEnd"/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ADEF620" w14:textId="77777777" w:rsidR="00D51481" w:rsidRPr="00D51481" w:rsidRDefault="00D51481" w:rsidP="00D514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FOLR1 (</w:t>
            </w:r>
            <w:proofErr w:type="spellStart"/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nTPM</w:t>
            </w:r>
            <w:proofErr w:type="spellEnd"/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69519B9" w14:textId="77777777" w:rsidR="00D51481" w:rsidRPr="00D51481" w:rsidRDefault="00D51481" w:rsidP="00D514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WFDC2 (</w:t>
            </w:r>
            <w:proofErr w:type="spellStart"/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nTPM</w:t>
            </w:r>
            <w:proofErr w:type="spellEnd"/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2108777F" w14:textId="77777777" w:rsidR="00D51481" w:rsidRPr="00D51481" w:rsidRDefault="00D51481" w:rsidP="00D514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SLC34A2 (</w:t>
            </w:r>
            <w:proofErr w:type="spellStart"/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nTPM</w:t>
            </w:r>
            <w:proofErr w:type="spellEnd"/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CDCF9D5" w14:textId="77777777" w:rsidR="00D51481" w:rsidRPr="00D51481" w:rsidRDefault="00D51481" w:rsidP="00D514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PPIC (</w:t>
            </w:r>
            <w:proofErr w:type="spellStart"/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nTPM</w:t>
            </w:r>
            <w:proofErr w:type="spellEnd"/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) </w:t>
            </w:r>
          </w:p>
        </w:tc>
      </w:tr>
      <w:tr w:rsidR="00D51481" w:rsidRPr="00D51481" w14:paraId="2633160B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AE070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59M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12D62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3,20 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6FCD1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1,70 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DAD46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1,80 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D3DFC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0,10 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28DFA113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43,10 </w:t>
            </w:r>
          </w:p>
        </w:tc>
      </w:tr>
      <w:tr w:rsidR="00D51481" w:rsidRPr="00D51481" w14:paraId="02DE0960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E16A0F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CAOV3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32AE6E8F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468,90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68D424C3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38,90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2D932B40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316,00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F0AFF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0,50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4A859CD2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44,00 </w:t>
            </w:r>
          </w:p>
        </w:tc>
      </w:tr>
      <w:tr w:rsidR="00D51481" w:rsidRPr="00D51481" w14:paraId="7ABF7976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A4D44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CAOV4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5B12F5AE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338,50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01680C1A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39,10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0FA4E68A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1 244,80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442CEC3D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150,50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0A6FB6AB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142,30 </w:t>
            </w:r>
          </w:p>
        </w:tc>
      </w:tr>
      <w:tr w:rsidR="00D51481" w:rsidRPr="00D51481" w14:paraId="4D4D4FAE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A39EAD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COV318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060B219A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67,00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4C0BF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1,70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5B335B3E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223,90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5C403D1A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16,90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2774F7A5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97,50 </w:t>
            </w:r>
          </w:p>
        </w:tc>
      </w:tr>
      <w:tr w:rsidR="00D51481" w:rsidRPr="00D51481" w14:paraId="7D5376F6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69EC7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COV362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75360697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43,60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7C7F1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8,50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23AE3069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75,80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6C83E709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15,10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1B433BA2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15,30 </w:t>
            </w:r>
          </w:p>
        </w:tc>
      </w:tr>
      <w:tr w:rsidR="00D51481" w:rsidRPr="00D51481" w14:paraId="610C0D72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7B5A7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KURAMOCHI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70D08BED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42,20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0B94EF26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12,70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6BA73595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881,30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08BF787D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99,90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347E017E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33,50 </w:t>
            </w:r>
          </w:p>
        </w:tc>
      </w:tr>
      <w:tr w:rsidR="00D51481" w:rsidRPr="00D51481" w14:paraId="4EE9DF9D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CC3FA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OAW28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35A7276F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1 233,80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68A0B074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133,60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779E37E4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1 055,10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0BD3194C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180,50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3C7E28A4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32,90 </w:t>
            </w:r>
          </w:p>
        </w:tc>
      </w:tr>
      <w:tr w:rsidR="00D51481" w:rsidRPr="00D51481" w14:paraId="18CD724D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4612C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OV90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5D80DEB3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870,00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33EC73D6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102,00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4A76C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1,00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78312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2,00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5AAC2327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71,60 </w:t>
            </w:r>
          </w:p>
        </w:tc>
      </w:tr>
      <w:tr w:rsidR="00D51481" w:rsidRPr="00D51481" w14:paraId="74C92B08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A6B35D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OVSAHO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423BC3E3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179,40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09D6B1C9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886,20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0C6F2917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5 177,90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1F880C42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113,60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414AFC98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78,60 </w:t>
            </w:r>
          </w:p>
        </w:tc>
      </w:tr>
      <w:tr w:rsidR="00D51481" w:rsidRPr="00D51481" w14:paraId="4F97869E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84CD9C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PEO1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55D0D5AD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349,40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F4A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3662D3DF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84,80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6F1A0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0,30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031E8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9,20 </w:t>
            </w:r>
          </w:p>
        </w:tc>
      </w:tr>
      <w:tr w:rsidR="00D51481" w:rsidRPr="00D51481" w14:paraId="28111D4A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446A0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OVCAR3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3BE618D4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276,00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05535969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22,80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6999B3D6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779,30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4894F667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594,10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15BDA935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75,60 </w:t>
            </w:r>
          </w:p>
        </w:tc>
      </w:tr>
      <w:tr w:rsidR="00D51481" w:rsidRPr="00D51481" w14:paraId="3CD1FBAD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D5ADA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OVCAR4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36B33529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421,00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140B492D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61,30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100310AD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366,10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60A381B5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362,30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7BB3D3D1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157,90 </w:t>
            </w:r>
          </w:p>
        </w:tc>
      </w:tr>
      <w:tr w:rsidR="00D51481" w:rsidRPr="00D51481" w14:paraId="6FB76385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0F456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OVCAR5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459A74F0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651,30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5184F207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23,90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7445E463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1 428,60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78EBF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1,20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120BF4B4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77,50 </w:t>
            </w:r>
          </w:p>
        </w:tc>
      </w:tr>
      <w:tr w:rsidR="00D51481" w:rsidRPr="00D51481" w14:paraId="5FBBAD8B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1E61E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OVCAR8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5195F007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16,80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0026224D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13,50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E8AB6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3,60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C3E70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2F941A24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25,80 </w:t>
            </w:r>
          </w:p>
        </w:tc>
      </w:tr>
      <w:tr w:rsidR="00D51481" w:rsidRPr="00D51481" w14:paraId="06ACD026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D9EDD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FUOV1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45C4574E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63,60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18562F11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20,90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3D586FF3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182,60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B8FC7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6,80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1057783F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55,40 </w:t>
            </w:r>
          </w:p>
        </w:tc>
      </w:tr>
      <w:tr w:rsidR="00D51481" w:rsidRPr="00D51481" w14:paraId="1E2D11A1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9EB51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JHOS2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2D854E08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304,20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6E0F46F2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486,80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5B219B0A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349,30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5A27B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5,90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117705FA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134,20 </w:t>
            </w:r>
          </w:p>
        </w:tc>
      </w:tr>
      <w:tr w:rsidR="00D51481" w:rsidRPr="00D51481" w14:paraId="676C89B9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9FDBE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JHOS4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14583AF7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422,20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17DAE083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236,30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42E3BFB5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517,00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363E4C7C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236,60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0F0900B3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57,50 </w:t>
            </w:r>
          </w:p>
        </w:tc>
      </w:tr>
      <w:tr w:rsidR="00D51481" w:rsidRPr="00D51481" w14:paraId="587DF08D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C6EF9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SNU119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0E6A2E76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601,00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1A851CD7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51,10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7FB031E1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214,30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25767369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418,50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4C36418F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92,50 </w:t>
            </w:r>
          </w:p>
        </w:tc>
      </w:tr>
      <w:tr w:rsidR="00D51481" w:rsidRPr="00D51481" w14:paraId="2749D76D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236BF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TYKNU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B4250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0,50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B387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>0,1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3324A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>0,3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CF841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714CB85E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57,60 </w:t>
            </w:r>
          </w:p>
        </w:tc>
      </w:tr>
      <w:tr w:rsidR="00D51481" w:rsidRPr="00D51481" w14:paraId="3CE96E58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A2C04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ONCODG1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0AD770DF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308,30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0611BF35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76,40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71E0FD76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978,60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5F689452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486,20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4A0F02C0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80,10 </w:t>
            </w:r>
          </w:p>
        </w:tc>
      </w:tr>
      <w:tr w:rsidR="00D51481" w:rsidRPr="00D51481" w14:paraId="0E303B7F" w14:textId="77777777" w:rsidTr="00D51481">
        <w:trPr>
          <w:trHeight w:val="30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B03B4" w14:textId="77777777" w:rsidR="00D51481" w:rsidRPr="00D51481" w:rsidRDefault="00D51481" w:rsidP="00D5148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OVKATE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0D09F326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322,30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51C1BBB7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836,70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104B3D31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854,00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EA72E"/>
            <w:vAlign w:val="center"/>
            <w:hideMark/>
          </w:tcPr>
          <w:p w14:paraId="31772EE2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414,70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14:paraId="444E62C7" w14:textId="77777777" w:rsidR="00D51481" w:rsidRPr="00D51481" w:rsidRDefault="00D51481" w:rsidP="00D5148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51481">
              <w:rPr>
                <w:rFonts w:ascii="Aptos Narrow" w:eastAsia="Times New Roman" w:hAnsi="Aptos Narrow" w:cs="Times New Roman"/>
                <w:color w:val="1B1B1B"/>
                <w:kern w:val="0"/>
                <w:sz w:val="20"/>
                <w:szCs w:val="20"/>
                <w:lang w:eastAsia="hu-HU"/>
                <w14:ligatures w14:val="none"/>
              </w:rPr>
              <w:t xml:space="preserve"> 79,70 </w:t>
            </w:r>
          </w:p>
        </w:tc>
      </w:tr>
    </w:tbl>
    <w:p w14:paraId="3C1119CF" w14:textId="77777777" w:rsidR="00D51481" w:rsidRDefault="00D51481"/>
    <w:p w14:paraId="3D7206B9" w14:textId="70722B78" w:rsidR="00D51481" w:rsidRPr="00D51481" w:rsidRDefault="00D51481" w:rsidP="00D5148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51481">
        <w:rPr>
          <w:rFonts w:ascii="Times New Roman" w:hAnsi="Times New Roman" w:cs="Times New Roman"/>
          <w:b/>
          <w:bCs/>
          <w:sz w:val="20"/>
          <w:szCs w:val="20"/>
        </w:rPr>
        <w:t>Supplementary</w:t>
      </w:r>
      <w:proofErr w:type="spellEnd"/>
      <w:r w:rsidRPr="00D5148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D51481">
        <w:rPr>
          <w:rFonts w:ascii="Times New Roman" w:hAnsi="Times New Roman" w:cs="Times New Roman"/>
          <w:b/>
          <w:bCs/>
          <w:sz w:val="20"/>
          <w:szCs w:val="20"/>
        </w:rPr>
        <w:t>nformation</w:t>
      </w:r>
      <w:proofErr w:type="spellEnd"/>
      <w:r w:rsidRPr="00D5148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51481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Gene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expression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4-marker panel in HGSOC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cell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lines. HGSOC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cell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lines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selected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based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Mei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et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al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. (2021) and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available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RNA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expression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data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selected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genes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Human Protein Atlas. Low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moderate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expression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(10–100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nTPM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indicated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light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green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while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expression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(≥100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nTPM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indicated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dark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green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nTPM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>
        <w:rPr>
          <w:rFonts w:ascii="Times New Roman" w:hAnsi="Times New Roman" w:cs="Times New Roman"/>
          <w:sz w:val="20"/>
          <w:szCs w:val="20"/>
        </w:rPr>
        <w:t>normalised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transcr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ipts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 xml:space="preserve"> per </w:t>
      </w:r>
      <w:proofErr w:type="spellStart"/>
      <w:r w:rsidRPr="00D51481">
        <w:rPr>
          <w:rFonts w:ascii="Times New Roman" w:hAnsi="Times New Roman" w:cs="Times New Roman"/>
          <w:sz w:val="20"/>
          <w:szCs w:val="20"/>
        </w:rPr>
        <w:t>million</w:t>
      </w:r>
      <w:proofErr w:type="spellEnd"/>
      <w:r w:rsidRPr="00D51481">
        <w:rPr>
          <w:rFonts w:ascii="Times New Roman" w:hAnsi="Times New Roman" w:cs="Times New Roman"/>
          <w:sz w:val="20"/>
          <w:szCs w:val="20"/>
        </w:rPr>
        <w:t>.</w:t>
      </w:r>
    </w:p>
    <w:sectPr w:rsidR="00D51481" w:rsidRPr="00D51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81"/>
    <w:rsid w:val="00533BC6"/>
    <w:rsid w:val="00D5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E67E9"/>
  <w15:chartTrackingRefBased/>
  <w15:docId w15:val="{19B9FC89-091F-4656-9DC1-84525AFD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51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1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51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1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51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51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51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51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51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1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1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51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148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5148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5148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5148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5148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5148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51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1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1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51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51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5148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5148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5148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1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148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514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D404B6990745B4C8BB35D34AA1C63D3" ma:contentTypeVersion="14" ma:contentTypeDescription="Új dokumentum létrehozása." ma:contentTypeScope="" ma:versionID="a32f84e8a159d5bc2fe7a91e25ce1a05">
  <xsd:schema xmlns:xsd="http://www.w3.org/2001/XMLSchema" xmlns:xs="http://www.w3.org/2001/XMLSchema" xmlns:p="http://schemas.microsoft.com/office/2006/metadata/properties" xmlns:ns2="9486640a-acba-4620-9131-f6398fe1c021" xmlns:ns3="bf2f5740-a55e-4777-82a7-c92749224aa0" targetNamespace="http://schemas.microsoft.com/office/2006/metadata/properties" ma:root="true" ma:fieldsID="eee710f0ae7b274e9c4b38780af5f5a2" ns2:_="" ns3:_="">
    <xsd:import namespace="9486640a-acba-4620-9131-f6398fe1c021"/>
    <xsd:import namespace="bf2f5740-a55e-4777-82a7-c92749224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640a-acba-4620-9131-f6398fe1c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e3924c5-b89e-409c-b26a-74d04ede1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5740-a55e-4777-82a7-c92749224a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2fd3ff-000b-4e8f-a896-9526d281f0bb}" ma:internalName="TaxCatchAll" ma:showField="CatchAllData" ma:web="bf2f5740-a55e-4777-82a7-c92749224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6640a-acba-4620-9131-f6398fe1c021">
      <Terms xmlns="http://schemas.microsoft.com/office/infopath/2007/PartnerControls"/>
    </lcf76f155ced4ddcb4097134ff3c332f>
    <TaxCatchAll xmlns="bf2f5740-a55e-4777-82a7-c92749224aa0" xsi:nil="true"/>
  </documentManagement>
</p:properties>
</file>

<file path=customXml/itemProps1.xml><?xml version="1.0" encoding="utf-8"?>
<ds:datastoreItem xmlns:ds="http://schemas.openxmlformats.org/officeDocument/2006/customXml" ds:itemID="{D2423956-A1D9-413A-BE64-C61F4281F5E7}"/>
</file>

<file path=customXml/itemProps2.xml><?xml version="1.0" encoding="utf-8"?>
<ds:datastoreItem xmlns:ds="http://schemas.openxmlformats.org/officeDocument/2006/customXml" ds:itemID="{4B4C7D23-9836-4FCE-B54F-D5189AACA619}"/>
</file>

<file path=customXml/itemProps3.xml><?xml version="1.0" encoding="utf-8"?>
<ds:datastoreItem xmlns:ds="http://schemas.openxmlformats.org/officeDocument/2006/customXml" ds:itemID="{78460CA7-AE80-4BF0-B828-E01674BD42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2193</Characters>
  <Application>Microsoft Office Word</Application>
  <DocSecurity>0</DocSecurity>
  <Lines>164</Lines>
  <Paragraphs>147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Abigél Balla</dc:creator>
  <cp:keywords/>
  <dc:description/>
  <cp:lastModifiedBy>Abigél Balla</cp:lastModifiedBy>
  <cp:revision>1</cp:revision>
  <dcterms:created xsi:type="dcterms:W3CDTF">2025-10-31T11:33:00Z</dcterms:created>
  <dcterms:modified xsi:type="dcterms:W3CDTF">2025-10-31T11:36:00Z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58d2cdb8-15ff-4b91-9b51-c9c026fd048d</vt:lpwstr>
  </property>
  <property fmtid="{D5CDD505-2E9C-101B-9397-08002B2CF9AE}" pid="3" name="ContentTypeId">
    <vt:lpwstr>0x0101002D404B6990745B4C8BB35D34AA1C63D3</vt:lpwstr>
  </property>
</Properties>
</file>