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201535"/>
            <wp:effectExtent l="0" t="0" r="5080" b="6985"/>
            <wp:docPr id="1" name="图片 1" descr="su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Supplementary Figure 1.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Individual receiver operating characteristic (ROC) curves for each model on the independent test set (n = 53). Panels A–F correspond to KNN, Logistic Regression, Multilayer Perceptron (Neural Network), Random Forest, SVM and XGBoost, respectively. AUC values are shown on each panel.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2025-08-13T07:18:58Z</dcterms:created>
  <dc:creator>zhu</dc:creator>
  <cp:lastModifiedBy>&amp;</cp:lastModifiedBy>
  <dcterms:modified xsi:type="dcterms:W3CDTF">2025-08-13T07:27:01Z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eyJoZGlkIjoiMDRmZDM2ZDg5ODc1ZDc2ZGEwZGYwZjc1M2Q1OTU3YTAiLCJ1c2VySWQiOiI1NDk5MzIzNDUifQ==</vt:lpwstr>
  </property>
  <property fmtid="{D5CDD505-2E9C-101B-9397-08002B2CF9AE}" pid="4" name="ICV">
    <vt:lpwstr>19B962679AB24DC8AD2071C9CA201495_12</vt:lpwstr>
  </property>
</Properties>
</file>