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8CBCA" w14:textId="733884F2" w:rsidR="00AC0D58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 legends</w:t>
      </w:r>
    </w:p>
    <w:p w14:paraId="17774B1A" w14:textId="2C0E6295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 xml:space="preserve">Supplemental figure 1. Expression of candidate genes during </w:t>
      </w:r>
      <w:proofErr w:type="spellStart"/>
      <w:r w:rsidRPr="002D0C95">
        <w:rPr>
          <w:rFonts w:ascii="Times New Roman" w:hAnsi="Times New Roman" w:cs="Times New Roman"/>
          <w:b/>
          <w:bCs/>
        </w:rPr>
        <w:t>hASC</w:t>
      </w:r>
      <w:proofErr w:type="spellEnd"/>
      <w:r w:rsidRPr="002D0C95">
        <w:rPr>
          <w:rFonts w:ascii="Times New Roman" w:hAnsi="Times New Roman" w:cs="Times New Roman"/>
          <w:b/>
          <w:bCs/>
        </w:rPr>
        <w:t xml:space="preserve"> differentiation </w:t>
      </w:r>
      <w:r w:rsidRPr="002D0C95">
        <w:rPr>
          <w:rFonts w:ascii="Times New Roman" w:hAnsi="Times New Roman" w:cs="Times New Roman"/>
          <w:b/>
          <w:bCs/>
          <w:i/>
          <w:iCs/>
        </w:rPr>
        <w:t>in vitro</w:t>
      </w:r>
      <w:r w:rsidRPr="002D0C95">
        <w:rPr>
          <w:rFonts w:ascii="Times New Roman" w:hAnsi="Times New Roman" w:cs="Times New Roman"/>
          <w:b/>
          <w:bCs/>
        </w:rPr>
        <w:t xml:space="preserve">. </w:t>
      </w:r>
      <w:r w:rsidRPr="002D0C95">
        <w:rPr>
          <w:rFonts w:ascii="Times New Roman" w:hAnsi="Times New Roman" w:cs="Times New Roman"/>
        </w:rPr>
        <w:t xml:space="preserve">Data retrieved From the FANTOM5 dataset (http://fantom.gsc.riken.jp/5/).  </w:t>
      </w:r>
    </w:p>
    <w:p w14:paraId="5688E0D6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>a.</w:t>
      </w:r>
      <w:r w:rsidRPr="002D0C95">
        <w:rPr>
          <w:rFonts w:ascii="Times New Roman" w:hAnsi="Times New Roman" w:cs="Times New Roman"/>
        </w:rPr>
        <w:t xml:space="preserve"> Expression of genes from BMI-loci.</w:t>
      </w:r>
    </w:p>
    <w:p w14:paraId="5C265B04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>b.</w:t>
      </w:r>
      <w:r w:rsidRPr="002D0C95">
        <w:rPr>
          <w:rFonts w:ascii="Times New Roman" w:hAnsi="Times New Roman" w:cs="Times New Roman"/>
        </w:rPr>
        <w:t xml:space="preserve"> Expression of genes from </w:t>
      </w:r>
      <w:proofErr w:type="spellStart"/>
      <w:r w:rsidRPr="002D0C95">
        <w:rPr>
          <w:rFonts w:ascii="Times New Roman" w:hAnsi="Times New Roman" w:cs="Times New Roman"/>
        </w:rPr>
        <w:t>WHRadjBMI</w:t>
      </w:r>
      <w:proofErr w:type="spellEnd"/>
      <w:r w:rsidRPr="002D0C95">
        <w:rPr>
          <w:rFonts w:ascii="Times New Roman" w:hAnsi="Times New Roman" w:cs="Times New Roman"/>
        </w:rPr>
        <w:t xml:space="preserve"> loci. </w:t>
      </w:r>
    </w:p>
    <w:p w14:paraId="467E8A29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</w:rPr>
        <w:t xml:space="preserve">Expression of relatively highly expressed genes </w:t>
      </w:r>
      <w:r w:rsidRPr="002D0C95">
        <w:rPr>
          <w:rFonts w:ascii="Times New Roman" w:hAnsi="Times New Roman" w:cs="Times New Roman"/>
          <w:i/>
          <w:iCs/>
        </w:rPr>
        <w:t>ZNF436, PEMT</w:t>
      </w:r>
      <w:r w:rsidRPr="002D0C95">
        <w:rPr>
          <w:rFonts w:ascii="Times New Roman" w:hAnsi="Times New Roman" w:cs="Times New Roman"/>
        </w:rPr>
        <w:t xml:space="preserve"> and </w:t>
      </w:r>
      <w:r w:rsidRPr="002D0C95">
        <w:rPr>
          <w:rFonts w:ascii="Times New Roman" w:hAnsi="Times New Roman" w:cs="Times New Roman"/>
          <w:i/>
          <w:iCs/>
        </w:rPr>
        <w:t>PCK1</w:t>
      </w:r>
      <w:r w:rsidRPr="002D0C95">
        <w:rPr>
          <w:rFonts w:ascii="Times New Roman" w:hAnsi="Times New Roman" w:cs="Times New Roman"/>
        </w:rPr>
        <w:t xml:space="preserve"> genes were divided by 10 to facilitate visualization in the same graph. Tracks indicate normalized counts as TPM (tags per million).</w:t>
      </w:r>
    </w:p>
    <w:p w14:paraId="7F871B56" w14:textId="77777777" w:rsidR="00AC0D58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7D30A747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4E8E4481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 xml:space="preserve">Supplemental figure 2. </w:t>
      </w:r>
      <w:r w:rsidRPr="002D0C95">
        <w:rPr>
          <w:rFonts w:ascii="Times New Roman" w:hAnsi="Times New Roman" w:cs="Times New Roman"/>
          <w:b/>
          <w:bCs/>
          <w:lang w:val="en-US"/>
        </w:rPr>
        <w:t xml:space="preserve">Effects of RNA interference-mediated knock-down of candidate genes in human adipose-derived stem cells </w:t>
      </w:r>
      <w:proofErr w:type="spellStart"/>
      <w:r w:rsidRPr="002D0C95">
        <w:rPr>
          <w:rFonts w:ascii="Times New Roman" w:hAnsi="Times New Roman" w:cs="Times New Roman"/>
          <w:lang w:val="en-US"/>
        </w:rPr>
        <w:t>hASCs</w:t>
      </w:r>
      <w:proofErr w:type="spellEnd"/>
      <w:r w:rsidRPr="002D0C95">
        <w:rPr>
          <w:rFonts w:ascii="Times New Roman" w:hAnsi="Times New Roman" w:cs="Times New Roman"/>
          <w:lang w:val="en-US"/>
        </w:rPr>
        <w:t xml:space="preserve"> were transfected with control siRNA (</w:t>
      </w:r>
      <w:proofErr w:type="spellStart"/>
      <w:r w:rsidRPr="002D0C95">
        <w:rPr>
          <w:rFonts w:ascii="Times New Roman" w:hAnsi="Times New Roman" w:cs="Times New Roman"/>
          <w:lang w:val="en-US"/>
        </w:rPr>
        <w:t>siNegC</w:t>
      </w:r>
      <w:proofErr w:type="spellEnd"/>
      <w:r w:rsidRPr="002D0C95">
        <w:rPr>
          <w:rFonts w:ascii="Times New Roman" w:hAnsi="Times New Roman" w:cs="Times New Roman"/>
          <w:lang w:val="en-US"/>
        </w:rPr>
        <w:t>) or indicated siRNAs targeting specific genes (</w:t>
      </w:r>
      <w:r w:rsidRPr="002D0C95">
        <w:rPr>
          <w:rFonts w:ascii="Times New Roman" w:hAnsi="Times New Roman" w:cs="Times New Roman"/>
          <w:i/>
          <w:iCs/>
          <w:lang w:val="en-US"/>
        </w:rPr>
        <w:t>WARS2, TBX15</w:t>
      </w:r>
      <w:r w:rsidRPr="002D0C95">
        <w:rPr>
          <w:rFonts w:ascii="Times New Roman" w:hAnsi="Times New Roman" w:cs="Times New Roman"/>
          <w:lang w:val="en-US"/>
        </w:rPr>
        <w:t xml:space="preserve">, </w:t>
      </w:r>
      <w:r w:rsidRPr="002D0C95">
        <w:rPr>
          <w:rFonts w:ascii="Times New Roman" w:hAnsi="Times New Roman" w:cs="Times New Roman"/>
          <w:i/>
          <w:iCs/>
          <w:lang w:val="en-US"/>
        </w:rPr>
        <w:t xml:space="preserve">INVS, PCK1, EBPL, NID2, MRPS7, GRB2 </w:t>
      </w:r>
      <w:r w:rsidRPr="002D0C95">
        <w:rPr>
          <w:rFonts w:ascii="Times New Roman" w:hAnsi="Times New Roman" w:cs="Times New Roman"/>
          <w:lang w:val="en-US"/>
        </w:rPr>
        <w:t xml:space="preserve">and </w:t>
      </w:r>
      <w:r w:rsidRPr="002D0C95">
        <w:rPr>
          <w:rFonts w:ascii="Times New Roman" w:hAnsi="Times New Roman" w:cs="Times New Roman"/>
          <w:i/>
          <w:iCs/>
          <w:lang w:val="en-US"/>
        </w:rPr>
        <w:t>PEMT</w:t>
      </w:r>
      <w:r w:rsidRPr="002D0C95">
        <w:rPr>
          <w:rFonts w:ascii="Times New Roman" w:hAnsi="Times New Roman" w:cs="Times New Roman"/>
          <w:lang w:val="en-US"/>
        </w:rPr>
        <w:t xml:space="preserve">) and followed until differentiation day 6 and 9, upon which the expression of target genes and </w:t>
      </w:r>
      <w:r w:rsidRPr="002D0C95">
        <w:rPr>
          <w:rFonts w:ascii="Times New Roman" w:hAnsi="Times New Roman" w:cs="Times New Roman"/>
          <w:i/>
          <w:iCs/>
          <w:lang w:val="en-US"/>
        </w:rPr>
        <w:t>LIPE, PLIN1, PNPLA2</w:t>
      </w:r>
      <w:r w:rsidRPr="002D0C95">
        <w:rPr>
          <w:rFonts w:ascii="Times New Roman" w:hAnsi="Times New Roman" w:cs="Times New Roman"/>
          <w:lang w:val="en-US"/>
        </w:rPr>
        <w:t xml:space="preserve"> and </w:t>
      </w:r>
      <w:r w:rsidRPr="002D0C95">
        <w:rPr>
          <w:rFonts w:ascii="Times New Roman" w:hAnsi="Times New Roman" w:cs="Times New Roman"/>
          <w:i/>
          <w:iCs/>
          <w:lang w:val="en-US"/>
        </w:rPr>
        <w:t>ADIPOQ</w:t>
      </w:r>
      <w:r w:rsidRPr="002D0C95">
        <w:rPr>
          <w:rFonts w:ascii="Times New Roman" w:hAnsi="Times New Roman" w:cs="Times New Roman"/>
          <w:lang w:val="en-US"/>
        </w:rPr>
        <w:t xml:space="preserve"> (for </w:t>
      </w:r>
      <w:r w:rsidRPr="002D0C95">
        <w:rPr>
          <w:rFonts w:ascii="Times New Roman" w:hAnsi="Times New Roman" w:cs="Times New Roman"/>
          <w:i/>
          <w:iCs/>
          <w:lang w:val="en-US"/>
        </w:rPr>
        <w:t>TBX15</w:t>
      </w:r>
      <w:r w:rsidRPr="002D0C95">
        <w:rPr>
          <w:rFonts w:ascii="Times New Roman" w:hAnsi="Times New Roman" w:cs="Times New Roman"/>
          <w:lang w:val="en-US"/>
        </w:rPr>
        <w:t xml:space="preserve">, </w:t>
      </w:r>
      <w:r w:rsidRPr="002D0C95">
        <w:rPr>
          <w:rFonts w:ascii="Times New Roman" w:hAnsi="Times New Roman" w:cs="Times New Roman"/>
          <w:i/>
          <w:iCs/>
          <w:lang w:val="en-US"/>
        </w:rPr>
        <w:t>PCK1</w:t>
      </w:r>
      <w:r w:rsidRPr="002D0C95">
        <w:rPr>
          <w:rFonts w:ascii="Times New Roman" w:hAnsi="Times New Roman" w:cs="Times New Roman"/>
          <w:lang w:val="en-US"/>
        </w:rPr>
        <w:t xml:space="preserve">, </w:t>
      </w:r>
      <w:r w:rsidRPr="002D0C95">
        <w:rPr>
          <w:rFonts w:ascii="Times New Roman" w:hAnsi="Times New Roman" w:cs="Times New Roman"/>
          <w:i/>
          <w:iCs/>
          <w:lang w:val="en-US"/>
        </w:rPr>
        <w:t>NID2</w:t>
      </w:r>
      <w:r w:rsidRPr="002D0C95">
        <w:rPr>
          <w:rFonts w:ascii="Times New Roman" w:hAnsi="Times New Roman" w:cs="Times New Roman"/>
          <w:lang w:val="en-US"/>
        </w:rPr>
        <w:t xml:space="preserve">, </w:t>
      </w:r>
      <w:r w:rsidRPr="002D0C95">
        <w:rPr>
          <w:rFonts w:ascii="Times New Roman" w:hAnsi="Times New Roman" w:cs="Times New Roman"/>
          <w:i/>
          <w:iCs/>
          <w:lang w:val="en-US"/>
        </w:rPr>
        <w:t>GRB2</w:t>
      </w:r>
      <w:r w:rsidRPr="002D0C95">
        <w:rPr>
          <w:rFonts w:ascii="Times New Roman" w:hAnsi="Times New Roman" w:cs="Times New Roman"/>
          <w:lang w:val="en-US"/>
        </w:rPr>
        <w:t xml:space="preserve">) was monitored. Relative gene expression was normalized to the reference gene </w:t>
      </w:r>
      <w:r w:rsidRPr="002D0C95">
        <w:rPr>
          <w:rFonts w:ascii="Times New Roman" w:hAnsi="Times New Roman" w:cs="Times New Roman"/>
          <w:i/>
          <w:iCs/>
          <w:lang w:val="en-US"/>
        </w:rPr>
        <w:t>18s</w:t>
      </w:r>
      <w:r w:rsidRPr="002D0C95">
        <w:rPr>
          <w:rFonts w:ascii="Times New Roman" w:hAnsi="Times New Roman" w:cs="Times New Roman"/>
          <w:lang w:val="en-US"/>
        </w:rPr>
        <w:t>. Results were analyzed using t-test and presented as fold change ± SD relative to control siRNA (</w:t>
      </w:r>
      <w:proofErr w:type="spellStart"/>
      <w:r w:rsidRPr="002D0C95">
        <w:rPr>
          <w:rFonts w:ascii="Times New Roman" w:hAnsi="Times New Roman" w:cs="Times New Roman"/>
          <w:lang w:val="en-US"/>
        </w:rPr>
        <w:t>NegC</w:t>
      </w:r>
      <w:proofErr w:type="spellEnd"/>
      <w:r w:rsidRPr="002D0C95">
        <w:rPr>
          <w:rFonts w:ascii="Times New Roman" w:hAnsi="Times New Roman" w:cs="Times New Roman"/>
          <w:lang w:val="en-US"/>
        </w:rPr>
        <w:t xml:space="preserve">) of corresponding time point (n=6, for </w:t>
      </w:r>
      <w:r w:rsidRPr="002D0C95">
        <w:rPr>
          <w:rFonts w:ascii="Times New Roman" w:hAnsi="Times New Roman" w:cs="Times New Roman"/>
          <w:i/>
          <w:iCs/>
          <w:lang w:val="en-US"/>
        </w:rPr>
        <w:t>PCK1</w:t>
      </w:r>
      <w:r w:rsidRPr="002D0C95">
        <w:rPr>
          <w:rFonts w:ascii="Times New Roman" w:hAnsi="Times New Roman" w:cs="Times New Roman"/>
          <w:lang w:val="en-US"/>
        </w:rPr>
        <w:t xml:space="preserve"> n=8). ***P &lt; 0.005, **P &lt; 0.01, *P &lt; 0.05. </w:t>
      </w:r>
    </w:p>
    <w:p w14:paraId="42E6F07D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30A4CD45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 xml:space="preserve">Supplemental figure 3. </w:t>
      </w:r>
      <w:r w:rsidRPr="002D0C95">
        <w:rPr>
          <w:rFonts w:ascii="Times New Roman" w:hAnsi="Times New Roman" w:cs="Times New Roman"/>
        </w:rPr>
        <w:t xml:space="preserve">Expression of </w:t>
      </w:r>
      <w:r w:rsidRPr="002D0C95">
        <w:rPr>
          <w:rFonts w:ascii="Times New Roman" w:hAnsi="Times New Roman" w:cs="Times New Roman"/>
          <w:i/>
          <w:iCs/>
        </w:rPr>
        <w:t>MGLL</w:t>
      </w:r>
      <w:r w:rsidRPr="002D0C95">
        <w:rPr>
          <w:rFonts w:ascii="Times New Roman" w:hAnsi="Times New Roman" w:cs="Times New Roman"/>
        </w:rPr>
        <w:t xml:space="preserve">, </w:t>
      </w:r>
      <w:r w:rsidRPr="002D0C95">
        <w:rPr>
          <w:rFonts w:ascii="Times New Roman" w:hAnsi="Times New Roman" w:cs="Times New Roman"/>
          <w:i/>
          <w:iCs/>
        </w:rPr>
        <w:t>PNPLA3</w:t>
      </w:r>
      <w:r w:rsidRPr="002D0C95">
        <w:rPr>
          <w:rFonts w:ascii="Times New Roman" w:hAnsi="Times New Roman" w:cs="Times New Roman"/>
        </w:rPr>
        <w:t xml:space="preserve"> and </w:t>
      </w:r>
      <w:r w:rsidRPr="002D0C95">
        <w:rPr>
          <w:rFonts w:ascii="Times New Roman" w:hAnsi="Times New Roman" w:cs="Times New Roman"/>
          <w:i/>
          <w:iCs/>
        </w:rPr>
        <w:t>PDE3B</w:t>
      </w:r>
      <w:r w:rsidRPr="002D0C95">
        <w:rPr>
          <w:rFonts w:ascii="Times New Roman" w:hAnsi="Times New Roman" w:cs="Times New Roman"/>
        </w:rPr>
        <w:t xml:space="preserve"> was regulated by </w:t>
      </w:r>
      <w:r w:rsidRPr="002D0C95">
        <w:rPr>
          <w:rFonts w:ascii="Times New Roman" w:hAnsi="Times New Roman" w:cs="Times New Roman"/>
          <w:i/>
          <w:iCs/>
        </w:rPr>
        <w:t xml:space="preserve">ZNF436 </w:t>
      </w:r>
      <w:r w:rsidRPr="002D0C95">
        <w:rPr>
          <w:rFonts w:ascii="Times New Roman" w:hAnsi="Times New Roman" w:cs="Times New Roman"/>
        </w:rPr>
        <w:t xml:space="preserve">knockdown. Expression of </w:t>
      </w:r>
      <w:r w:rsidRPr="002D0C95">
        <w:rPr>
          <w:rFonts w:ascii="Times New Roman" w:hAnsi="Times New Roman" w:cs="Times New Roman"/>
          <w:i/>
          <w:iCs/>
        </w:rPr>
        <w:t>ADRB1</w:t>
      </w:r>
      <w:r w:rsidRPr="002D0C95">
        <w:rPr>
          <w:rFonts w:ascii="Times New Roman" w:hAnsi="Times New Roman" w:cs="Times New Roman"/>
        </w:rPr>
        <w:t xml:space="preserve"> and </w:t>
      </w:r>
      <w:r w:rsidRPr="002D0C95">
        <w:rPr>
          <w:rFonts w:ascii="Times New Roman" w:hAnsi="Times New Roman" w:cs="Times New Roman"/>
          <w:i/>
          <w:iCs/>
        </w:rPr>
        <w:t>NPR3</w:t>
      </w:r>
      <w:r w:rsidRPr="002D0C95">
        <w:rPr>
          <w:rFonts w:ascii="Times New Roman" w:hAnsi="Times New Roman" w:cs="Times New Roman"/>
        </w:rPr>
        <w:t xml:space="preserve"> was regulated by NUP85.</w:t>
      </w:r>
    </w:p>
    <w:p w14:paraId="3D638C16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2F01EE6D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 xml:space="preserve">Supplemental figure 4. </w:t>
      </w:r>
      <w:r w:rsidRPr="002D0C95">
        <w:rPr>
          <w:rFonts w:ascii="Times New Roman" w:hAnsi="Times New Roman" w:cs="Times New Roman"/>
        </w:rPr>
        <w:t xml:space="preserve">Comparison of Mendelian Randomisation (MR) methods, forest plots and funnel plots of SNPs included in the MR analyses of causality of spontaneous lipolysis on BMI (a-c) and </w:t>
      </w:r>
      <w:proofErr w:type="spellStart"/>
      <w:r w:rsidRPr="002D0C95">
        <w:rPr>
          <w:rFonts w:ascii="Times New Roman" w:hAnsi="Times New Roman" w:cs="Times New Roman"/>
        </w:rPr>
        <w:t>WHRadjBMI</w:t>
      </w:r>
      <w:proofErr w:type="spellEnd"/>
      <w:r w:rsidRPr="002D0C95">
        <w:rPr>
          <w:rFonts w:ascii="Times New Roman" w:hAnsi="Times New Roman" w:cs="Times New Roman"/>
        </w:rPr>
        <w:t xml:space="preserve"> (d-f).</w:t>
      </w:r>
    </w:p>
    <w:p w14:paraId="78249B8B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2F701C6F" w14:textId="77777777" w:rsidR="00AC0D58" w:rsidRPr="002D0C95" w:rsidRDefault="00AC0D58" w:rsidP="00AC0D58">
      <w:pPr>
        <w:spacing w:line="480" w:lineRule="auto"/>
        <w:contextualSpacing/>
        <w:jc w:val="both"/>
        <w:rPr>
          <w:rFonts w:ascii="Times New Roman" w:hAnsi="Times New Roman" w:cs="Times New Roman"/>
        </w:rPr>
      </w:pPr>
      <w:r w:rsidRPr="002D0C95">
        <w:rPr>
          <w:rFonts w:ascii="Times New Roman" w:hAnsi="Times New Roman" w:cs="Times New Roman"/>
          <w:b/>
          <w:bCs/>
        </w:rPr>
        <w:t xml:space="preserve">Supplemental figure 5. </w:t>
      </w:r>
      <w:r w:rsidRPr="002D0C95">
        <w:rPr>
          <w:rFonts w:ascii="Times New Roman" w:hAnsi="Times New Roman" w:cs="Times New Roman"/>
        </w:rPr>
        <w:t xml:space="preserve">Comparison of Mendelian Randomisation methods (MR), forest plots and funnel plots of SNPs included in the MR analyses of causality of stimulated lipolysis on BMI (a-c) and </w:t>
      </w:r>
      <w:proofErr w:type="spellStart"/>
      <w:r w:rsidRPr="002D0C95">
        <w:rPr>
          <w:rFonts w:ascii="Times New Roman" w:hAnsi="Times New Roman" w:cs="Times New Roman"/>
        </w:rPr>
        <w:t>WHRadjBMI</w:t>
      </w:r>
      <w:proofErr w:type="spellEnd"/>
      <w:r w:rsidRPr="002D0C95">
        <w:rPr>
          <w:rFonts w:ascii="Times New Roman" w:hAnsi="Times New Roman" w:cs="Times New Roman"/>
        </w:rPr>
        <w:t xml:space="preserve"> (d-f).</w:t>
      </w:r>
    </w:p>
    <w:p w14:paraId="64EC3CED" w14:textId="77777777" w:rsidR="005F6407" w:rsidRDefault="005F6407"/>
    <w:sectPr w:rsidR="005F6407" w:rsidSect="00AC0D58">
      <w:footerReference w:type="default" r:id="rId4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4442099"/>
      <w:docPartObj>
        <w:docPartGallery w:val="Page Numbers (Bottom of Page)"/>
        <w:docPartUnique/>
      </w:docPartObj>
    </w:sdtPr>
    <w:sdtEndPr/>
    <w:sdtContent>
      <w:p w14:paraId="7AFF8864" w14:textId="77777777" w:rsidR="00CF7DFD" w:rsidRDefault="00AC0D5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72B49">
          <w:rPr>
            <w:noProof/>
            <w:lang w:val="sv-SE"/>
          </w:rPr>
          <w:t>20</w:t>
        </w:r>
        <w:r>
          <w:fldChar w:fldCharType="end"/>
        </w:r>
      </w:p>
    </w:sdtContent>
  </w:sdt>
  <w:p w14:paraId="38205BC4" w14:textId="77777777" w:rsidR="00CF7DFD" w:rsidRDefault="00AC0D58">
    <w:pPr>
      <w:pStyle w:val="Footer"/>
    </w:pPr>
  </w:p>
  <w:p w14:paraId="4C6D365C" w14:textId="77777777" w:rsidR="00CF7DFD" w:rsidRDefault="00AC0D58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D58"/>
    <w:rsid w:val="005F6407"/>
    <w:rsid w:val="00AC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A8DBC"/>
  <w15:chartTrackingRefBased/>
  <w15:docId w15:val="{40B5C522-DC46-4FBA-8DAB-65CCFDF71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D5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C0D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D5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 Kulyte</dc:creator>
  <cp:keywords/>
  <dc:description/>
  <cp:lastModifiedBy>Agne Kulyte</cp:lastModifiedBy>
  <cp:revision>1</cp:revision>
  <dcterms:created xsi:type="dcterms:W3CDTF">2021-09-02T16:14:00Z</dcterms:created>
  <dcterms:modified xsi:type="dcterms:W3CDTF">2021-09-02T16:14:00Z</dcterms:modified>
</cp:coreProperties>
</file>