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F1651A">
      <w:pPr>
        <w:spacing w:before="100" w:beforeAutospacing="1" w:after="100" w:afterAutospacing="1" w:line="360" w:lineRule="auto"/>
        <w:jc w:val="center"/>
        <w:rPr>
          <w:b/>
          <w:bCs/>
          <w:color w:val="auto"/>
          <w:sz w:val="24"/>
        </w:rPr>
      </w:pPr>
      <w:r>
        <w:rPr>
          <w:b/>
          <w:bCs/>
          <w:color w:val="auto"/>
          <w:sz w:val="32"/>
          <w:szCs w:val="32"/>
        </w:rPr>
        <w:t>S</w:t>
      </w:r>
      <w:r>
        <w:rPr>
          <w:rFonts w:hint="eastAsia"/>
          <w:b/>
          <w:bCs/>
          <w:color w:val="auto"/>
          <w:sz w:val="32"/>
          <w:szCs w:val="32"/>
        </w:rPr>
        <w:t>upplementary</w:t>
      </w:r>
      <w:r>
        <w:rPr>
          <w:b/>
          <w:bCs/>
          <w:color w:val="auto"/>
          <w:sz w:val="32"/>
          <w:szCs w:val="32"/>
        </w:rPr>
        <w:t xml:space="preserve"> </w:t>
      </w:r>
      <w:r>
        <w:rPr>
          <w:rFonts w:hint="eastAsia"/>
          <w:b/>
          <w:bCs/>
          <w:color w:val="auto"/>
          <w:sz w:val="32"/>
          <w:szCs w:val="32"/>
        </w:rPr>
        <w:t>Material</w:t>
      </w:r>
    </w:p>
    <w:p w14:paraId="4D371F3D">
      <w:pPr>
        <w:spacing w:line="480" w:lineRule="auto"/>
        <w:jc w:val="center"/>
        <w:rPr>
          <w:sz w:val="36"/>
          <w:szCs w:val="36"/>
        </w:rPr>
      </w:pPr>
      <w:r>
        <w:rPr>
          <w:b/>
          <w:bCs/>
          <w:sz w:val="28"/>
          <w:szCs w:val="28"/>
        </w:rPr>
        <w:t>Field and Experimental Investigations of the Effect of Hyporheic Exchange on Nitrogen Transport in Lakeshore Lacustrine Sedimentary Aquifers, SW China</w:t>
      </w:r>
    </w:p>
    <w:p w14:paraId="7202C1E7">
      <w:pPr>
        <w:autoSpaceDE w:val="0"/>
        <w:autoSpaceDN w:val="0"/>
        <w:adjustRightInd w:val="0"/>
        <w:spacing w:line="480" w:lineRule="auto"/>
        <w:jc w:val="center"/>
        <w:rPr>
          <w:sz w:val="24"/>
          <w:szCs w:val="28"/>
        </w:rPr>
      </w:pPr>
      <w:r>
        <w:t>Ronggao Qin</w:t>
      </w:r>
      <w:r>
        <w:rPr>
          <w:rStyle w:val="7"/>
        </w:rPr>
        <w:footnoteReference w:id="0"/>
      </w:r>
      <w:r>
        <w:rPr>
          <w:vertAlign w:val="superscript"/>
        </w:rPr>
        <w:t>,2</w:t>
      </w:r>
      <w:r>
        <w:t>, Haoyi Li</w:t>
      </w:r>
      <w:r>
        <w:rPr>
          <w:vertAlign w:val="superscript"/>
        </w:rPr>
        <w:t>1</w:t>
      </w:r>
      <w:r>
        <w:t>, Wan, Xu</w:t>
      </w:r>
      <w:r>
        <w:rPr>
          <w:vertAlign w:val="superscript"/>
        </w:rPr>
        <w:t>1</w:t>
      </w:r>
      <w:r>
        <w:t>,</w:t>
      </w:r>
      <w:r>
        <w:rPr>
          <w:rFonts w:hint="eastAsia"/>
          <w:lang w:val="en-US" w:eastAsia="zh-CN"/>
        </w:rPr>
        <w:t>Ciming Kong</w:t>
      </w:r>
      <w:r>
        <w:rPr>
          <w:rFonts w:ascii="Times New Roman" w:hAnsi="Times New Roman" w:eastAsia="宋体" w:cs="Times New Roman"/>
          <w:sz w:val="18"/>
          <w:szCs w:val="18"/>
          <w:vertAlign w:val="superscript"/>
        </w:rPr>
        <w:t>3*</w:t>
      </w:r>
      <w:r>
        <w:rPr>
          <w:rFonts w:hint="eastAsia"/>
          <w:lang w:val="en-US" w:eastAsia="zh-CN"/>
        </w:rPr>
        <w:t>, Wang</w:t>
      </w:r>
      <w:r>
        <w:rPr>
          <w:vertAlign w:val="superscript"/>
        </w:rPr>
        <w:t>1</w:t>
      </w:r>
      <w:r>
        <w:rPr>
          <w:rFonts w:hint="eastAsia"/>
          <w:lang w:val="en-US" w:eastAsia="zh-CN"/>
        </w:rPr>
        <w:t>,</w:t>
      </w:r>
      <w:r>
        <w:t>Yiming</w:t>
      </w:r>
      <w:r>
        <w:rPr>
          <w:rFonts w:hint="eastAsia"/>
          <w:lang w:val="en-US" w:eastAsia="zh-CN"/>
        </w:rPr>
        <w:t xml:space="preserve"> </w:t>
      </w:r>
      <w:r>
        <w:t>Xie</w:t>
      </w:r>
      <w:r>
        <w:rPr>
          <w:vertAlign w:val="superscript"/>
        </w:rPr>
        <w:t>1</w:t>
      </w:r>
      <w:r>
        <w:t>, Guangzhu Cao</w:t>
      </w:r>
      <w:r>
        <w:rPr>
          <w:vertAlign w:val="superscript"/>
        </w:rPr>
        <w:t>1,2*</w:t>
      </w:r>
      <w:r>
        <w:t>, Ruoyu, Mao</w:t>
      </w:r>
      <w:r>
        <w:rPr>
          <w:vertAlign w:val="superscript"/>
        </w:rPr>
        <w:t>1,2</w:t>
      </w:r>
      <w:r>
        <w:t xml:space="preserve"> , Yi Qiang</w:t>
      </w:r>
      <w:r>
        <w:rPr>
          <w:vertAlign w:val="superscript"/>
        </w:rPr>
        <w:t>1,2</w:t>
      </w:r>
      <w:r>
        <w:t>, Yanfeng Lu</w:t>
      </w:r>
      <w:r>
        <w:rPr>
          <w:vertAlign w:val="superscript"/>
        </w:rPr>
        <w:t>1,2</w:t>
      </w:r>
    </w:p>
    <w:p w14:paraId="60098886">
      <w:pPr>
        <w:spacing w:line="480" w:lineRule="auto"/>
        <w:jc w:val="left"/>
        <w:rPr>
          <w:sz w:val="21"/>
          <w:szCs w:val="21"/>
        </w:rPr>
      </w:pPr>
      <w:r>
        <w:rPr>
          <w:sz w:val="21"/>
          <w:szCs w:val="21"/>
          <w:vertAlign w:val="superscript"/>
        </w:rPr>
        <w:t>1</w:t>
      </w:r>
      <w:r>
        <w:rPr>
          <w:sz w:val="21"/>
          <w:szCs w:val="21"/>
        </w:rPr>
        <w:t xml:space="preserve"> School of Land and Resources Engineering, Kunming University of Science and Technology，Kunming, Yunnan 650031 China; </w:t>
      </w:r>
    </w:p>
    <w:p w14:paraId="022AA3CE">
      <w:pPr>
        <w:autoSpaceDE w:val="0"/>
        <w:autoSpaceDN w:val="0"/>
        <w:adjustRightInd w:val="0"/>
        <w:spacing w:line="480" w:lineRule="auto"/>
        <w:rPr>
          <w:sz w:val="21"/>
          <w:szCs w:val="21"/>
        </w:rPr>
      </w:pPr>
      <w:r>
        <w:rPr>
          <w:sz w:val="21"/>
          <w:szCs w:val="21"/>
          <w:vertAlign w:val="superscript"/>
        </w:rPr>
        <w:t>2</w:t>
      </w:r>
      <w:r>
        <w:rPr>
          <w:sz w:val="21"/>
          <w:szCs w:val="21"/>
        </w:rPr>
        <w:t xml:space="preserve"> Key Laboratory of Geohazard Forecast and Geoecological Restoration in Plateau Mountainous Area，Ministry of Natural Resources of the People's Republic of China，Kunming, Yunnan 650228 China.</w:t>
      </w:r>
    </w:p>
    <w:p w14:paraId="44786F8D">
      <w:pPr>
        <w:spacing w:after="156" w:line="480" w:lineRule="auto"/>
        <w:contextualSpacing/>
        <w:rPr>
          <w:rFonts w:ascii="Times New Roman" w:hAnsi="Times New Roman" w:eastAsia="宋体" w:cs="Times New Roman"/>
          <w:sz w:val="21"/>
          <w:szCs w:val="21"/>
        </w:rPr>
      </w:pPr>
      <w:r>
        <w:rPr>
          <w:rFonts w:hint="eastAsia" w:ascii="Times New Roman" w:hAnsi="Times New Roman" w:eastAsia="宋体" w:cs="Times New Roman"/>
          <w:sz w:val="21"/>
          <w:szCs w:val="21"/>
          <w:vertAlign w:val="superscript"/>
        </w:rPr>
        <w:t>3</w:t>
      </w:r>
      <w:r>
        <w:rPr>
          <w:rFonts w:hint="eastAsia" w:ascii="Times New Roman" w:hAnsi="Times New Roman" w:eastAsia="宋体" w:cs="Times New Roman"/>
          <w:sz w:val="21"/>
          <w:szCs w:val="21"/>
        </w:rPr>
        <w:t xml:space="preserve"> Qujing Environmental Engineering Evaluation Center, Qujing, 655000, PR China</w:t>
      </w:r>
    </w:p>
    <w:p w14:paraId="3D7E3EB8">
      <w:pPr>
        <w:spacing w:before="100" w:beforeAutospacing="1" w:after="100" w:afterAutospacing="1" w:line="360" w:lineRule="auto"/>
        <w:jc w:val="left"/>
        <w:rPr>
          <w:color w:val="auto"/>
          <w:sz w:val="24"/>
        </w:rPr>
      </w:pPr>
      <w:r>
        <w:rPr>
          <w:color w:val="auto"/>
          <w:sz w:val="24"/>
        </w:rPr>
        <w:t xml:space="preserve">* Corresponding authors: </w:t>
      </w:r>
    </w:p>
    <w:p w14:paraId="60054968">
      <w:pPr>
        <w:jc w:val="both"/>
        <w:rPr>
          <w:rFonts w:hint="eastAsia"/>
          <w:sz w:val="24"/>
          <w:lang w:val="en-US" w:eastAsia="zh-CN"/>
        </w:rPr>
      </w:pPr>
      <w:r>
        <w:rPr>
          <w:rFonts w:hint="eastAsia"/>
          <w:i w:val="0"/>
          <w:iCs/>
          <w:lang w:val="en-US" w:eastAsia="zh-CN"/>
        </w:rPr>
        <w:fldChar w:fldCharType="begin"/>
      </w:r>
      <w:r>
        <w:rPr>
          <w:rFonts w:hint="eastAsia"/>
          <w:i w:val="0"/>
          <w:iCs/>
          <w:lang w:val="en-US" w:eastAsia="zh-CN"/>
        </w:rPr>
        <w:instrText xml:space="preserve"> HYPERLINK "mailto:qinronggao@126.com(R,Qin)," </w:instrText>
      </w:r>
      <w:r>
        <w:rPr>
          <w:rFonts w:hint="eastAsia"/>
          <w:i w:val="0"/>
          <w:iCs/>
          <w:lang w:val="en-US" w:eastAsia="zh-CN"/>
        </w:rPr>
        <w:fldChar w:fldCharType="separate"/>
      </w:r>
      <w:r>
        <w:rPr>
          <w:rStyle w:val="6"/>
          <w:rFonts w:hint="eastAsia"/>
          <w:i w:val="0"/>
          <w:iCs/>
          <w:lang w:val="en-US" w:eastAsia="zh-CN"/>
        </w:rPr>
        <w:t>qinronggao@126.com(R,Qin),</w:t>
      </w:r>
      <w:r>
        <w:rPr>
          <w:rFonts w:hint="eastAsia"/>
          <w:i w:val="0"/>
          <w:iCs/>
          <w:lang w:val="en-US" w:eastAsia="zh-CN"/>
        </w:rPr>
        <w:fldChar w:fldCharType="end"/>
      </w:r>
      <w:r>
        <w:rPr>
          <w:rFonts w:hint="eastAsia"/>
          <w:i w:val="0"/>
          <w:iCs/>
          <w:lang w:val="en-US" w:eastAsia="zh-CN"/>
        </w:rPr>
        <w:t xml:space="preserve"> </w:t>
      </w:r>
      <w:r>
        <w:rPr>
          <w:rFonts w:hint="eastAsia"/>
          <w:i w:val="0"/>
          <w:iCs/>
        </w:rPr>
        <w:t>cgzhu@163.com</w:t>
      </w:r>
      <w:r>
        <w:rPr>
          <w:i w:val="0"/>
          <w:iCs/>
        </w:rPr>
        <w:t xml:space="preserve"> (</w:t>
      </w:r>
      <w:r>
        <w:rPr>
          <w:rFonts w:hint="eastAsia"/>
          <w:i w:val="0"/>
          <w:iCs/>
          <w:lang w:val="en-US" w:eastAsia="zh-CN"/>
        </w:rPr>
        <w:t>G</w:t>
      </w:r>
      <w:r>
        <w:rPr>
          <w:i w:val="0"/>
          <w:iCs/>
        </w:rPr>
        <w:t xml:space="preserve">, </w:t>
      </w:r>
      <w:r>
        <w:rPr>
          <w:rFonts w:hint="eastAsia"/>
          <w:i w:val="0"/>
          <w:iCs/>
          <w:lang w:val="en-US" w:eastAsia="zh-CN"/>
        </w:rPr>
        <w:t>Cao</w:t>
      </w:r>
      <w:r>
        <w:rPr>
          <w:i w:val="0"/>
          <w:iCs/>
        </w:rPr>
        <w:t>)</w:t>
      </w:r>
      <w:r>
        <w:rPr>
          <w:rFonts w:hint="eastAsia"/>
          <w:i w:val="0"/>
          <w:iCs/>
          <w:lang w:val="en-US" w:eastAsia="zh-CN"/>
        </w:rPr>
        <w:t xml:space="preserve">, </w:t>
      </w:r>
      <w:r>
        <w:rPr>
          <w:rFonts w:hint="eastAsia"/>
          <w:i w:val="0"/>
          <w:iCs/>
          <w:lang w:val="en-US" w:eastAsia="zh-CN"/>
        </w:rPr>
        <w:fldChar w:fldCharType="begin"/>
      </w:r>
      <w:r>
        <w:rPr>
          <w:rFonts w:hint="eastAsia"/>
          <w:i w:val="0"/>
          <w:iCs/>
          <w:lang w:val="en-US" w:eastAsia="zh-CN"/>
        </w:rPr>
        <w:instrText xml:space="preserve"> HYPERLINK "mailto:1035417670@qq.com(C,kong" </w:instrText>
      </w:r>
      <w:r>
        <w:rPr>
          <w:rFonts w:hint="eastAsia"/>
          <w:i w:val="0"/>
          <w:iCs/>
          <w:lang w:val="en-US" w:eastAsia="zh-CN"/>
        </w:rPr>
        <w:fldChar w:fldCharType="separate"/>
      </w:r>
      <w:r>
        <w:rPr>
          <w:rStyle w:val="6"/>
          <w:rFonts w:hint="eastAsia"/>
          <w:i w:val="0"/>
          <w:iCs/>
          <w:lang w:val="en-US" w:eastAsia="zh-CN"/>
        </w:rPr>
        <w:t>1035417670@qq.com(C,Kong</w:t>
      </w:r>
      <w:r>
        <w:rPr>
          <w:rFonts w:hint="eastAsia"/>
          <w:i w:val="0"/>
          <w:iCs/>
          <w:lang w:val="en-US" w:eastAsia="zh-CN"/>
        </w:rPr>
        <w:fldChar w:fldCharType="end"/>
      </w:r>
      <w:r>
        <w:rPr>
          <w:rFonts w:hint="eastAsia"/>
          <w:i w:val="0"/>
          <w:iCs/>
          <w:lang w:val="en-US" w:eastAsia="zh-CN"/>
        </w:rPr>
        <w:t>)</w:t>
      </w:r>
      <w:r>
        <w:rPr>
          <w:i w:val="0"/>
          <w:iCs/>
        </w:rPr>
        <w:t>.</w:t>
      </w:r>
    </w:p>
    <w:p w14:paraId="051D772E">
      <w:pPr>
        <w:jc w:val="both"/>
        <w:rPr>
          <w:rFonts w:hint="eastAsia"/>
          <w:sz w:val="24"/>
          <w:lang w:val="en-US" w:eastAsia="zh-CN"/>
        </w:rPr>
      </w:pPr>
    </w:p>
    <w:p w14:paraId="0E4E9BE9">
      <w:pPr>
        <w:jc w:val="both"/>
        <w:rPr>
          <w:rFonts w:hint="eastAsia"/>
          <w:sz w:val="24"/>
          <w:lang w:val="en-US" w:eastAsia="zh-CN"/>
        </w:rPr>
      </w:pPr>
    </w:p>
    <w:p w14:paraId="574B437E">
      <w:pPr>
        <w:jc w:val="both"/>
        <w:rPr>
          <w:rFonts w:hint="eastAsia"/>
          <w:sz w:val="24"/>
          <w:lang w:val="en-US" w:eastAsia="zh-CN"/>
        </w:rPr>
      </w:pPr>
    </w:p>
    <w:p w14:paraId="1750BCA2">
      <w:pPr>
        <w:jc w:val="both"/>
        <w:rPr>
          <w:rFonts w:hint="eastAsia"/>
          <w:sz w:val="24"/>
          <w:lang w:val="en-US" w:eastAsia="zh-CN"/>
        </w:rPr>
      </w:pPr>
      <w:bookmarkStart w:id="10" w:name="_GoBack"/>
      <w:bookmarkEnd w:id="10"/>
    </w:p>
    <w:p w14:paraId="1D0FC8F2">
      <w:pPr>
        <w:jc w:val="both"/>
        <w:rPr>
          <w:rFonts w:hint="eastAsia"/>
          <w:sz w:val="24"/>
          <w:lang w:val="en-US" w:eastAsia="zh-CN"/>
        </w:rPr>
      </w:pPr>
    </w:p>
    <w:p w14:paraId="78006A3B">
      <w:pPr>
        <w:jc w:val="both"/>
        <w:rPr>
          <w:rFonts w:hint="eastAsia"/>
          <w:sz w:val="24"/>
          <w:lang w:val="en-US" w:eastAsia="zh-CN"/>
        </w:rPr>
      </w:pPr>
    </w:p>
    <w:p w14:paraId="6F50E492">
      <w:pPr>
        <w:jc w:val="both"/>
        <w:rPr>
          <w:rFonts w:hint="eastAsia"/>
          <w:sz w:val="24"/>
          <w:lang w:val="en-US" w:eastAsia="zh-CN"/>
        </w:rPr>
      </w:pPr>
    </w:p>
    <w:p w14:paraId="7671A247">
      <w:pPr>
        <w:spacing w:before="200" w:after="200" w:line="480" w:lineRule="auto"/>
        <w:jc w:val="both"/>
        <w:rPr>
          <w:rFonts w:hint="default" w:eastAsia="宋体"/>
          <w:sz w:val="24"/>
          <w:lang w:val="en-US" w:eastAsia="zh-CN"/>
        </w:rPr>
      </w:pPr>
      <w:r>
        <w:rPr>
          <w:rFonts w:hint="eastAsia"/>
          <w:b/>
          <w:bCs/>
          <w:sz w:val="24"/>
          <w:lang w:val="en-US" w:eastAsia="zh-CN"/>
        </w:rPr>
        <w:t>Section 1 Temperature sensor</w:t>
      </w:r>
    </w:p>
    <w:p w14:paraId="6E264642">
      <w:pPr>
        <w:spacing w:line="480" w:lineRule="auto"/>
        <w:ind w:firstLine="480" w:firstLineChars="200"/>
        <w:jc w:val="both"/>
        <w:rPr>
          <w:bCs/>
          <w:sz w:val="24"/>
          <w:szCs w:val="22"/>
        </w:rPr>
      </w:pPr>
      <w:r>
        <w:rPr>
          <w:bCs/>
          <w:sz w:val="24"/>
          <w:szCs w:val="22"/>
        </w:rPr>
        <w:t xml:space="preserve">From April 14 to June 6, 2023, temperature sensors were installed at various depths near the Taoxi River inlet downstream, close to Lake Erhai (Figure </w:t>
      </w:r>
      <w:r>
        <w:rPr>
          <w:rFonts w:hint="eastAsia"/>
          <w:bCs/>
          <w:sz w:val="24"/>
          <w:szCs w:val="22"/>
          <w:lang w:val="en-US" w:eastAsia="zh-CN"/>
        </w:rPr>
        <w:t>S2</w:t>
      </w:r>
      <w:r>
        <w:rPr>
          <w:bCs/>
          <w:sz w:val="24"/>
          <w:szCs w:val="22"/>
        </w:rPr>
        <w:t>). The sensors were positioned at depths of 0 centimeter (water surface), 10 centimeters, 20 centimeters, 30 centimeters, 40 centimeters, and 50 centimeters, with measurements taken every 10 minutes. During the 51-day monitoring period, a total of 7,648 temperature data points were collected.</w:t>
      </w:r>
    </w:p>
    <w:p w14:paraId="35492D48">
      <w:pPr>
        <w:spacing w:before="200" w:after="200" w:line="480" w:lineRule="auto"/>
        <w:ind w:firstLine="0" w:firstLineChars="0"/>
        <w:jc w:val="both"/>
        <w:rPr>
          <w:bCs/>
          <w:sz w:val="24"/>
          <w:szCs w:val="22"/>
        </w:rPr>
      </w:pPr>
      <w:r>
        <w:rPr>
          <w:rFonts w:hint="eastAsia"/>
          <w:b/>
          <w:bCs/>
          <w:sz w:val="24"/>
          <w:lang w:val="en-US" w:eastAsia="zh-CN"/>
        </w:rPr>
        <w:t xml:space="preserve">Section 2 </w:t>
      </w:r>
      <w:r>
        <w:rPr>
          <w:rFonts w:hint="eastAsia"/>
          <w:b/>
          <w:bCs/>
          <w:sz w:val="24"/>
          <w:szCs w:val="22"/>
          <w:lang w:val="en-US" w:eastAsia="zh-CN"/>
        </w:rPr>
        <w:t>D</w:t>
      </w:r>
      <w:r>
        <w:rPr>
          <w:b/>
          <w:bCs/>
          <w:sz w:val="24"/>
          <w:szCs w:val="22"/>
        </w:rPr>
        <w:t>ynamic water exchange</w:t>
      </w:r>
    </w:p>
    <w:p w14:paraId="165D8C45">
      <w:pPr>
        <w:spacing w:line="480" w:lineRule="auto"/>
        <w:ind w:firstLine="480" w:firstLineChars="200"/>
        <w:outlineLvl w:val="1"/>
        <w:rPr>
          <w:bCs/>
          <w:sz w:val="24"/>
          <w:szCs w:val="22"/>
        </w:rPr>
      </w:pPr>
      <w:r>
        <w:rPr>
          <w:sz w:val="24"/>
        </w:rPr>
        <w:t>A. Wet Season</w:t>
      </w:r>
    </w:p>
    <w:p w14:paraId="1DDB014B">
      <w:pPr>
        <w:spacing w:line="480" w:lineRule="auto"/>
        <w:ind w:firstLine="480" w:firstLineChars="200"/>
        <w:rPr>
          <w:bCs/>
          <w:sz w:val="24"/>
          <w:szCs w:val="22"/>
        </w:rPr>
      </w:pPr>
      <w:r>
        <w:rPr>
          <w:bCs/>
          <w:sz w:val="24"/>
          <w:szCs w:val="22"/>
        </w:rPr>
        <w:t xml:space="preserve">As shown in Figure </w:t>
      </w:r>
      <w:r>
        <w:rPr>
          <w:rFonts w:hint="eastAsia"/>
          <w:bCs/>
          <w:sz w:val="24"/>
          <w:szCs w:val="22"/>
          <w:lang w:val="en-US" w:eastAsia="zh-CN"/>
        </w:rPr>
        <w:t>S3</w:t>
      </w:r>
      <w:r>
        <w:rPr>
          <w:bCs/>
          <w:sz w:val="24"/>
          <w:szCs w:val="22"/>
        </w:rPr>
        <w:t>, from April 16 to April 25, the Taoxi river had abundant water flow, with a velocity of 0.14 m/s, a width of 6.2 m, an average depth of 0.3 m, and a flow rate of 0.3038 m³/s. This period is classified as the wet season. During this time, all computed hyporheic flux values were positive, indicating a downward direction, which replenished the groundwater from surface water. As the depth increased, the average vertical hyporheic flux also increased, and the range of flux variation gradually decreased. The most active exchange occurred at depths of 0.15 m and 0.2 m, where the flux values were highest and exhibited the widest variation. The smallest hyporheic flux values appeared at depths of 0.375 m and 0.425 m, indicating the weakest exchange. Overall, the total hyporheic exchange diminished with increasing depth and stabilized after reaching a certain range.</w:t>
      </w:r>
      <w:bookmarkStart w:id="0" w:name="_Hlk162185810"/>
    </w:p>
    <w:p w14:paraId="118D2CB5">
      <w:pPr>
        <w:spacing w:line="480" w:lineRule="auto"/>
        <w:ind w:firstLine="480" w:firstLineChars="200"/>
        <w:rPr>
          <w:rFonts w:cs="Times New Roman"/>
        </w:rPr>
      </w:pPr>
      <w:r>
        <w:rPr>
          <w:bCs/>
          <w:sz w:val="24"/>
          <w:szCs w:val="22"/>
        </w:rPr>
        <w:t xml:space="preserve">As illustrated in Table </w:t>
      </w:r>
      <w:r>
        <w:rPr>
          <w:rFonts w:hint="eastAsia"/>
          <w:bCs/>
          <w:sz w:val="24"/>
          <w:szCs w:val="22"/>
          <w:lang w:val="en-US" w:eastAsia="zh-CN"/>
        </w:rPr>
        <w:t>S</w:t>
      </w:r>
      <w:r>
        <w:rPr>
          <w:bCs/>
          <w:sz w:val="24"/>
          <w:szCs w:val="22"/>
        </w:rPr>
        <w:t>1, the variability of water exchange within the 0 to 25 centimeters range beneath the riverbed surface was more pronounced than in deeper layers (0.25 to 0.425 meters). This variability is primarily due to the significant influence of both river water and air temperatures on the riverbed surface layer temperature, leading to substantial fluctuations in temperature and, consequently, considerable changes in water exchange within the hyporheic zone.</w:t>
      </w:r>
    </w:p>
    <w:p w14:paraId="25DC260F">
      <w:pPr>
        <w:spacing w:line="480" w:lineRule="auto"/>
        <w:ind w:firstLine="480" w:firstLineChars="200"/>
        <w:outlineLvl w:val="1"/>
        <w:rPr>
          <w:bCs/>
          <w:sz w:val="24"/>
          <w:szCs w:val="22"/>
        </w:rPr>
      </w:pPr>
      <w:r>
        <w:rPr>
          <w:sz w:val="24"/>
        </w:rPr>
        <w:t>B. Dry Period</w:t>
      </w:r>
    </w:p>
    <w:p w14:paraId="09ACE618">
      <w:pPr>
        <w:spacing w:line="480" w:lineRule="auto"/>
        <w:ind w:firstLine="480" w:firstLineChars="200"/>
        <w:rPr>
          <w:bCs/>
          <w:sz w:val="24"/>
          <w:szCs w:val="22"/>
        </w:rPr>
      </w:pPr>
      <w:r>
        <w:rPr>
          <w:bCs/>
          <w:sz w:val="24"/>
          <w:szCs w:val="22"/>
        </w:rPr>
        <w:t xml:space="preserve">From April 25 to May 13, a continuous rise in temperature in Dali and a prolonged absence of rainfall caused the upstream river channels to cease flowing, leaving the test points dry and exposed. This period is defined as the dry period (Figure </w:t>
      </w:r>
      <w:r>
        <w:rPr>
          <w:rFonts w:hint="eastAsia"/>
          <w:bCs/>
          <w:sz w:val="24"/>
          <w:szCs w:val="22"/>
          <w:lang w:val="en-US" w:eastAsia="zh-CN"/>
        </w:rPr>
        <w:t>S4</w:t>
      </w:r>
      <w:r>
        <w:rPr>
          <w:bCs/>
          <w:sz w:val="24"/>
          <w:szCs w:val="22"/>
        </w:rPr>
        <w:t xml:space="preserve">). Despite the lack of river flow, hyporheic exchange persisted. As indicated in Figure </w:t>
      </w:r>
      <w:r>
        <w:rPr>
          <w:rFonts w:hint="eastAsia"/>
          <w:bCs/>
          <w:sz w:val="24"/>
          <w:szCs w:val="22"/>
          <w:lang w:val="en-US" w:eastAsia="zh-CN"/>
        </w:rPr>
        <w:t>S5</w:t>
      </w:r>
      <w:r>
        <w:rPr>
          <w:bCs/>
          <w:sz w:val="24"/>
          <w:szCs w:val="22"/>
        </w:rPr>
        <w:t xml:space="preserve">, most of the hyporheic flux at a depth of 0.15 meters was negative, suggesting that groundwater was replenishing the surface water. This negative flux was due to continuous evaporation from the river surface to the sediment at 0.15 meters depth, showing an increasing trend over time. </w:t>
      </w:r>
      <w:r>
        <w:rPr>
          <w:rFonts w:hint="eastAsia"/>
          <w:bCs/>
          <w:sz w:val="24"/>
          <w:szCs w:val="22"/>
          <w:lang w:val="en-US" w:eastAsia="zh-CN"/>
        </w:rPr>
        <w:t>T</w:t>
      </w:r>
      <w:r>
        <w:rPr>
          <w:bCs/>
          <w:sz w:val="24"/>
          <w:szCs w:val="22"/>
        </w:rPr>
        <w:t>he hyporheic flux at 0.2 meters depth was positive, it was continuously decreasing, closely paralleling the trend at 0.15 meters depth.</w:t>
      </w:r>
    </w:p>
    <w:p w14:paraId="44303E03">
      <w:pPr>
        <w:spacing w:line="480" w:lineRule="auto"/>
        <w:ind w:firstLine="480"/>
        <w:rPr>
          <w:sz w:val="24"/>
          <w:szCs w:val="32"/>
        </w:rPr>
      </w:pPr>
      <w:r>
        <w:rPr>
          <w:sz w:val="24"/>
          <w:szCs w:val="32"/>
        </w:rPr>
        <w:t xml:space="preserve">As shown in Table </w:t>
      </w:r>
      <w:r>
        <w:rPr>
          <w:rFonts w:hint="eastAsia"/>
          <w:sz w:val="24"/>
          <w:szCs w:val="32"/>
          <w:lang w:val="en-US" w:eastAsia="zh-CN"/>
        </w:rPr>
        <w:t>S</w:t>
      </w:r>
      <w:r>
        <w:rPr>
          <w:sz w:val="24"/>
          <w:szCs w:val="32"/>
        </w:rPr>
        <w:t xml:space="preserve">2, the hyporheic fluxes between depths of 0.25 meters and 0.375 meters decreased by an order of magnitude compared to the wet season. This decrease was due to the drying of the river surface and the cessation of surface water replenishing the groundwater, further compounded by strong evaporation, which reduced the hyporheic flux. At a depth of 0.425 meters, the average hyporheic flux during the wet season was </w:t>
      </w:r>
      <w:r>
        <w:rPr>
          <w:sz w:val="24"/>
        </w:rPr>
        <w:t>7×10</w:t>
      </w:r>
      <w:r>
        <w:rPr>
          <w:sz w:val="24"/>
          <w:vertAlign w:val="superscript"/>
        </w:rPr>
        <w:t>-6</w:t>
      </w:r>
      <w:r>
        <w:rPr>
          <w:sz w:val="24"/>
        </w:rPr>
        <w:t>L/m</w:t>
      </w:r>
      <w:r>
        <w:rPr>
          <w:sz w:val="24"/>
          <w:vertAlign w:val="superscript"/>
        </w:rPr>
        <w:t>2</w:t>
      </w:r>
      <w:r>
        <w:rPr>
          <w:color w:val="333333"/>
          <w:sz w:val="24"/>
          <w:shd w:val="clear" w:color="auto" w:fill="FFFFFF"/>
        </w:rPr>
        <w:t>·s</w:t>
      </w:r>
      <w:r>
        <w:rPr>
          <w:sz w:val="24"/>
          <w:szCs w:val="32"/>
        </w:rPr>
        <w:t>, compared to</w:t>
      </w:r>
      <w:r>
        <w:rPr>
          <w:sz w:val="24"/>
        </w:rPr>
        <w:t xml:space="preserve"> 5.03×10</w:t>
      </w:r>
      <w:r>
        <w:rPr>
          <w:sz w:val="24"/>
          <w:vertAlign w:val="superscript"/>
        </w:rPr>
        <w:t>-6</w:t>
      </w:r>
      <w:r>
        <w:rPr>
          <w:sz w:val="24"/>
        </w:rPr>
        <w:t>L/m</w:t>
      </w:r>
      <w:r>
        <w:rPr>
          <w:sz w:val="24"/>
          <w:vertAlign w:val="superscript"/>
        </w:rPr>
        <w:t>2</w:t>
      </w:r>
      <w:r>
        <w:rPr>
          <w:color w:val="333333"/>
          <w:sz w:val="24"/>
          <w:shd w:val="clear" w:color="auto" w:fill="FFFFFF"/>
        </w:rPr>
        <w:t>·s</w:t>
      </w:r>
      <w:r>
        <w:rPr>
          <w:sz w:val="24"/>
          <w:szCs w:val="32"/>
        </w:rPr>
        <w:t xml:space="preserve"> during the dry period, showing only a slight difference, indicating that the hyporheic flux at this depth was less affected by climatic variability and changes in river water levels.</w:t>
      </w:r>
    </w:p>
    <w:bookmarkEnd w:id="0"/>
    <w:p w14:paraId="0B95893D">
      <w:pPr>
        <w:spacing w:line="480" w:lineRule="auto"/>
        <w:ind w:firstLine="480"/>
        <w:outlineLvl w:val="1"/>
        <w:rPr>
          <w:sz w:val="24"/>
          <w:szCs w:val="32"/>
        </w:rPr>
      </w:pPr>
      <w:bookmarkStart w:id="1" w:name="_Hlk162185844"/>
      <w:r>
        <w:rPr>
          <w:sz w:val="24"/>
        </w:rPr>
        <w:t>C. Rainfall</w:t>
      </w:r>
    </w:p>
    <w:p w14:paraId="02BEA0D6">
      <w:pPr>
        <w:spacing w:line="480" w:lineRule="auto"/>
        <w:ind w:firstLine="480"/>
        <w:rPr>
          <w:sz w:val="24"/>
          <w:szCs w:val="32"/>
        </w:rPr>
      </w:pPr>
      <w:r>
        <w:rPr>
          <w:sz w:val="24"/>
          <w:szCs w:val="32"/>
        </w:rPr>
        <w:t xml:space="preserve">During the period from May 13 to May 24, there was a significant rainfall event. On May 14, from 3 PM to 6 PM, the rainfall reached 33.1 </w:t>
      </w:r>
      <w:bookmarkStart w:id="2" w:name="OLE_LINK5"/>
      <w:bookmarkStart w:id="3" w:name="OLE_LINK4"/>
      <w:r>
        <w:rPr>
          <w:sz w:val="24"/>
          <w:szCs w:val="32"/>
        </w:rPr>
        <w:t>millimeters</w:t>
      </w:r>
      <w:bookmarkEnd w:id="2"/>
      <w:bookmarkEnd w:id="3"/>
      <w:r>
        <w:rPr>
          <w:sz w:val="24"/>
          <w:szCs w:val="32"/>
        </w:rPr>
        <w:t>, classified as heavy rain by the China Meteorological Administration. On May 15, the rainfall of 1.92 millimeters was classified as light rain.</w:t>
      </w:r>
    </w:p>
    <w:bookmarkEnd w:id="1"/>
    <w:p w14:paraId="65C69B81">
      <w:pPr>
        <w:spacing w:line="480" w:lineRule="auto"/>
        <w:ind w:firstLine="480"/>
        <w:rPr>
          <w:sz w:val="24"/>
        </w:rPr>
      </w:pPr>
      <w:r>
        <w:rPr>
          <w:sz w:val="24"/>
        </w:rPr>
        <w:t xml:space="preserve">As illustrated in Figure </w:t>
      </w:r>
      <w:r>
        <w:rPr>
          <w:rFonts w:hint="eastAsia"/>
          <w:sz w:val="24"/>
          <w:lang w:val="en-US" w:eastAsia="zh-CN"/>
        </w:rPr>
        <w:t>S6</w:t>
      </w:r>
      <w:r>
        <w:rPr>
          <w:sz w:val="24"/>
        </w:rPr>
        <w:t xml:space="preserve"> and Table </w:t>
      </w:r>
      <w:r>
        <w:rPr>
          <w:rFonts w:hint="eastAsia"/>
          <w:sz w:val="24"/>
          <w:lang w:val="en-US" w:eastAsia="zh-CN"/>
        </w:rPr>
        <w:t>S</w:t>
      </w:r>
      <w:r>
        <w:rPr>
          <w:sz w:val="24"/>
        </w:rPr>
        <w:t>3, the hyporheic flux at a depth of 0.15 meters responded to the rainfall with a certain delay. The brief and intense rainfall on May 14 caused significant surface runoff, rather than infiltrating the sediments to increase the hyporheic flux. Following a prolonged drought, the riverbed gravel was very dry and required time to absorb and store the rainwater before reaching saturation; only then did the excess water begin to flow downstream. Consequently, there was a delay in the increase of hyporheic flux, which reached its post-rainfall peak of 1.05×10</w:t>
      </w:r>
      <w:r>
        <w:rPr>
          <w:sz w:val="24"/>
          <w:vertAlign w:val="superscript"/>
        </w:rPr>
        <w:t>-4</w:t>
      </w:r>
      <w:r>
        <w:rPr>
          <w:sz w:val="24"/>
        </w:rPr>
        <w:t>L/m</w:t>
      </w:r>
      <w:r>
        <w:rPr>
          <w:sz w:val="24"/>
          <w:vertAlign w:val="superscript"/>
        </w:rPr>
        <w:t>2</w:t>
      </w:r>
      <w:r>
        <w:rPr>
          <w:color w:val="333333"/>
          <w:sz w:val="24"/>
          <w:shd w:val="clear" w:color="auto" w:fill="FFFFFF"/>
        </w:rPr>
        <w:t>·s</w:t>
      </w:r>
      <w:r>
        <w:rPr>
          <w:sz w:val="24"/>
        </w:rPr>
        <w:t xml:space="preserve"> at 9 AM on May 16, approximately 15-17 hours after the rainfall. The hyporheic flux at a depth of 0.2 meters exhibited a trend synchronous with that at 0.15 meters, but with smaller amplitude fluctuations. Following the rainfall, the hyporheic fluxes at depths from 0.25 meters to 0.375 meters increased by an order of magnitude compared to during the dry period but did not return to the levels observed during the wet season. This was likely due to the short duration and intensity of the rainfall and the rapid flow of water into Erhai Lake along the river channel, which did not reach the flow levels of the wet season. The hyporheic flux at a depth of 0.425 meters showed virtually no response to the rainfall, with its average value (4.00×10</w:t>
      </w:r>
      <w:r>
        <w:rPr>
          <w:sz w:val="24"/>
          <w:vertAlign w:val="superscript"/>
        </w:rPr>
        <w:t>-6</w:t>
      </w:r>
      <w:r>
        <w:rPr>
          <w:sz w:val="24"/>
        </w:rPr>
        <w:t>) closely matching those from the dry period (5.03×10</w:t>
      </w:r>
      <w:r>
        <w:rPr>
          <w:sz w:val="24"/>
          <w:vertAlign w:val="superscript"/>
        </w:rPr>
        <w:t>-6</w:t>
      </w:r>
      <w:r>
        <w:rPr>
          <w:sz w:val="24"/>
        </w:rPr>
        <w:t>) and the wet season (7.00×10</w:t>
      </w:r>
      <w:r>
        <w:rPr>
          <w:sz w:val="24"/>
          <w:vertAlign w:val="superscript"/>
        </w:rPr>
        <w:t>-6</w:t>
      </w:r>
      <w:r>
        <w:rPr>
          <w:sz w:val="24"/>
        </w:rPr>
        <w:t>), indicating that the hyporheic flux at this depth is minimally affected by climatic variability and changes in river water levels.</w:t>
      </w:r>
    </w:p>
    <w:p w14:paraId="5F07D1C3">
      <w:pPr>
        <w:spacing w:before="200" w:after="200" w:line="480" w:lineRule="auto"/>
        <w:ind w:firstLine="0"/>
        <w:outlineLvl w:val="0"/>
        <w:rPr>
          <w:rFonts w:hint="eastAsia"/>
          <w:sz w:val="24"/>
          <w:lang w:val="en-US" w:eastAsia="zh-CN"/>
        </w:rPr>
      </w:pPr>
      <w:r>
        <w:rPr>
          <w:rFonts w:hint="eastAsia"/>
          <w:b/>
          <w:bCs/>
          <w:sz w:val="24"/>
          <w:lang w:val="en-US" w:eastAsia="zh-CN"/>
        </w:rPr>
        <w:t>Section 3 Filling the sandbox</w:t>
      </w:r>
    </w:p>
    <w:p w14:paraId="2010F946">
      <w:pPr>
        <w:spacing w:line="480" w:lineRule="auto"/>
        <w:ind w:firstLine="480" w:firstLineChars="200"/>
        <w:rPr>
          <w:sz w:val="24"/>
        </w:rPr>
      </w:pPr>
      <w:r>
        <w:rPr>
          <w:sz w:val="24"/>
        </w:rPr>
        <w:t xml:space="preserve">As depicted in Figure </w:t>
      </w:r>
      <w:r>
        <w:rPr>
          <w:rFonts w:hint="eastAsia"/>
          <w:sz w:val="24"/>
          <w:lang w:val="en-US" w:eastAsia="zh-CN"/>
        </w:rPr>
        <w:t>S8</w:t>
      </w:r>
      <w:r>
        <w:rPr>
          <w:sz w:val="24"/>
        </w:rPr>
        <w:t xml:space="preserve">, the experiment replicated the characteristics of the Dali alluvial fan deposit layers with in-situ collected soil samples. The sandbox was set with a slope of 3 degrees from left to right. Vertically, it was divided into two layers based on actual geological stratification: the top 10 centimeters consisted of loess with particles smaller than 0.05 millimeters, and the lower 40 </w:t>
      </w:r>
      <w:bookmarkStart w:id="4" w:name="OLE_LINK10"/>
      <w:bookmarkStart w:id="5" w:name="OLE_LINK11"/>
      <w:r>
        <w:rPr>
          <w:sz w:val="24"/>
        </w:rPr>
        <w:t xml:space="preserve">centimeters </w:t>
      </w:r>
      <w:bookmarkEnd w:id="4"/>
      <w:bookmarkEnd w:id="5"/>
      <w:r>
        <w:rPr>
          <w:sz w:val="24"/>
        </w:rPr>
        <w:t>was filled with sandy loam, with particle sizes ranging from 0.05 to 2 millimeters. A semicircular shape, 10 centimeters deep and 20 centimeters wide, was created on the surface of the sandbox to simulate the circum-lake sewage interception engineering around Erhai Lake.</w:t>
      </w:r>
    </w:p>
    <w:p w14:paraId="6EA1BCE1">
      <w:pPr>
        <w:spacing w:line="480" w:lineRule="auto"/>
        <w:ind w:firstLine="480" w:firstLineChars="200"/>
        <w:rPr>
          <w:sz w:val="24"/>
        </w:rPr>
      </w:pPr>
      <w:r>
        <w:rPr>
          <w:sz w:val="24"/>
        </w:rPr>
        <w:t>The sandbox features a total of 55 sampling ports, arranged in four vertical columns on the front, with each column consisting of four ports spaced 10 centimeters apart vertically. The first column is located 10 centimeters from the left side outlet, with each subsequent column spaced 70 centimeters apart. Additionally, there is one horizontal row of sampling ports, situated 4 centimeters from the bottom of the sandbox, with 23 ports spaced 10 centimeters apart. Each side has two columns with five sampling ports each, spaced 10 centimeters apart vertically, primarily used for monitoring inflow and outflow; the left side is designated for outflow and the right side for inflow. The inflow utilizes a fixed flow rate head device, and the outflow is used to collect leachate. The first column to the right of the vertical sampling ports on the front side, from top to bottom, is labeled A1 to A4, and so forth, with the subsequent columns named as B, C, and D columns.</w:t>
      </w:r>
    </w:p>
    <w:p w14:paraId="4637AFCC">
      <w:pPr>
        <w:spacing w:line="480" w:lineRule="auto"/>
        <w:ind w:firstLine="480" w:firstLineChars="200"/>
        <w:rPr>
          <w:sz w:val="24"/>
        </w:rPr>
      </w:pPr>
      <w:r>
        <w:rPr>
          <w:sz w:val="24"/>
        </w:rPr>
        <w:t>The sandbox's outflow boundary simulated Erhai Lake. Two scenarios were established: Scenario 1 simulated the wet season with the saturated aquifer at a height of 40 centimeters, where the groundwater phreatic surface was above the bottom of the circum-lake sewage interception engineering; Scenario 2 simulated the dry period with the saturated aquifer at a height of 30 centimeters, where the groundwater phreatic surface was below the bottom of the circum-lake sewage interception engineering.</w:t>
      </w:r>
    </w:p>
    <w:p w14:paraId="615FF5E1">
      <w:pPr>
        <w:spacing w:line="480" w:lineRule="auto"/>
        <w:ind w:firstLine="480" w:firstLineChars="200"/>
        <w:rPr>
          <w:sz w:val="24"/>
        </w:rPr>
      </w:pPr>
      <w:r>
        <w:rPr>
          <w:sz w:val="24"/>
        </w:rPr>
        <w:t xml:space="preserve">The experimental procedure included: </w:t>
      </w:r>
    </w:p>
    <w:p w14:paraId="3968B199">
      <w:pPr>
        <w:spacing w:line="480" w:lineRule="auto"/>
        <w:ind w:firstLine="480" w:firstLineChars="200"/>
        <w:rPr>
          <w:sz w:val="24"/>
        </w:rPr>
      </w:pPr>
      <w:r>
        <w:rPr>
          <w:sz w:val="24"/>
        </w:rPr>
        <w:t>1. Air-drying the soil samples retrieved from field layering to remove moisture;</w:t>
      </w:r>
    </w:p>
    <w:p w14:paraId="007213E7">
      <w:pPr>
        <w:spacing w:line="480" w:lineRule="auto"/>
        <w:ind w:firstLine="480" w:firstLineChars="200"/>
        <w:rPr>
          <w:sz w:val="24"/>
        </w:rPr>
      </w:pPr>
      <w:r>
        <w:rPr>
          <w:sz w:val="24"/>
        </w:rPr>
        <w:t>2. Sifting the soil through a 0.1 millimeters mesh to remove larger clods and roots;</w:t>
      </w:r>
    </w:p>
    <w:p w14:paraId="337225D0">
      <w:pPr>
        <w:spacing w:line="480" w:lineRule="auto"/>
        <w:ind w:firstLine="480" w:firstLineChars="200"/>
        <w:rPr>
          <w:sz w:val="24"/>
        </w:rPr>
      </w:pPr>
      <w:r>
        <w:rPr>
          <w:sz w:val="24"/>
        </w:rPr>
        <w:t>3. Filling in two layers: placing 40 centimeters of sandy loam in the lower layer and covering it with 10 centimeters of loess on top, compacting the soil as the sandbox was filled;</w:t>
      </w:r>
    </w:p>
    <w:p w14:paraId="3D216C70">
      <w:pPr>
        <w:spacing w:line="480" w:lineRule="auto"/>
        <w:ind w:firstLine="480" w:firstLineChars="200"/>
        <w:rPr>
          <w:sz w:val="24"/>
        </w:rPr>
      </w:pPr>
      <w:r>
        <w:rPr>
          <w:sz w:val="24"/>
        </w:rPr>
        <w:t>4. Excavating channels in the top layer of soil to simulate agricultural ditches, the circum-lake sewage interception engineering, and inlets to Erhai Lake, and then adding pure water;</w:t>
      </w:r>
    </w:p>
    <w:p w14:paraId="4649DBCB">
      <w:pPr>
        <w:spacing w:line="480" w:lineRule="auto"/>
        <w:ind w:firstLine="480" w:firstLineChars="200"/>
        <w:rPr>
          <w:sz w:val="24"/>
        </w:rPr>
      </w:pPr>
      <w:r>
        <w:rPr>
          <w:sz w:val="24"/>
        </w:rPr>
        <w:t>5. Steadily introducing water flow through the inlet until water emerged at the outlet, indicating saturation of the aquifer;</w:t>
      </w:r>
    </w:p>
    <w:p w14:paraId="1A81C77A">
      <w:pPr>
        <w:spacing w:line="480" w:lineRule="auto"/>
        <w:ind w:firstLine="480" w:firstLineChars="200"/>
        <w:rPr>
          <w:sz w:val="24"/>
        </w:rPr>
      </w:pPr>
      <w:r>
        <w:rPr>
          <w:sz w:val="24"/>
        </w:rPr>
        <w:t>6. Continuously injecting water containing dye into the top loess layer using a constant head method until dye began to emerge from the outlet, using red and blue-black ink to represent pollutant migration during dry and rainy seasons, respectively;</w:t>
      </w:r>
    </w:p>
    <w:p w14:paraId="7FCE46CB">
      <w:pPr>
        <w:spacing w:line="480" w:lineRule="auto"/>
        <w:ind w:firstLine="480" w:firstLineChars="200"/>
        <w:rPr>
          <w:sz w:val="24"/>
        </w:rPr>
      </w:pPr>
      <w:r>
        <w:rPr>
          <w:sz w:val="24"/>
        </w:rPr>
        <w:t>7. Photographing and recording the migration dynamics of the dye plume every 24 hours.</w:t>
      </w:r>
    </w:p>
    <w:p w14:paraId="477D353D">
      <w:pPr>
        <w:spacing w:before="200" w:after="200" w:line="480" w:lineRule="auto"/>
        <w:ind w:firstLine="0"/>
        <w:outlineLvl w:val="0"/>
        <w:rPr>
          <w:b/>
          <w:bCs/>
          <w:sz w:val="24"/>
        </w:rPr>
      </w:pPr>
      <w:r>
        <w:rPr>
          <w:rFonts w:hint="eastAsia"/>
          <w:b/>
          <w:bCs/>
          <w:sz w:val="24"/>
          <w:lang w:val="en-US" w:eastAsia="zh-CN"/>
        </w:rPr>
        <w:t xml:space="preserve">Section 4 </w:t>
      </w:r>
      <w:r>
        <w:rPr>
          <w:b/>
          <w:bCs/>
          <w:sz w:val="24"/>
        </w:rPr>
        <w:t>The pollutant transport process</w:t>
      </w:r>
    </w:p>
    <w:p w14:paraId="1C773320">
      <w:pPr>
        <w:spacing w:line="480" w:lineRule="auto"/>
        <w:ind w:firstLine="480" w:firstLineChars="200"/>
        <w:rPr>
          <w:sz w:val="24"/>
        </w:rPr>
      </w:pPr>
      <w:r>
        <w:rPr>
          <w:sz w:val="24"/>
        </w:rPr>
        <w:t>The pollutant transport process can be discussed in two stages based on the paths of pollutant migration:</w:t>
      </w:r>
    </w:p>
    <w:p w14:paraId="23F11C48">
      <w:pPr>
        <w:spacing w:line="480" w:lineRule="auto"/>
        <w:ind w:firstLine="480" w:firstLineChars="200"/>
        <w:rPr>
          <w:sz w:val="24"/>
        </w:rPr>
      </w:pPr>
      <w:r>
        <w:rPr>
          <w:sz w:val="24"/>
        </w:rPr>
        <w:t>Step 1: Before reaching the base flow, the pollutants primarily migrated vertically through seepage from the surface (Day 1). The plume, centered around the pollution source, took on a nearly circular shape and migrated laterally along the loess voids.</w:t>
      </w:r>
    </w:p>
    <w:p w14:paraId="73D6BED5">
      <w:pPr>
        <w:spacing w:line="480" w:lineRule="auto"/>
        <w:ind w:firstLine="480" w:firstLineChars="200"/>
        <w:rPr>
          <w:sz w:val="24"/>
        </w:rPr>
      </w:pPr>
      <w:r>
        <w:rPr>
          <w:sz w:val="24"/>
        </w:rPr>
        <w:t>Step 2: Once the pollutants infiltrated the saturated aquifer where the base flow was present, the migration primarily shifted to horizontal seepage (Days 2-7). On the second day, when the pollution plume reached a vertical depth of 40cm, it encountered the base flow, shifting from vertical to horizontal flow, and rapidly migrated downstream along the flow lines of the base flow. Since the water table was above the bottom of the circum-lake sewage interception engineering, some blue-black dye continuously entered the engineering and, under the influence of gravity, infiltrated down into the aquifer, migrating downstream with the base flow.</w:t>
      </w:r>
    </w:p>
    <w:p w14:paraId="18CE7C80">
      <w:pPr>
        <w:spacing w:before="200" w:after="200" w:line="480" w:lineRule="auto"/>
        <w:ind w:firstLine="0"/>
        <w:outlineLvl w:val="0"/>
        <w:rPr>
          <w:b/>
          <w:bCs/>
          <w:sz w:val="24"/>
        </w:rPr>
      </w:pPr>
      <w:r>
        <w:rPr>
          <w:rFonts w:hint="eastAsia"/>
          <w:b/>
          <w:bCs/>
          <w:sz w:val="24"/>
          <w:lang w:val="en-US" w:eastAsia="zh-CN"/>
        </w:rPr>
        <w:t>Section 5 I</w:t>
      </w:r>
      <w:r>
        <w:rPr>
          <w:rFonts w:hint="eastAsia"/>
          <w:b/>
          <w:bCs/>
          <w:sz w:val="24"/>
        </w:rPr>
        <w:t>ndex testing</w:t>
      </w:r>
    </w:p>
    <w:p w14:paraId="4AF8ECF7">
      <w:pPr>
        <w:spacing w:line="480" w:lineRule="auto"/>
        <w:ind w:firstLine="480"/>
        <w:rPr>
          <w:sz w:val="24"/>
        </w:rPr>
      </w:pPr>
      <w:r>
        <w:rPr>
          <w:sz w:val="24"/>
        </w:rPr>
        <w:t>The Nessler reagent method was employed to detect ammonia nitrogen, where the water sample is mixed with a masking agent, and the ammonia nitrogen (present as free ammonia or ammonium ions) reacts chemically with Nessler's reagent to form a colored complex. The analyzer then detects the change in color to determine the concentration of ammonia nitrogen. Nitrate nitrogen testing was conducted using the cadmium reduction method, which quantitatively reduces nitrate nitrogen to nitrite nitrogen in the water sample, followed by the diazo-azo photometric method to detect nitrite nitrogen. The initial nitrite nitrogen content is subtracted to determine the nitrate nitrogen concentration.</w:t>
      </w:r>
    </w:p>
    <w:p w14:paraId="751ACB2B">
      <w:pPr>
        <w:spacing w:line="480" w:lineRule="auto"/>
        <w:ind w:firstLine="0"/>
        <w:outlineLvl w:val="0"/>
        <w:rPr>
          <w:b/>
          <w:bCs/>
          <w:sz w:val="24"/>
        </w:rPr>
      </w:pPr>
      <w:r>
        <w:rPr>
          <w:rFonts w:hint="eastAsia"/>
          <w:b/>
          <w:bCs/>
          <w:sz w:val="24"/>
          <w:lang w:val="en-US" w:eastAsia="zh-CN"/>
        </w:rPr>
        <w:t xml:space="preserve">Section 6 </w:t>
      </w:r>
      <w:r>
        <w:rPr>
          <w:b/>
          <w:bCs/>
          <w:sz w:val="24"/>
          <w:szCs w:val="32"/>
        </w:rPr>
        <w:t>contribute to denitrification</w:t>
      </w:r>
    </w:p>
    <w:p w14:paraId="4A4F49D4">
      <w:pPr>
        <w:numPr>
          <w:ilvl w:val="0"/>
          <w:numId w:val="1"/>
        </w:numPr>
        <w:spacing w:line="480" w:lineRule="auto"/>
        <w:ind w:firstLine="480"/>
        <w:rPr>
          <w:rFonts w:hint="default"/>
          <w:sz w:val="24"/>
          <w:lang w:val="en-US" w:eastAsia="zh-CN"/>
        </w:rPr>
      </w:pPr>
      <w:r>
        <w:rPr>
          <w:rFonts w:hint="default"/>
          <w:sz w:val="24"/>
          <w:lang w:val="en-US" w:eastAsia="zh-CN"/>
        </w:rPr>
        <w:t>After 25 days, the concentrations of both ammonia and nitrate nitrogen in the effluent remained lower compared to the inflow, indicating a proliferation of denitrifying microbes and an adequate carbon source in the soil. Despite a significant increase in the combined concentrations of nitrate and ammonia nitrogen in the inflow, the effluent maintains lower combined concentrations. The ongoing denitrification of nitrate nitrogen in the system, converting it into N</w:t>
      </w:r>
      <w:r>
        <w:rPr>
          <w:rFonts w:hint="default"/>
          <w:sz w:val="24"/>
          <w:vertAlign w:val="subscript"/>
          <w:lang w:val="en-US" w:eastAsia="zh-CN"/>
        </w:rPr>
        <w:t>2</w:t>
      </w:r>
      <w:r>
        <w:rPr>
          <w:rFonts w:hint="default"/>
          <w:sz w:val="24"/>
          <w:lang w:val="en-US" w:eastAsia="zh-CN"/>
        </w:rPr>
        <w:t>O or N</w:t>
      </w:r>
      <w:r>
        <w:rPr>
          <w:rFonts w:hint="default"/>
          <w:sz w:val="24"/>
          <w:vertAlign w:val="subscript"/>
          <w:lang w:val="en-US" w:eastAsia="zh-CN"/>
        </w:rPr>
        <w:t>2</w:t>
      </w:r>
      <w:r>
        <w:rPr>
          <w:rFonts w:hint="default"/>
          <w:sz w:val="24"/>
          <w:lang w:val="en-US" w:eastAsia="zh-CN"/>
        </w:rPr>
        <w:t xml:space="preserve"> (nitrogen gas), thereby reducing inorganic nitrogen. </w:t>
      </w:r>
    </w:p>
    <w:p w14:paraId="0406A62E">
      <w:pPr>
        <w:numPr>
          <w:ilvl w:val="0"/>
          <w:numId w:val="1"/>
        </w:numPr>
        <w:spacing w:line="480" w:lineRule="auto"/>
        <w:ind w:firstLine="480"/>
        <w:rPr>
          <w:rFonts w:hint="default"/>
          <w:sz w:val="24"/>
          <w:lang w:val="en-US" w:eastAsia="zh-CN"/>
        </w:rPr>
      </w:pPr>
      <w:r>
        <w:rPr>
          <w:sz w:val="24"/>
        </w:rPr>
        <w:t xml:space="preserve"> Given that</w:t>
      </w:r>
      <w:r>
        <w:rPr>
          <w:rFonts w:hint="eastAsia"/>
          <w:sz w:val="24"/>
          <w:lang w:val="en-US" w:eastAsia="zh-CN"/>
        </w:rPr>
        <w:t xml:space="preserve"> </w:t>
      </w:r>
      <w:r>
        <w:rPr>
          <w:rFonts w:hint="eastAsia"/>
          <w:sz w:val="24"/>
          <w:szCs w:val="32"/>
        </w:rPr>
        <w:t>nitrate nitrogen</w:t>
      </w:r>
      <w:r>
        <w:rPr>
          <w:rFonts w:hint="eastAsia"/>
          <w:sz w:val="24"/>
          <w:szCs w:val="32"/>
          <w:lang w:val="en-US" w:eastAsia="zh-CN"/>
        </w:rPr>
        <w:t xml:space="preserve"> </w:t>
      </w:r>
      <w:r>
        <w:rPr>
          <w:sz w:val="24"/>
        </w:rPr>
        <w:t>represents the highest oxidation state of nitrogen under anaerobic conditions, it is unstable and easily reducible, making it particularly susceptible to denitrification.</w:t>
      </w:r>
    </w:p>
    <w:p w14:paraId="0CDAE5DF">
      <w:pPr>
        <w:spacing w:line="480" w:lineRule="auto"/>
        <w:ind w:firstLine="480"/>
        <w:rPr>
          <w:rFonts w:hint="default"/>
          <w:sz w:val="24"/>
          <w:lang w:val="en-US" w:eastAsia="zh-CN"/>
        </w:rPr>
      </w:pPr>
      <w:r>
        <w:rPr>
          <w:rFonts w:hint="default"/>
          <w:sz w:val="24"/>
          <w:lang w:val="en-US" w:eastAsia="zh-CN"/>
        </w:rPr>
        <w:t>3. Theoretical considerations suggest that bacteria prefer reactions with a higher energy yield. In denitrification, bacteria obtain an energy yield of 2333.84 kJ/mol, compared to only 679.605 kJ/mol during the dissimilatory reduction of nitrate. Therefore, bacteria are more inclined to reduce nitrate nitrogen to nitrogen gas (N</w:t>
      </w:r>
      <w:r>
        <w:rPr>
          <w:rFonts w:hint="default"/>
          <w:sz w:val="24"/>
          <w:vertAlign w:val="subscript"/>
          <w:lang w:val="en-US" w:eastAsia="zh-CN"/>
        </w:rPr>
        <w:t>2</w:t>
      </w:r>
      <w:r>
        <w:rPr>
          <w:rFonts w:hint="default"/>
          <w:sz w:val="24"/>
          <w:lang w:val="en-US" w:eastAsia="zh-CN"/>
        </w:rPr>
        <w:t>) rather than to ammonia nitrogen.</w:t>
      </w:r>
    </w:p>
    <w:p w14:paraId="39C9A052">
      <w:pPr>
        <w:spacing w:line="480" w:lineRule="auto"/>
        <w:ind w:firstLine="480"/>
        <w:rPr>
          <w:rFonts w:hint="default"/>
          <w:sz w:val="24"/>
          <w:lang w:val="en-US" w:eastAsia="zh-CN"/>
        </w:rPr>
      </w:pPr>
      <w:r>
        <w:rPr>
          <w:rFonts w:hint="default"/>
          <w:sz w:val="24"/>
          <w:lang w:val="en-US" w:eastAsia="zh-CN"/>
        </w:rPr>
        <w:t>4. Observations of the sandbox sediment layers indicated that areas of the sediment changed from black-gray to gray-white. This change is likely due to the introduction of the pollutant solution and subsequent denitrification processes, which lead to a significant release of nitrogen gas (</w:t>
      </w:r>
      <w:bookmarkStart w:id="6" w:name="OLE_LINK26"/>
      <w:bookmarkStart w:id="7" w:name="OLE_LINK27"/>
      <w:r>
        <w:rPr>
          <w:rFonts w:hint="default"/>
          <w:sz w:val="24"/>
          <w:lang w:val="en-US" w:eastAsia="zh-CN"/>
        </w:rPr>
        <w:t>N</w:t>
      </w:r>
      <w:r>
        <w:rPr>
          <w:rFonts w:hint="default"/>
          <w:sz w:val="24"/>
          <w:vertAlign w:val="subscript"/>
          <w:lang w:val="en-US" w:eastAsia="zh-CN"/>
        </w:rPr>
        <w:t>2</w:t>
      </w:r>
      <w:bookmarkEnd w:id="6"/>
      <w:bookmarkEnd w:id="7"/>
      <w:r>
        <w:rPr>
          <w:rFonts w:hint="default"/>
          <w:sz w:val="24"/>
          <w:lang w:val="en-US" w:eastAsia="zh-CN"/>
        </w:rPr>
        <w:t>). In the denitrification process, nitrate nitrogen serves as the substrate, and the process is directly influenced by its concentration. With continuous input of leachate, the concentration of nitrate nitrogen in the output liquid decreases. An anaerobic environment gradually forms within the sandbox, with substantial accumulation of organic matter in the soil medium, creating favorable conditions for denitrification. The consumption of oxygen tips the system toward more anaerobic conditions, further promoting denitrification.</w:t>
      </w:r>
    </w:p>
    <w:p w14:paraId="6E25BB7C">
      <w:pPr>
        <w:spacing w:line="480" w:lineRule="auto"/>
        <w:ind w:firstLine="480"/>
        <w:rPr>
          <w:rFonts w:hint="default"/>
          <w:sz w:val="24"/>
          <w:lang w:val="en-US" w:eastAsia="zh-CN"/>
        </w:rPr>
      </w:pPr>
      <w:r>
        <w:rPr>
          <w:rFonts w:hint="default"/>
          <w:sz w:val="24"/>
          <w:lang w:val="en-US" w:eastAsia="zh-CN"/>
        </w:rPr>
        <w:t>5. Additionally, during the experiment, the pH value remained between 7.1 and 7.4 (Figure S9(B)), an increase from the initial phase of the experiment and within the optimal range for denitrification of 5.5 to 8.0. The continuous anaerobic environment and appropriate pH value facilitated the denitrification process.</w:t>
      </w:r>
    </w:p>
    <w:p w14:paraId="37F8CF44">
      <w:pPr>
        <w:spacing w:line="480" w:lineRule="auto"/>
        <w:ind w:firstLine="480"/>
        <w:rPr>
          <w:rFonts w:hint="default"/>
          <w:sz w:val="24"/>
          <w:lang w:val="en-US" w:eastAsia="zh-CN"/>
        </w:rPr>
      </w:pPr>
      <w:r>
        <w:rPr>
          <w:rFonts w:hint="default"/>
          <w:sz w:val="24"/>
          <w:lang w:val="en-US" w:eastAsia="zh-CN"/>
        </w:rPr>
        <w:t>In summary, both experimental and field research indicate that the growth of algae and phytoplankton is significantly more abundant near the eastern coastal zone of the lake's sewage interception system compared to other areas (Figure 2). Analysis of water samples from various parts of this system, including ponds and channels, shows that the concentrations of ammonia nitrogen and nitrate nitrogen in these accumulated surface water bodies are relatively low (less than 1.5 mg/L). However, the concentration of ammonia nitrogen in local shallow wells reaches up to 6.09 mg/L, and nitrate nitrogen concentrations as high as 56.7 mg/L. This data suggest that various concentrations of nitrogen pollutants have accumulated in the vadose zone soil and shallow groundwater aquifer layers of the lake's sedimentary deposits due to long-term agricultural irrigation and local drainage projects lacking anti-seepage measures. After initiating water storage through the lake's sewage interception system, a hydraulic gradient is established between the storage area and Erhai Lake, the water storage in ponds and channels of the sewage interception system provides the hydrodynamic conditions necessary for hyporheic exchange and base flow replenishment between the system and the nearshore of Erhai Lake. The nitrogen pollutants accumulated in the lake deposits between the sewage interception system and the eastern coast of Erhai Lake serve as a continuous source of pollution during the hyporheic exchange process. Additionally, as illustrated in Figure 2, densely populated villages are located in the nearshore lake deposits between the lake sewage interception system and Erhai Lake. The domestic wastewater from these villages has only recently been collected and treated collectively; previously, potential leaks and enrichment into shallow aquifers were also significant sources of pollution during the hyporheic exchange and base flow replenishment processes following the construction of the lake sewage interception system.</w:t>
      </w:r>
    </w:p>
    <w:p w14:paraId="75597947">
      <w:pPr>
        <w:spacing w:line="480" w:lineRule="auto"/>
        <w:ind w:firstLine="480"/>
        <w:rPr>
          <w:rFonts w:hint="default"/>
          <w:sz w:val="24"/>
          <w:lang w:val="en-US" w:eastAsia="zh-CN"/>
        </w:rPr>
      </w:pPr>
    </w:p>
    <w:p w14:paraId="20BFB983">
      <w:pPr>
        <w:jc w:val="center"/>
        <w:rPr>
          <w:bCs/>
          <w:sz w:val="24"/>
          <w:szCs w:val="22"/>
        </w:rPr>
      </w:pPr>
      <w:r>
        <w:rPr>
          <w:sz w:val="24"/>
        </w:rPr>
        <w:drawing>
          <wp:inline distT="0" distB="0" distL="0" distR="0">
            <wp:extent cx="4869815" cy="2828290"/>
            <wp:effectExtent l="0" t="0" r="698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873456" cy="2830430"/>
                    </a:xfrm>
                    <a:prstGeom prst="rect">
                      <a:avLst/>
                    </a:prstGeom>
                    <a:noFill/>
                    <a:ln>
                      <a:noFill/>
                    </a:ln>
                  </pic:spPr>
                </pic:pic>
              </a:graphicData>
            </a:graphic>
          </wp:inline>
        </w:drawing>
      </w:r>
    </w:p>
    <w:p w14:paraId="0D1BEDBF">
      <w:pPr>
        <w:pStyle w:val="8"/>
        <w:spacing w:line="480" w:lineRule="auto"/>
        <w:rPr>
          <w:rFonts w:cs="Times New Roman"/>
        </w:rPr>
      </w:pPr>
      <w:r>
        <w:rPr>
          <w:rFonts w:cs="Times New Roman"/>
        </w:rPr>
        <w:t xml:space="preserve">Figure </w:t>
      </w:r>
      <w:r>
        <w:rPr>
          <w:rFonts w:hint="eastAsia" w:cs="Times New Roman"/>
          <w:lang w:val="en-US" w:eastAsia="zh-CN"/>
        </w:rPr>
        <w:t>S1</w:t>
      </w:r>
      <w:r>
        <w:rPr>
          <w:rFonts w:cs="Times New Roman"/>
        </w:rPr>
        <w:t xml:space="preserve"> Scope of field study area</w:t>
      </w:r>
    </w:p>
    <w:p w14:paraId="296CA93B">
      <w:pPr>
        <w:pStyle w:val="8"/>
        <w:spacing w:line="480" w:lineRule="auto"/>
        <w:ind w:left="363" w:firstLine="480" w:firstLineChars="200"/>
        <w:jc w:val="both"/>
        <w:rPr>
          <w:rFonts w:hint="eastAsia" w:eastAsia="宋体" w:cs="Times New Roman"/>
          <w:sz w:val="24"/>
          <w:szCs w:val="24"/>
          <w:lang w:val="en-US" w:eastAsia="zh-CN"/>
        </w:rPr>
      </w:pPr>
      <w:r>
        <w:rPr>
          <w:rFonts w:hint="eastAsia" w:cs="Times New Roman"/>
          <w:sz w:val="24"/>
          <w:szCs w:val="24"/>
          <w:lang w:val="en-US" w:eastAsia="zh-CN"/>
        </w:rPr>
        <w:t xml:space="preserve">In Figure S1, Point </w:t>
      </w:r>
      <w:r>
        <w:rPr>
          <w:rFonts w:cs="Times New Roman"/>
          <w:sz w:val="24"/>
          <w:szCs w:val="24"/>
        </w:rPr>
        <w:t>1 to 6 is the location of groundwater/surface water quality monitoring and A is the field monitoring site location for the riverbed hyporheic flux by temperature sensor</w:t>
      </w:r>
      <w:r>
        <w:rPr>
          <w:rFonts w:hint="eastAsia" w:cs="Times New Roman"/>
          <w:sz w:val="24"/>
          <w:szCs w:val="24"/>
          <w:lang w:val="en-US" w:eastAsia="zh-CN"/>
        </w:rPr>
        <w:t>.</w:t>
      </w:r>
    </w:p>
    <w:p w14:paraId="35580F94">
      <w:pPr>
        <w:jc w:val="center"/>
      </w:pPr>
      <w:r>
        <w:drawing>
          <wp:inline distT="0" distB="0" distL="0" distR="0">
            <wp:extent cx="1806575" cy="1555750"/>
            <wp:effectExtent l="0" t="0" r="9525" b="635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 cstate="print">
                      <a:extLst>
                        <a:ext uri="{28A0092B-C50C-407E-A947-70E740481C1C}">
                          <a14:useLocalDpi xmlns:a14="http://schemas.microsoft.com/office/drawing/2010/main" val="0"/>
                        </a:ext>
                      </a:extLst>
                    </a:blip>
                    <a:srcRect t="-2832" b="20047"/>
                    <a:stretch>
                      <a:fillRect/>
                    </a:stretch>
                  </pic:blipFill>
                  <pic:spPr>
                    <a:xfrm>
                      <a:off x="0" y="0"/>
                      <a:ext cx="1806575" cy="1555750"/>
                    </a:xfrm>
                    <a:prstGeom prst="rect">
                      <a:avLst/>
                    </a:prstGeom>
                    <a:ln>
                      <a:noFill/>
                    </a:ln>
                  </pic:spPr>
                </pic:pic>
              </a:graphicData>
            </a:graphic>
          </wp:inline>
        </w:drawing>
      </w:r>
      <w:r>
        <w:drawing>
          <wp:inline distT="0" distB="0" distL="0" distR="0">
            <wp:extent cx="1906270" cy="1524000"/>
            <wp:effectExtent l="0" t="0" r="1143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6270" cy="1524000"/>
                    </a:xfrm>
                    <a:prstGeom prst="rect">
                      <a:avLst/>
                    </a:prstGeom>
                  </pic:spPr>
                </pic:pic>
              </a:graphicData>
            </a:graphic>
          </wp:inline>
        </w:drawing>
      </w:r>
    </w:p>
    <w:p w14:paraId="0E5A5E83">
      <w:pPr>
        <w:pStyle w:val="8"/>
        <w:rPr>
          <w:rFonts w:cs="Times New Roman"/>
        </w:rPr>
      </w:pPr>
      <w:r>
        <w:rPr>
          <w:rFonts w:cs="Times New Roman"/>
        </w:rPr>
        <w:t xml:space="preserve">Figure </w:t>
      </w:r>
      <w:r>
        <w:rPr>
          <w:rFonts w:hint="eastAsia" w:cs="Times New Roman"/>
          <w:lang w:val="en-US" w:eastAsia="zh-CN"/>
        </w:rPr>
        <w:t>S2</w:t>
      </w:r>
      <w:r>
        <w:rPr>
          <w:rFonts w:cs="Times New Roman"/>
        </w:rPr>
        <w:t xml:space="preserve"> Temperature sensor layout and Taoxi river course during the wet period</w:t>
      </w:r>
    </w:p>
    <w:p w14:paraId="5DBA9DBA">
      <w:pPr>
        <w:jc w:val="center"/>
      </w:pPr>
      <w:r>
        <w:drawing>
          <wp:inline distT="0" distB="0" distL="0" distR="0">
            <wp:extent cx="2639695" cy="2085340"/>
            <wp:effectExtent l="0" t="0" r="1905" b="1016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39695" cy="2085340"/>
                    </a:xfrm>
                    <a:prstGeom prst="rect">
                      <a:avLst/>
                    </a:prstGeom>
                    <a:noFill/>
                    <a:ln>
                      <a:noFill/>
                    </a:ln>
                  </pic:spPr>
                </pic:pic>
              </a:graphicData>
            </a:graphic>
          </wp:inline>
        </w:drawing>
      </w:r>
    </w:p>
    <w:p w14:paraId="2F149A6E">
      <w:pPr>
        <w:pStyle w:val="8"/>
        <w:rPr>
          <w:rFonts w:cs="Times New Roman"/>
        </w:rPr>
      </w:pPr>
      <w:r>
        <w:rPr>
          <w:rFonts w:cs="Times New Roman"/>
        </w:rPr>
        <w:t xml:space="preserve">Figure </w:t>
      </w:r>
      <w:r>
        <w:rPr>
          <w:rFonts w:hint="eastAsia" w:cs="Times New Roman"/>
          <w:lang w:val="en-US" w:eastAsia="zh-CN"/>
        </w:rPr>
        <w:t>S3</w:t>
      </w:r>
      <w:r>
        <w:rPr>
          <w:rFonts w:cs="Times New Roman"/>
        </w:rPr>
        <w:t xml:space="preserve"> Hyporheic flow flux diagram during the wet season</w:t>
      </w:r>
    </w:p>
    <w:p w14:paraId="0ACEC854">
      <w:pPr>
        <w:jc w:val="center"/>
      </w:pPr>
      <w:r>
        <w:drawing>
          <wp:inline distT="0" distB="0" distL="0" distR="0">
            <wp:extent cx="2830195" cy="219964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9" cstate="print">
                      <a:extLst>
                        <a:ext uri="{28A0092B-C50C-407E-A947-70E740481C1C}">
                          <a14:useLocalDpi xmlns:a14="http://schemas.microsoft.com/office/drawing/2010/main" val="0"/>
                        </a:ext>
                      </a:extLst>
                    </a:blip>
                    <a:srcRect t="-395" b="-2"/>
                    <a:stretch>
                      <a:fillRect/>
                    </a:stretch>
                  </pic:blipFill>
                  <pic:spPr>
                    <a:xfrm>
                      <a:off x="0" y="0"/>
                      <a:ext cx="2894256" cy="2199640"/>
                    </a:xfrm>
                    <a:prstGeom prst="rect">
                      <a:avLst/>
                    </a:prstGeom>
                    <a:ln>
                      <a:noFill/>
                    </a:ln>
                  </pic:spPr>
                </pic:pic>
              </a:graphicData>
            </a:graphic>
          </wp:inline>
        </w:drawing>
      </w:r>
      <w:r>
        <w:drawing>
          <wp:inline distT="0" distB="0" distL="0" distR="0">
            <wp:extent cx="2053590" cy="2184400"/>
            <wp:effectExtent l="0" t="0" r="381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3590" cy="2184400"/>
                    </a:xfrm>
                    <a:prstGeom prst="rect">
                      <a:avLst/>
                    </a:prstGeom>
                  </pic:spPr>
                </pic:pic>
              </a:graphicData>
            </a:graphic>
          </wp:inline>
        </w:drawing>
      </w:r>
    </w:p>
    <w:p w14:paraId="39E7F66A">
      <w:pPr>
        <w:adjustRightInd w:val="0"/>
        <w:snapToGrid w:val="0"/>
        <w:spacing w:before="120" w:after="120" w:line="480" w:lineRule="auto"/>
        <w:jc w:val="center"/>
      </w:pPr>
      <w:r>
        <w:t xml:space="preserve">Figure </w:t>
      </w:r>
      <w:r>
        <w:rPr>
          <w:rFonts w:hint="eastAsia"/>
          <w:lang w:val="en-US" w:eastAsia="zh-CN"/>
        </w:rPr>
        <w:t>S4</w:t>
      </w:r>
      <w:r>
        <w:t xml:space="preserve"> Low water period of Taoxi</w:t>
      </w:r>
    </w:p>
    <w:p w14:paraId="001D0B0C">
      <w:pPr>
        <w:jc w:val="center"/>
      </w:pPr>
      <w:r>
        <w:drawing>
          <wp:inline distT="0" distB="0" distL="0" distR="0">
            <wp:extent cx="3145790" cy="2417445"/>
            <wp:effectExtent l="0" t="0" r="381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145790" cy="2417445"/>
                    </a:xfrm>
                    <a:prstGeom prst="rect">
                      <a:avLst/>
                    </a:prstGeom>
                    <a:noFill/>
                    <a:ln>
                      <a:noFill/>
                    </a:ln>
                  </pic:spPr>
                </pic:pic>
              </a:graphicData>
            </a:graphic>
          </wp:inline>
        </w:drawing>
      </w:r>
    </w:p>
    <w:p w14:paraId="5DF1ECDC">
      <w:pPr>
        <w:adjustRightInd w:val="0"/>
        <w:snapToGrid w:val="0"/>
        <w:spacing w:before="120" w:after="120" w:line="480" w:lineRule="auto"/>
        <w:jc w:val="center"/>
      </w:pPr>
      <w:r>
        <w:t xml:space="preserve">Figure </w:t>
      </w:r>
      <w:r>
        <w:rPr>
          <w:rFonts w:hint="eastAsia"/>
          <w:lang w:val="en-US" w:eastAsia="zh-CN"/>
        </w:rPr>
        <w:t>S5</w:t>
      </w:r>
      <w:r>
        <w:t xml:space="preserve"> Hyporheic flux during the dry season</w:t>
      </w:r>
    </w:p>
    <w:p w14:paraId="58BF4A7E">
      <w:pPr>
        <w:pStyle w:val="8"/>
        <w:rPr>
          <w:rFonts w:cs="Times New Roman"/>
        </w:rPr>
      </w:pPr>
      <w:r>
        <w:rPr>
          <w:rFonts w:cs="Times New Roman"/>
        </w:rPr>
        <w:drawing>
          <wp:inline distT="0" distB="0" distL="0" distR="0">
            <wp:extent cx="3190240" cy="2404745"/>
            <wp:effectExtent l="0" t="0" r="1016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190240" cy="2404745"/>
                    </a:xfrm>
                    <a:prstGeom prst="rect">
                      <a:avLst/>
                    </a:prstGeom>
                    <a:noFill/>
                    <a:ln>
                      <a:noFill/>
                    </a:ln>
                  </pic:spPr>
                </pic:pic>
              </a:graphicData>
            </a:graphic>
          </wp:inline>
        </w:drawing>
      </w:r>
    </w:p>
    <w:p w14:paraId="70A5E91B">
      <w:pPr>
        <w:adjustRightInd w:val="0"/>
        <w:snapToGrid w:val="0"/>
        <w:spacing w:before="120" w:after="120" w:line="480" w:lineRule="auto"/>
        <w:jc w:val="center"/>
      </w:pPr>
      <w:r>
        <w:t xml:space="preserve">Figure </w:t>
      </w:r>
      <w:r>
        <w:rPr>
          <w:rFonts w:hint="eastAsia"/>
          <w:lang w:val="en-US" w:eastAsia="zh-CN"/>
        </w:rPr>
        <w:t>S6</w:t>
      </w:r>
      <w:r>
        <w:t xml:space="preserve"> Hyporheic flux during rainfall</w:t>
      </w:r>
    </w:p>
    <w:p w14:paraId="2759EF4B">
      <w:pPr>
        <w:jc w:val="center"/>
        <w:rPr>
          <w:sz w:val="24"/>
        </w:rPr>
      </w:pPr>
      <w:r>
        <w:rPr>
          <w:sz w:val="24"/>
        </w:rPr>
        <w:drawing>
          <wp:inline distT="0" distB="0" distL="0" distR="0">
            <wp:extent cx="5252085" cy="2134235"/>
            <wp:effectExtent l="0" t="0" r="5715" b="1206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52085" cy="2134235"/>
                    </a:xfrm>
                    <a:prstGeom prst="rect">
                      <a:avLst/>
                    </a:prstGeom>
                  </pic:spPr>
                </pic:pic>
              </a:graphicData>
            </a:graphic>
          </wp:inline>
        </w:drawing>
      </w:r>
    </w:p>
    <w:p w14:paraId="403DDB40">
      <w:pPr>
        <w:adjustRightInd w:val="0"/>
        <w:snapToGrid w:val="0"/>
        <w:spacing w:before="120" w:after="120" w:line="480" w:lineRule="auto"/>
        <w:jc w:val="center"/>
      </w:pPr>
      <w:r>
        <w:t xml:space="preserve">Figure </w:t>
      </w:r>
      <w:r>
        <w:rPr>
          <w:rFonts w:hint="eastAsia"/>
          <w:lang w:val="en-US" w:eastAsia="zh-CN"/>
        </w:rPr>
        <w:t>S7</w:t>
      </w:r>
      <w:r>
        <w:t xml:space="preserve"> Indoor sandbox model</w:t>
      </w:r>
    </w:p>
    <w:p w14:paraId="277ED1C8">
      <w:pPr>
        <w:spacing w:line="360" w:lineRule="auto"/>
        <w:jc w:val="center"/>
        <w:rPr>
          <w:sz w:val="24"/>
        </w:rPr>
      </w:pPr>
      <w:r>
        <w:drawing>
          <wp:inline distT="0" distB="0" distL="0" distR="0">
            <wp:extent cx="3510915" cy="2179320"/>
            <wp:effectExtent l="0" t="0" r="698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510915" cy="2179320"/>
                    </a:xfrm>
                    <a:prstGeom prst="rect">
                      <a:avLst/>
                    </a:prstGeom>
                    <a:noFill/>
                    <a:ln>
                      <a:noFill/>
                    </a:ln>
                  </pic:spPr>
                </pic:pic>
              </a:graphicData>
            </a:graphic>
          </wp:inline>
        </w:drawing>
      </w:r>
    </w:p>
    <w:p w14:paraId="4742BF0C">
      <w:pPr>
        <w:adjustRightInd w:val="0"/>
        <w:snapToGrid w:val="0"/>
        <w:spacing w:before="120" w:after="120" w:line="480" w:lineRule="auto"/>
        <w:jc w:val="center"/>
      </w:pPr>
      <w:r>
        <w:t xml:space="preserve">Figure </w:t>
      </w:r>
      <w:r>
        <w:rPr>
          <w:rFonts w:hint="eastAsia"/>
          <w:lang w:val="en-US" w:eastAsia="zh-CN"/>
        </w:rPr>
        <w:t>S8</w:t>
      </w:r>
      <w:r>
        <w:t xml:space="preserve"> Diagram of the sandbox</w:t>
      </w:r>
    </w:p>
    <w:p w14:paraId="181BDF77">
      <w:pPr>
        <w:adjustRightInd w:val="0"/>
        <w:snapToGrid w:val="0"/>
        <w:spacing w:before="120" w:after="120"/>
        <w:jc w:val="center"/>
        <w:rPr>
          <w:szCs w:val="22"/>
        </w:rPr>
      </w:pPr>
      <w:r>
        <w:drawing>
          <wp:inline distT="0" distB="0" distL="0" distR="0">
            <wp:extent cx="5020945" cy="2063115"/>
            <wp:effectExtent l="0" t="0" r="8255" b="698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020945" cy="2063115"/>
                    </a:xfrm>
                    <a:prstGeom prst="rect">
                      <a:avLst/>
                    </a:prstGeom>
                    <a:noFill/>
                    <a:ln>
                      <a:noFill/>
                    </a:ln>
                  </pic:spPr>
                </pic:pic>
              </a:graphicData>
            </a:graphic>
          </wp:inline>
        </w:drawing>
      </w:r>
    </w:p>
    <w:p w14:paraId="00589DFE">
      <w:pPr>
        <w:adjustRightInd w:val="0"/>
        <w:snapToGrid w:val="0"/>
        <w:spacing w:before="120" w:after="120" w:line="480" w:lineRule="auto"/>
        <w:jc w:val="center"/>
      </w:pPr>
      <w:r>
        <w:t xml:space="preserve">Figure </w:t>
      </w:r>
      <w:r>
        <w:rPr>
          <w:rFonts w:hint="eastAsia"/>
          <w:lang w:val="en-US" w:eastAsia="zh-CN"/>
        </w:rPr>
        <w:t>S9</w:t>
      </w:r>
      <w:r>
        <w:t xml:space="preserve"> (A) Changes in dissolved oxygen at sampling point A1, D4 in the sandbox over time </w:t>
      </w:r>
    </w:p>
    <w:p w14:paraId="62B1D0DE">
      <w:pPr>
        <w:adjustRightInd w:val="0"/>
        <w:snapToGrid w:val="0"/>
        <w:spacing w:before="120" w:after="120" w:line="480" w:lineRule="auto"/>
        <w:jc w:val="center"/>
      </w:pPr>
      <w:r>
        <w:t>(B) changes in dissolved pH at sampling point A1, D4 in the sandbox over time</w:t>
      </w:r>
    </w:p>
    <w:p w14:paraId="5FCE613A">
      <w:pPr>
        <w:jc w:val="center"/>
      </w:pPr>
      <w:r>
        <w:drawing>
          <wp:inline distT="0" distB="0" distL="0" distR="0">
            <wp:extent cx="3293745" cy="2701290"/>
            <wp:effectExtent l="0" t="0" r="8255"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293745" cy="2701290"/>
                    </a:xfrm>
                    <a:prstGeom prst="rect">
                      <a:avLst/>
                    </a:prstGeom>
                    <a:noFill/>
                    <a:ln>
                      <a:noFill/>
                    </a:ln>
                  </pic:spPr>
                </pic:pic>
              </a:graphicData>
            </a:graphic>
          </wp:inline>
        </w:drawing>
      </w:r>
    </w:p>
    <w:p w14:paraId="0B74CDFB">
      <w:pPr>
        <w:adjustRightInd w:val="0"/>
        <w:snapToGrid w:val="0"/>
        <w:spacing w:before="120" w:after="120" w:line="480" w:lineRule="auto"/>
        <w:jc w:val="center"/>
      </w:pPr>
      <w:r>
        <w:t xml:space="preserve">Figure </w:t>
      </w:r>
      <w:r>
        <w:rPr>
          <w:rFonts w:hint="eastAsia"/>
          <w:lang w:val="en-US" w:eastAsia="zh-CN"/>
        </w:rPr>
        <w:t>S10</w:t>
      </w:r>
      <w:r>
        <w:t xml:space="preserve"> Time variation graph of total Ammonia nitrogen and nitrate nitrogen concentrations</w:t>
      </w:r>
    </w:p>
    <w:p w14:paraId="1ACC06A0">
      <w:pPr>
        <w:pStyle w:val="8"/>
        <w:spacing w:line="480" w:lineRule="auto"/>
        <w:rPr>
          <w:rFonts w:cs="Times New Roman"/>
        </w:rPr>
      </w:pPr>
    </w:p>
    <w:p w14:paraId="5F3BD9C4">
      <w:pPr>
        <w:pStyle w:val="8"/>
        <w:spacing w:line="480" w:lineRule="auto"/>
        <w:rPr>
          <w:rFonts w:cs="Times New Roman"/>
        </w:rPr>
      </w:pPr>
      <w:r>
        <w:rPr>
          <w:rFonts w:cs="Times New Roman"/>
        </w:rPr>
        <w:t xml:space="preserve">Table </w:t>
      </w:r>
      <w:r>
        <w:rPr>
          <w:rFonts w:hint="eastAsia" w:cs="Times New Roman"/>
          <w:lang w:val="en-US" w:eastAsia="zh-CN"/>
        </w:rPr>
        <w:t>S</w:t>
      </w:r>
      <w:r>
        <w:rPr>
          <w:rFonts w:cs="Times New Roman"/>
        </w:rPr>
        <w:t>1 Hyporheic current flux (L/m</w:t>
      </w:r>
      <w:r>
        <w:rPr>
          <w:rFonts w:cs="Times New Roman"/>
          <w:vertAlign w:val="superscript"/>
        </w:rPr>
        <w:t>2</w:t>
      </w:r>
      <w:r>
        <w:rPr>
          <w:rFonts w:cs="Times New Roman"/>
          <w:color w:val="333333"/>
          <w:shd w:val="clear" w:color="auto" w:fill="FFFFFF"/>
        </w:rPr>
        <w:t>·s)</w:t>
      </w:r>
      <w:r>
        <w:rPr>
          <w:rFonts w:cs="Times New Roman"/>
        </w:rPr>
        <w:t xml:space="preserve"> during the wet season</w:t>
      </w:r>
    </w:p>
    <w:tbl>
      <w:tblPr>
        <w:tblStyle w:val="4"/>
        <w:tblW w:w="5000"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21"/>
        <w:gridCol w:w="1421"/>
        <w:gridCol w:w="1420"/>
        <w:gridCol w:w="1420"/>
        <w:gridCol w:w="1420"/>
        <w:gridCol w:w="1420"/>
      </w:tblGrid>
      <w:tr w14:paraId="09A58B9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jc w:val="center"/>
        </w:trPr>
        <w:tc>
          <w:tcPr>
            <w:tcW w:w="834" w:type="pct"/>
            <w:tcBorders>
              <w:top w:val="single" w:color="auto" w:sz="12" w:space="0"/>
              <w:bottom w:val="single" w:color="auto" w:sz="4" w:space="0"/>
            </w:tcBorders>
            <w:vAlign w:val="center"/>
          </w:tcPr>
          <w:p w14:paraId="095C6F5F">
            <w:pPr>
              <w:jc w:val="center"/>
              <w:rPr>
                <w:kern w:val="0"/>
                <w:sz w:val="21"/>
              </w:rPr>
            </w:pPr>
            <w:bookmarkStart w:id="8" w:name="_Hlk162185787"/>
            <w:r>
              <w:rPr>
                <w:kern w:val="0"/>
                <w:sz w:val="21"/>
              </w:rPr>
              <w:t>Depth(m)</w:t>
            </w:r>
          </w:p>
        </w:tc>
        <w:tc>
          <w:tcPr>
            <w:tcW w:w="834" w:type="pct"/>
            <w:tcBorders>
              <w:top w:val="single" w:color="auto" w:sz="12" w:space="0"/>
              <w:bottom w:val="single" w:color="auto" w:sz="4" w:space="0"/>
            </w:tcBorders>
            <w:vAlign w:val="center"/>
          </w:tcPr>
          <w:p w14:paraId="29F38508">
            <w:pPr>
              <w:jc w:val="center"/>
              <w:rPr>
                <w:kern w:val="0"/>
                <w:sz w:val="21"/>
                <w:szCs w:val="20"/>
              </w:rPr>
            </w:pPr>
            <w:r>
              <w:rPr>
                <w:kern w:val="0"/>
                <w:sz w:val="21"/>
              </w:rPr>
              <w:t>Mean</w:t>
            </w:r>
          </w:p>
        </w:tc>
        <w:tc>
          <w:tcPr>
            <w:tcW w:w="833" w:type="pct"/>
            <w:tcBorders>
              <w:top w:val="single" w:color="auto" w:sz="12" w:space="0"/>
              <w:bottom w:val="single" w:color="auto" w:sz="4" w:space="0"/>
            </w:tcBorders>
            <w:vAlign w:val="center"/>
          </w:tcPr>
          <w:p w14:paraId="146D466A">
            <w:pPr>
              <w:jc w:val="center"/>
              <w:rPr>
                <w:kern w:val="0"/>
                <w:sz w:val="21"/>
              </w:rPr>
            </w:pPr>
            <w:r>
              <w:rPr>
                <w:kern w:val="0"/>
                <w:sz w:val="21"/>
              </w:rPr>
              <w:t>Minimum</w:t>
            </w:r>
          </w:p>
        </w:tc>
        <w:tc>
          <w:tcPr>
            <w:tcW w:w="833" w:type="pct"/>
            <w:tcBorders>
              <w:top w:val="single" w:color="auto" w:sz="12" w:space="0"/>
              <w:bottom w:val="single" w:color="auto" w:sz="4" w:space="0"/>
            </w:tcBorders>
            <w:vAlign w:val="center"/>
          </w:tcPr>
          <w:p w14:paraId="684C7B21">
            <w:pPr>
              <w:jc w:val="center"/>
              <w:rPr>
                <w:kern w:val="0"/>
                <w:sz w:val="21"/>
              </w:rPr>
            </w:pPr>
            <w:r>
              <w:rPr>
                <w:kern w:val="0"/>
                <w:sz w:val="21"/>
              </w:rPr>
              <w:t>Maximum</w:t>
            </w:r>
          </w:p>
        </w:tc>
        <w:tc>
          <w:tcPr>
            <w:tcW w:w="833" w:type="pct"/>
            <w:tcBorders>
              <w:top w:val="single" w:color="auto" w:sz="12" w:space="0"/>
              <w:bottom w:val="single" w:color="auto" w:sz="4" w:space="0"/>
            </w:tcBorders>
            <w:vAlign w:val="center"/>
          </w:tcPr>
          <w:p w14:paraId="2DCEC797">
            <w:pPr>
              <w:jc w:val="center"/>
              <w:rPr>
                <w:kern w:val="0"/>
                <w:sz w:val="21"/>
              </w:rPr>
            </w:pPr>
            <w:r>
              <w:rPr>
                <w:kern w:val="0"/>
                <w:sz w:val="21"/>
              </w:rPr>
              <w:t>Standard deviation</w:t>
            </w:r>
          </w:p>
        </w:tc>
        <w:tc>
          <w:tcPr>
            <w:tcW w:w="833" w:type="pct"/>
            <w:tcBorders>
              <w:top w:val="single" w:color="auto" w:sz="12" w:space="0"/>
              <w:bottom w:val="single" w:color="auto" w:sz="4" w:space="0"/>
            </w:tcBorders>
            <w:vAlign w:val="center"/>
          </w:tcPr>
          <w:p w14:paraId="734F93E2">
            <w:pPr>
              <w:jc w:val="center"/>
              <w:rPr>
                <w:kern w:val="0"/>
                <w:sz w:val="21"/>
              </w:rPr>
            </w:pPr>
            <w:r>
              <w:rPr>
                <w:kern w:val="0"/>
                <w:sz w:val="21"/>
              </w:rPr>
              <w:t>Variable coefficient</w:t>
            </w:r>
          </w:p>
        </w:tc>
      </w:tr>
      <w:tr w14:paraId="75574B4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jc w:val="center"/>
        </w:trPr>
        <w:tc>
          <w:tcPr>
            <w:tcW w:w="834" w:type="pct"/>
            <w:tcBorders>
              <w:top w:val="single" w:color="auto" w:sz="4" w:space="0"/>
            </w:tcBorders>
            <w:vAlign w:val="center"/>
          </w:tcPr>
          <w:p w14:paraId="1F1200CC">
            <w:pPr>
              <w:jc w:val="center"/>
              <w:rPr>
                <w:kern w:val="0"/>
                <w:sz w:val="21"/>
              </w:rPr>
            </w:pPr>
            <w:r>
              <w:rPr>
                <w:color w:val="000000"/>
                <w:kern w:val="0"/>
                <w:sz w:val="21"/>
              </w:rPr>
              <w:t>0.15</w:t>
            </w:r>
          </w:p>
        </w:tc>
        <w:tc>
          <w:tcPr>
            <w:tcW w:w="834" w:type="pct"/>
            <w:tcBorders>
              <w:top w:val="single" w:color="auto" w:sz="4" w:space="0"/>
            </w:tcBorders>
            <w:vAlign w:val="center"/>
          </w:tcPr>
          <w:p w14:paraId="1840F1C5">
            <w:pPr>
              <w:jc w:val="center"/>
              <w:rPr>
                <w:kern w:val="0"/>
                <w:sz w:val="21"/>
              </w:rPr>
            </w:pPr>
            <m:oMathPara>
              <m:oMath>
                <m:sSup>
                  <m:sSupPr>
                    <m:ctrlPr>
                      <w:rPr>
                        <w:rFonts w:ascii="Cambria Math" w:hAnsi="Cambria Math"/>
                        <w:kern w:val="0"/>
                        <w:sz w:val="21"/>
                      </w:rPr>
                    </m:ctrlPr>
                  </m:sSupPr>
                  <m:e>
                    <m:r>
                      <m:rPr>
                        <m:nor/>
                        <m:sty m:val="p"/>
                      </m:rPr>
                      <w:rPr>
                        <w:b w:val="0"/>
                        <w:i w:val="0"/>
                        <w:kern w:val="0"/>
                        <w:sz w:val="21"/>
                      </w:rPr>
                      <m:t>3.0×10</m:t>
                    </m:r>
                    <m:ctrlPr>
                      <w:rPr>
                        <w:rFonts w:ascii="Cambria Math" w:hAnsi="Cambria Math"/>
                        <w:kern w:val="0"/>
                        <w:sz w:val="21"/>
                      </w:rPr>
                    </m:ctrlPr>
                  </m:e>
                  <m:sup>
                    <m:r>
                      <m:rPr>
                        <m:nor/>
                        <m:sty m:val="p"/>
                      </m:rPr>
                      <w:rPr>
                        <w:b w:val="0"/>
                        <w:i w:val="0"/>
                        <w:kern w:val="0"/>
                        <w:sz w:val="21"/>
                      </w:rPr>
                      <m:t>-5</m:t>
                    </m:r>
                    <m:ctrlPr>
                      <w:rPr>
                        <w:rFonts w:ascii="Cambria Math" w:hAnsi="Cambria Math"/>
                        <w:kern w:val="0"/>
                        <w:sz w:val="21"/>
                      </w:rPr>
                    </m:ctrlPr>
                  </m:sup>
                </m:sSup>
              </m:oMath>
            </m:oMathPara>
          </w:p>
        </w:tc>
        <w:tc>
          <w:tcPr>
            <w:tcW w:w="833" w:type="pct"/>
            <w:tcBorders>
              <w:top w:val="single" w:color="auto" w:sz="4" w:space="0"/>
            </w:tcBorders>
            <w:vAlign w:val="center"/>
          </w:tcPr>
          <w:p w14:paraId="45B10FB8">
            <w:pPr>
              <w:jc w:val="center"/>
              <w:rPr>
                <w:kern w:val="0"/>
                <w:sz w:val="21"/>
              </w:rPr>
            </w:pPr>
            <m:oMathPara>
              <m:oMath>
                <m:sSup>
                  <m:sSupPr>
                    <m:ctrlPr>
                      <w:rPr>
                        <w:rFonts w:ascii="Cambria Math" w:hAnsi="Cambria Math"/>
                        <w:kern w:val="0"/>
                        <w:sz w:val="21"/>
                      </w:rPr>
                    </m:ctrlPr>
                  </m:sSupPr>
                  <m:e>
                    <m:r>
                      <m:rPr>
                        <m:nor/>
                        <m:sty m:val="p"/>
                      </m:rPr>
                      <w:rPr>
                        <w:b w:val="0"/>
                        <w:i w:val="0"/>
                        <w:kern w:val="0"/>
                        <w:sz w:val="21"/>
                      </w:rPr>
                      <m:t>1.0×10</m:t>
                    </m:r>
                    <m:ctrlPr>
                      <w:rPr>
                        <w:rFonts w:ascii="Cambria Math" w:hAnsi="Cambria Math"/>
                        <w:kern w:val="0"/>
                        <w:sz w:val="21"/>
                      </w:rPr>
                    </m:ctrlPr>
                  </m:e>
                  <m:sup>
                    <m:r>
                      <m:rPr>
                        <m:nor/>
                        <m:sty m:val="p"/>
                      </m:rPr>
                      <w:rPr>
                        <w:b w:val="0"/>
                        <w:i w:val="0"/>
                        <w:kern w:val="0"/>
                        <w:sz w:val="21"/>
                      </w:rPr>
                      <m:t>-6</m:t>
                    </m:r>
                    <m:ctrlPr>
                      <w:rPr>
                        <w:rFonts w:ascii="Cambria Math" w:hAnsi="Cambria Math"/>
                        <w:kern w:val="0"/>
                        <w:sz w:val="21"/>
                      </w:rPr>
                    </m:ctrlPr>
                  </m:sup>
                </m:sSup>
              </m:oMath>
            </m:oMathPara>
          </w:p>
        </w:tc>
        <w:tc>
          <w:tcPr>
            <w:tcW w:w="833" w:type="pct"/>
            <w:tcBorders>
              <w:top w:val="single" w:color="auto" w:sz="4" w:space="0"/>
            </w:tcBorders>
            <w:vAlign w:val="center"/>
          </w:tcPr>
          <w:p w14:paraId="37C6E32B">
            <w:pPr>
              <w:jc w:val="center"/>
              <w:rPr>
                <w:kern w:val="0"/>
                <w:sz w:val="21"/>
              </w:rPr>
            </w:pPr>
            <m:oMathPara>
              <m:oMath>
                <m:r>
                  <m:rPr>
                    <m:nor/>
                    <m:sty m:val="p"/>
                  </m:rPr>
                  <w:rPr>
                    <w:b w:val="0"/>
                    <w:i w:val="0"/>
                    <w:kern w:val="0"/>
                    <w:sz w:val="21"/>
                  </w:rPr>
                  <m:t>9.1</m:t>
                </m:r>
                <m:sSup>
                  <m:sSupPr>
                    <m:ctrlPr>
                      <w:rPr>
                        <w:rFonts w:ascii="Cambria Math" w:hAnsi="Cambria Math"/>
                        <w:kern w:val="0"/>
                        <w:sz w:val="21"/>
                      </w:rPr>
                    </m:ctrlPr>
                  </m:sSupPr>
                  <m:e>
                    <m:r>
                      <m:rPr>
                        <m:nor/>
                        <m:sty m:val="p"/>
                      </m:rPr>
                      <w:rPr>
                        <w:b w:val="0"/>
                        <w:i w:val="0"/>
                        <w:kern w:val="0"/>
                        <w:sz w:val="21"/>
                      </w:rPr>
                      <m:t>×10</m:t>
                    </m:r>
                    <m:ctrlPr>
                      <w:rPr>
                        <w:rFonts w:ascii="Cambria Math" w:hAnsi="Cambria Math"/>
                        <w:kern w:val="0"/>
                        <w:sz w:val="21"/>
                      </w:rPr>
                    </m:ctrlPr>
                  </m:e>
                  <m:sup>
                    <m:r>
                      <m:rPr>
                        <m:nor/>
                        <m:sty m:val="p"/>
                      </m:rPr>
                      <w:rPr>
                        <w:b w:val="0"/>
                        <w:i w:val="0"/>
                        <w:kern w:val="0"/>
                        <w:sz w:val="21"/>
                      </w:rPr>
                      <m:t>-5</m:t>
                    </m:r>
                    <m:ctrlPr>
                      <w:rPr>
                        <w:rFonts w:ascii="Cambria Math" w:hAnsi="Cambria Math"/>
                        <w:kern w:val="0"/>
                        <w:sz w:val="21"/>
                      </w:rPr>
                    </m:ctrlPr>
                  </m:sup>
                </m:sSup>
              </m:oMath>
            </m:oMathPara>
          </w:p>
        </w:tc>
        <w:tc>
          <w:tcPr>
            <w:tcW w:w="833" w:type="pct"/>
            <w:tcBorders>
              <w:top w:val="single" w:color="auto" w:sz="4" w:space="0"/>
            </w:tcBorders>
            <w:vAlign w:val="center"/>
          </w:tcPr>
          <w:p w14:paraId="64F608F4">
            <w:pPr>
              <w:jc w:val="center"/>
              <w:rPr>
                <w:kern w:val="0"/>
                <w:sz w:val="21"/>
              </w:rPr>
            </w:pPr>
            <m:oMathPara>
              <m:oMath>
                <m:sSup>
                  <m:sSupPr>
                    <m:ctrlPr>
                      <w:rPr>
                        <w:rFonts w:ascii="Cambria Math" w:hAnsi="Cambria Math"/>
                        <w:kern w:val="0"/>
                        <w:sz w:val="21"/>
                      </w:rPr>
                    </m:ctrlPr>
                  </m:sSupPr>
                  <m:e>
                    <m:r>
                      <m:rPr>
                        <m:nor/>
                        <m:sty m:val="p"/>
                      </m:rPr>
                      <w:rPr>
                        <w:b w:val="0"/>
                        <w:i w:val="0"/>
                        <w:kern w:val="0"/>
                        <w:sz w:val="21"/>
                      </w:rPr>
                      <m:t>1.7×10</m:t>
                    </m:r>
                    <m:ctrlPr>
                      <w:rPr>
                        <w:rFonts w:ascii="Cambria Math" w:hAnsi="Cambria Math"/>
                        <w:kern w:val="0"/>
                        <w:sz w:val="21"/>
                      </w:rPr>
                    </m:ctrlPr>
                  </m:e>
                  <m:sup>
                    <m:r>
                      <m:rPr>
                        <m:nor/>
                        <m:sty m:val="p"/>
                      </m:rPr>
                      <w:rPr>
                        <w:b w:val="0"/>
                        <w:i w:val="0"/>
                        <w:kern w:val="0"/>
                        <w:sz w:val="21"/>
                      </w:rPr>
                      <m:t>-5</m:t>
                    </m:r>
                    <m:ctrlPr>
                      <w:rPr>
                        <w:rFonts w:ascii="Cambria Math" w:hAnsi="Cambria Math"/>
                        <w:kern w:val="0"/>
                        <w:sz w:val="21"/>
                      </w:rPr>
                    </m:ctrlPr>
                  </m:sup>
                </m:sSup>
              </m:oMath>
            </m:oMathPara>
          </w:p>
        </w:tc>
        <w:tc>
          <w:tcPr>
            <w:tcW w:w="833" w:type="pct"/>
            <w:tcBorders>
              <w:top w:val="single" w:color="auto" w:sz="4" w:space="0"/>
            </w:tcBorders>
            <w:vAlign w:val="center"/>
          </w:tcPr>
          <w:p w14:paraId="2A6AD555">
            <w:pPr>
              <w:jc w:val="center"/>
              <w:rPr>
                <w:kern w:val="0"/>
                <w:sz w:val="21"/>
              </w:rPr>
            </w:pPr>
            <w:r>
              <w:rPr>
                <w:color w:val="000000"/>
                <w:kern w:val="0"/>
                <w:sz w:val="21"/>
              </w:rPr>
              <w:t>0.55</w:t>
            </w:r>
          </w:p>
        </w:tc>
      </w:tr>
      <w:tr w14:paraId="1CAF3E8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jc w:val="center"/>
        </w:trPr>
        <w:tc>
          <w:tcPr>
            <w:tcW w:w="834" w:type="pct"/>
            <w:vAlign w:val="center"/>
          </w:tcPr>
          <w:p w14:paraId="06FECF67">
            <w:pPr>
              <w:jc w:val="center"/>
              <w:rPr>
                <w:kern w:val="0"/>
                <w:sz w:val="21"/>
              </w:rPr>
            </w:pPr>
            <w:r>
              <w:rPr>
                <w:color w:val="000000"/>
                <w:kern w:val="0"/>
                <w:sz w:val="21"/>
              </w:rPr>
              <w:t>0.2</w:t>
            </w:r>
          </w:p>
        </w:tc>
        <w:tc>
          <w:tcPr>
            <w:tcW w:w="834" w:type="pct"/>
            <w:vAlign w:val="center"/>
          </w:tcPr>
          <w:p w14:paraId="14DC65E4">
            <w:pPr>
              <w:jc w:val="center"/>
              <w:rPr>
                <w:kern w:val="0"/>
                <w:sz w:val="21"/>
              </w:rPr>
            </w:pPr>
            <m:oMathPara>
              <m:oMath>
                <m:sSup>
                  <m:sSupPr>
                    <m:ctrlPr>
                      <w:rPr>
                        <w:rFonts w:ascii="Cambria Math" w:hAnsi="Cambria Math"/>
                        <w:kern w:val="0"/>
                        <w:sz w:val="21"/>
                      </w:rPr>
                    </m:ctrlPr>
                  </m:sSupPr>
                  <m:e>
                    <m:r>
                      <m:rPr>
                        <m:nor/>
                        <m:sty m:val="p"/>
                      </m:rPr>
                      <w:rPr>
                        <w:b w:val="0"/>
                        <w:i w:val="0"/>
                        <w:kern w:val="0"/>
                        <w:sz w:val="21"/>
                      </w:rPr>
                      <m:t>2.9×10</m:t>
                    </m:r>
                    <m:ctrlPr>
                      <w:rPr>
                        <w:rFonts w:ascii="Cambria Math" w:hAnsi="Cambria Math"/>
                        <w:kern w:val="0"/>
                        <w:sz w:val="21"/>
                      </w:rPr>
                    </m:ctrlPr>
                  </m:e>
                  <m:sup>
                    <m:r>
                      <m:rPr>
                        <m:nor/>
                        <m:sty m:val="p"/>
                      </m:rPr>
                      <w:rPr>
                        <w:b w:val="0"/>
                        <w:i w:val="0"/>
                        <w:kern w:val="0"/>
                        <w:sz w:val="21"/>
                      </w:rPr>
                      <m:t>-5</m:t>
                    </m:r>
                    <m:ctrlPr>
                      <w:rPr>
                        <w:rFonts w:ascii="Cambria Math" w:hAnsi="Cambria Math"/>
                        <w:kern w:val="0"/>
                        <w:sz w:val="21"/>
                      </w:rPr>
                    </m:ctrlPr>
                  </m:sup>
                </m:sSup>
              </m:oMath>
            </m:oMathPara>
          </w:p>
        </w:tc>
        <w:tc>
          <w:tcPr>
            <w:tcW w:w="833" w:type="pct"/>
            <w:vAlign w:val="center"/>
          </w:tcPr>
          <w:p w14:paraId="4AFF57D8">
            <w:pPr>
              <w:jc w:val="center"/>
              <w:rPr>
                <w:kern w:val="0"/>
                <w:sz w:val="21"/>
              </w:rPr>
            </w:pPr>
            <m:oMathPara>
              <m:oMath>
                <m:sSup>
                  <m:sSupPr>
                    <m:ctrlPr>
                      <w:rPr>
                        <w:rFonts w:ascii="Cambria Math" w:hAnsi="Cambria Math"/>
                        <w:kern w:val="0"/>
                        <w:sz w:val="21"/>
                      </w:rPr>
                    </m:ctrlPr>
                  </m:sSupPr>
                  <m:e>
                    <m:r>
                      <m:rPr>
                        <m:nor/>
                        <m:sty m:val="p"/>
                      </m:rPr>
                      <w:rPr>
                        <w:b w:val="0"/>
                        <w:i w:val="0"/>
                        <w:kern w:val="0"/>
                        <w:sz w:val="21"/>
                      </w:rPr>
                      <m:t>4.0×10</m:t>
                    </m:r>
                    <m:ctrlPr>
                      <w:rPr>
                        <w:rFonts w:ascii="Cambria Math" w:hAnsi="Cambria Math"/>
                        <w:kern w:val="0"/>
                        <w:sz w:val="21"/>
                      </w:rPr>
                    </m:ctrlPr>
                  </m:e>
                  <m:sup>
                    <m:r>
                      <m:rPr>
                        <m:nor/>
                        <m:sty m:val="p"/>
                      </m:rPr>
                      <w:rPr>
                        <w:b w:val="0"/>
                        <w:i w:val="0"/>
                        <w:kern w:val="0"/>
                        <w:sz w:val="21"/>
                      </w:rPr>
                      <m:t>-6</m:t>
                    </m:r>
                    <m:ctrlPr>
                      <w:rPr>
                        <w:rFonts w:ascii="Cambria Math" w:hAnsi="Cambria Math"/>
                        <w:kern w:val="0"/>
                        <w:sz w:val="21"/>
                      </w:rPr>
                    </m:ctrlPr>
                  </m:sup>
                </m:sSup>
              </m:oMath>
            </m:oMathPara>
          </w:p>
        </w:tc>
        <w:tc>
          <w:tcPr>
            <w:tcW w:w="833" w:type="pct"/>
            <w:vAlign w:val="center"/>
          </w:tcPr>
          <w:p w14:paraId="6120E53C">
            <w:pPr>
              <w:jc w:val="center"/>
              <w:rPr>
                <w:kern w:val="0"/>
                <w:sz w:val="21"/>
              </w:rPr>
            </w:pPr>
            <m:oMathPara>
              <m:oMath>
                <m:sSup>
                  <m:sSupPr>
                    <m:ctrlPr>
                      <w:rPr>
                        <w:rFonts w:ascii="Cambria Math" w:hAnsi="Cambria Math"/>
                        <w:kern w:val="0"/>
                        <w:sz w:val="21"/>
                      </w:rPr>
                    </m:ctrlPr>
                  </m:sSupPr>
                  <m:e>
                    <m:r>
                      <m:rPr>
                        <m:nor/>
                        <m:sty m:val="p"/>
                      </m:rPr>
                      <w:rPr>
                        <w:b w:val="0"/>
                        <w:i w:val="0"/>
                        <w:kern w:val="0"/>
                        <w:sz w:val="21"/>
                      </w:rPr>
                      <m:t>1.23×10</m:t>
                    </m:r>
                    <m:ctrlPr>
                      <w:rPr>
                        <w:rFonts w:ascii="Cambria Math" w:hAnsi="Cambria Math"/>
                        <w:kern w:val="0"/>
                        <w:sz w:val="21"/>
                      </w:rPr>
                    </m:ctrlPr>
                  </m:e>
                  <m:sup>
                    <m:r>
                      <m:rPr>
                        <m:nor/>
                        <m:sty m:val="p"/>
                      </m:rPr>
                      <w:rPr>
                        <w:b w:val="0"/>
                        <w:i w:val="0"/>
                        <w:kern w:val="0"/>
                        <w:sz w:val="21"/>
                      </w:rPr>
                      <m:t>-4</m:t>
                    </m:r>
                    <m:ctrlPr>
                      <w:rPr>
                        <w:rFonts w:ascii="Cambria Math" w:hAnsi="Cambria Math"/>
                        <w:kern w:val="0"/>
                        <w:sz w:val="21"/>
                      </w:rPr>
                    </m:ctrlPr>
                  </m:sup>
                </m:sSup>
              </m:oMath>
            </m:oMathPara>
          </w:p>
        </w:tc>
        <w:tc>
          <w:tcPr>
            <w:tcW w:w="833" w:type="pct"/>
            <w:vAlign w:val="center"/>
          </w:tcPr>
          <w:p w14:paraId="20814249">
            <w:pPr>
              <w:jc w:val="center"/>
              <w:rPr>
                <w:kern w:val="0"/>
                <w:sz w:val="21"/>
              </w:rPr>
            </w:pPr>
            <m:oMathPara>
              <m:oMath>
                <m:sSup>
                  <m:sSupPr>
                    <m:ctrlPr>
                      <w:rPr>
                        <w:rFonts w:ascii="Cambria Math" w:hAnsi="Cambria Math"/>
                        <w:kern w:val="0"/>
                        <w:sz w:val="21"/>
                      </w:rPr>
                    </m:ctrlPr>
                  </m:sSupPr>
                  <m:e>
                    <m:r>
                      <m:rPr>
                        <m:nor/>
                        <m:sty m:val="p"/>
                      </m:rPr>
                      <w:rPr>
                        <w:b w:val="0"/>
                        <w:i w:val="0"/>
                        <w:kern w:val="0"/>
                        <w:sz w:val="21"/>
                      </w:rPr>
                      <m:t>4.6×10</m:t>
                    </m:r>
                    <m:ctrlPr>
                      <w:rPr>
                        <w:rFonts w:ascii="Cambria Math" w:hAnsi="Cambria Math"/>
                        <w:kern w:val="0"/>
                        <w:sz w:val="21"/>
                      </w:rPr>
                    </m:ctrlPr>
                  </m:e>
                  <m:sup>
                    <m:r>
                      <m:rPr>
                        <m:nor/>
                        <m:sty m:val="p"/>
                      </m:rPr>
                      <w:rPr>
                        <w:b w:val="0"/>
                        <w:i w:val="0"/>
                        <w:kern w:val="0"/>
                        <w:sz w:val="21"/>
                      </w:rPr>
                      <m:t>-5</m:t>
                    </m:r>
                    <m:ctrlPr>
                      <w:rPr>
                        <w:rFonts w:ascii="Cambria Math" w:hAnsi="Cambria Math"/>
                        <w:kern w:val="0"/>
                        <w:sz w:val="21"/>
                      </w:rPr>
                    </m:ctrlPr>
                  </m:sup>
                </m:sSup>
              </m:oMath>
            </m:oMathPara>
          </w:p>
        </w:tc>
        <w:tc>
          <w:tcPr>
            <w:tcW w:w="833" w:type="pct"/>
            <w:vAlign w:val="center"/>
          </w:tcPr>
          <w:p w14:paraId="619B880F">
            <w:pPr>
              <w:jc w:val="center"/>
              <w:rPr>
                <w:kern w:val="0"/>
                <w:sz w:val="21"/>
              </w:rPr>
            </w:pPr>
            <w:r>
              <w:rPr>
                <w:color w:val="000000"/>
                <w:kern w:val="0"/>
                <w:sz w:val="21"/>
              </w:rPr>
              <w:t>0.57</w:t>
            </w:r>
          </w:p>
        </w:tc>
      </w:tr>
      <w:tr w14:paraId="3EB89D1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jc w:val="center"/>
        </w:trPr>
        <w:tc>
          <w:tcPr>
            <w:tcW w:w="834" w:type="pct"/>
            <w:vAlign w:val="center"/>
          </w:tcPr>
          <w:p w14:paraId="0C435C0C">
            <w:pPr>
              <w:jc w:val="center"/>
              <w:rPr>
                <w:kern w:val="0"/>
                <w:sz w:val="21"/>
              </w:rPr>
            </w:pPr>
            <w:r>
              <w:rPr>
                <w:color w:val="000000"/>
                <w:kern w:val="0"/>
                <w:sz w:val="21"/>
              </w:rPr>
              <w:t>0.25</w:t>
            </w:r>
          </w:p>
        </w:tc>
        <w:tc>
          <w:tcPr>
            <w:tcW w:w="834" w:type="pct"/>
            <w:vAlign w:val="center"/>
          </w:tcPr>
          <w:p w14:paraId="47798989">
            <w:pPr>
              <w:jc w:val="center"/>
              <w:rPr>
                <w:kern w:val="0"/>
                <w:sz w:val="21"/>
              </w:rPr>
            </w:pPr>
            <m:oMathPara>
              <m:oMath>
                <m:sSup>
                  <m:sSupPr>
                    <m:ctrlPr>
                      <w:rPr>
                        <w:rFonts w:ascii="Cambria Math" w:hAnsi="Cambria Math"/>
                        <w:kern w:val="0"/>
                        <w:sz w:val="21"/>
                      </w:rPr>
                    </m:ctrlPr>
                  </m:sSupPr>
                  <m:e>
                    <m:r>
                      <m:rPr>
                        <m:nor/>
                        <m:sty m:val="p"/>
                      </m:rPr>
                      <w:rPr>
                        <w:b w:val="0"/>
                        <w:i w:val="0"/>
                        <w:kern w:val="0"/>
                        <w:sz w:val="21"/>
                      </w:rPr>
                      <m:t>2.7×10</m:t>
                    </m:r>
                    <m:ctrlPr>
                      <w:rPr>
                        <w:rFonts w:ascii="Cambria Math" w:hAnsi="Cambria Math"/>
                        <w:kern w:val="0"/>
                        <w:sz w:val="21"/>
                      </w:rPr>
                    </m:ctrlPr>
                  </m:e>
                  <m:sup>
                    <m:r>
                      <m:rPr>
                        <m:nor/>
                        <m:sty m:val="p"/>
                      </m:rPr>
                      <w:rPr>
                        <w:b w:val="0"/>
                        <w:i w:val="0"/>
                        <w:kern w:val="0"/>
                        <w:sz w:val="21"/>
                      </w:rPr>
                      <m:t>-5</m:t>
                    </m:r>
                    <m:ctrlPr>
                      <w:rPr>
                        <w:rFonts w:ascii="Cambria Math" w:hAnsi="Cambria Math"/>
                        <w:kern w:val="0"/>
                        <w:sz w:val="21"/>
                      </w:rPr>
                    </m:ctrlPr>
                  </m:sup>
                </m:sSup>
              </m:oMath>
            </m:oMathPara>
          </w:p>
        </w:tc>
        <w:tc>
          <w:tcPr>
            <w:tcW w:w="833" w:type="pct"/>
            <w:vAlign w:val="center"/>
          </w:tcPr>
          <w:p w14:paraId="1631EAE0">
            <w:pPr>
              <w:jc w:val="center"/>
              <w:rPr>
                <w:kern w:val="0"/>
                <w:sz w:val="21"/>
              </w:rPr>
            </w:pPr>
            <m:oMathPara>
              <m:oMath>
                <m:sSup>
                  <m:sSupPr>
                    <m:ctrlPr>
                      <w:rPr>
                        <w:rFonts w:ascii="Cambria Math" w:hAnsi="Cambria Math"/>
                        <w:kern w:val="0"/>
                        <w:sz w:val="21"/>
                      </w:rPr>
                    </m:ctrlPr>
                  </m:sSupPr>
                  <m:e>
                    <m:r>
                      <m:rPr>
                        <m:nor/>
                        <m:sty m:val="p"/>
                      </m:rPr>
                      <w:rPr>
                        <w:b w:val="0"/>
                        <w:i w:val="0"/>
                        <w:kern w:val="0"/>
                        <w:sz w:val="21"/>
                      </w:rPr>
                      <m:t>7.0×10</m:t>
                    </m:r>
                    <m:ctrlPr>
                      <w:rPr>
                        <w:rFonts w:ascii="Cambria Math" w:hAnsi="Cambria Math"/>
                        <w:kern w:val="0"/>
                        <w:sz w:val="21"/>
                      </w:rPr>
                    </m:ctrlPr>
                  </m:e>
                  <m:sup>
                    <m:r>
                      <m:rPr>
                        <m:nor/>
                        <m:sty m:val="p"/>
                      </m:rPr>
                      <w:rPr>
                        <w:b w:val="0"/>
                        <w:i w:val="0"/>
                        <w:kern w:val="0"/>
                        <w:sz w:val="21"/>
                      </w:rPr>
                      <m:t>-6</m:t>
                    </m:r>
                    <m:ctrlPr>
                      <w:rPr>
                        <w:rFonts w:ascii="Cambria Math" w:hAnsi="Cambria Math"/>
                        <w:kern w:val="0"/>
                        <w:sz w:val="21"/>
                      </w:rPr>
                    </m:ctrlPr>
                  </m:sup>
                </m:sSup>
              </m:oMath>
            </m:oMathPara>
          </w:p>
        </w:tc>
        <w:tc>
          <w:tcPr>
            <w:tcW w:w="833" w:type="pct"/>
            <w:vAlign w:val="center"/>
          </w:tcPr>
          <w:p w14:paraId="7AF408B4">
            <w:pPr>
              <w:jc w:val="center"/>
              <w:rPr>
                <w:kern w:val="0"/>
                <w:sz w:val="21"/>
              </w:rPr>
            </w:pPr>
            <m:oMathPara>
              <m:oMath>
                <m:sSup>
                  <m:sSupPr>
                    <m:ctrlPr>
                      <w:rPr>
                        <w:rFonts w:ascii="Cambria Math" w:hAnsi="Cambria Math"/>
                        <w:kern w:val="0"/>
                        <w:sz w:val="21"/>
                      </w:rPr>
                    </m:ctrlPr>
                  </m:sSupPr>
                  <m:e>
                    <m:r>
                      <m:rPr>
                        <m:nor/>
                        <m:sty m:val="p"/>
                      </m:rPr>
                      <w:rPr>
                        <w:b w:val="0"/>
                        <w:i w:val="0"/>
                        <w:kern w:val="0"/>
                        <w:sz w:val="21"/>
                      </w:rPr>
                      <m:t>6.3×10</m:t>
                    </m:r>
                    <m:ctrlPr>
                      <w:rPr>
                        <w:rFonts w:ascii="Cambria Math" w:hAnsi="Cambria Math"/>
                        <w:kern w:val="0"/>
                        <w:sz w:val="21"/>
                      </w:rPr>
                    </m:ctrlPr>
                  </m:e>
                  <m:sup>
                    <m:r>
                      <m:rPr>
                        <m:nor/>
                        <m:sty m:val="p"/>
                      </m:rPr>
                      <w:rPr>
                        <w:b w:val="0"/>
                        <w:i w:val="0"/>
                        <w:kern w:val="0"/>
                        <w:sz w:val="21"/>
                      </w:rPr>
                      <m:t>-4</m:t>
                    </m:r>
                    <m:ctrlPr>
                      <w:rPr>
                        <w:rFonts w:ascii="Cambria Math" w:hAnsi="Cambria Math"/>
                        <w:kern w:val="0"/>
                        <w:sz w:val="21"/>
                      </w:rPr>
                    </m:ctrlPr>
                  </m:sup>
                </m:sSup>
              </m:oMath>
            </m:oMathPara>
          </w:p>
        </w:tc>
        <w:tc>
          <w:tcPr>
            <w:tcW w:w="833" w:type="pct"/>
            <w:vAlign w:val="center"/>
          </w:tcPr>
          <w:p w14:paraId="3C6D9150">
            <w:pPr>
              <w:jc w:val="center"/>
              <w:rPr>
                <w:kern w:val="0"/>
                <w:sz w:val="21"/>
              </w:rPr>
            </w:pPr>
            <m:oMathPara>
              <m:oMath>
                <m:sSup>
                  <m:sSupPr>
                    <m:ctrlPr>
                      <w:rPr>
                        <w:rFonts w:ascii="Cambria Math" w:hAnsi="Cambria Math"/>
                        <w:kern w:val="0"/>
                        <w:sz w:val="21"/>
                      </w:rPr>
                    </m:ctrlPr>
                  </m:sSupPr>
                  <m:e>
                    <m:r>
                      <m:rPr>
                        <m:sty m:val="p"/>
                      </m:rPr>
                      <w:rPr>
                        <w:rFonts w:ascii="Cambria Math" w:hAnsi="Cambria Math"/>
                        <w:kern w:val="0"/>
                        <w:sz w:val="21"/>
                      </w:rPr>
                      <m:t>1</m:t>
                    </m:r>
                    <m:r>
                      <m:rPr>
                        <m:nor/>
                        <m:sty m:val="p"/>
                      </m:rPr>
                      <w:rPr>
                        <w:b w:val="0"/>
                        <w:i w:val="0"/>
                        <w:kern w:val="0"/>
                        <w:sz w:val="21"/>
                      </w:rPr>
                      <m:t>.1×10</m:t>
                    </m:r>
                    <m:ctrlPr>
                      <w:rPr>
                        <w:rFonts w:ascii="Cambria Math" w:hAnsi="Cambria Math"/>
                        <w:kern w:val="0"/>
                        <w:sz w:val="21"/>
                      </w:rPr>
                    </m:ctrlPr>
                  </m:e>
                  <m:sup>
                    <m:r>
                      <m:rPr>
                        <m:nor/>
                        <m:sty m:val="p"/>
                      </m:rPr>
                      <w:rPr>
                        <w:b w:val="0"/>
                        <w:i w:val="0"/>
                        <w:kern w:val="0"/>
                        <w:sz w:val="21"/>
                      </w:rPr>
                      <m:t>-5</m:t>
                    </m:r>
                    <m:ctrlPr>
                      <w:rPr>
                        <w:rFonts w:ascii="Cambria Math" w:hAnsi="Cambria Math"/>
                        <w:kern w:val="0"/>
                        <w:sz w:val="21"/>
                      </w:rPr>
                    </m:ctrlPr>
                  </m:sup>
                </m:sSup>
              </m:oMath>
            </m:oMathPara>
          </w:p>
        </w:tc>
        <w:tc>
          <w:tcPr>
            <w:tcW w:w="833" w:type="pct"/>
            <w:vAlign w:val="center"/>
          </w:tcPr>
          <w:p w14:paraId="73132E8D">
            <w:pPr>
              <w:jc w:val="center"/>
              <w:rPr>
                <w:kern w:val="0"/>
                <w:sz w:val="21"/>
              </w:rPr>
            </w:pPr>
            <w:r>
              <w:rPr>
                <w:color w:val="000000"/>
                <w:kern w:val="0"/>
                <w:sz w:val="21"/>
              </w:rPr>
              <w:t>0.42</w:t>
            </w:r>
          </w:p>
        </w:tc>
      </w:tr>
      <w:tr w14:paraId="794E267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jc w:val="center"/>
        </w:trPr>
        <w:tc>
          <w:tcPr>
            <w:tcW w:w="834" w:type="pct"/>
            <w:vAlign w:val="center"/>
          </w:tcPr>
          <w:p w14:paraId="33A7C928">
            <w:pPr>
              <w:jc w:val="center"/>
              <w:rPr>
                <w:kern w:val="0"/>
                <w:sz w:val="21"/>
              </w:rPr>
            </w:pPr>
            <w:r>
              <w:rPr>
                <w:color w:val="000000"/>
                <w:kern w:val="0"/>
                <w:sz w:val="21"/>
              </w:rPr>
              <w:t>0.3</w:t>
            </w:r>
          </w:p>
        </w:tc>
        <w:tc>
          <w:tcPr>
            <w:tcW w:w="834" w:type="pct"/>
            <w:vAlign w:val="center"/>
          </w:tcPr>
          <w:p w14:paraId="227C1332">
            <w:pPr>
              <w:jc w:val="center"/>
              <w:rPr>
                <w:kern w:val="0"/>
                <w:sz w:val="21"/>
              </w:rPr>
            </w:pPr>
            <m:oMathPara>
              <m:oMath>
                <m:sSup>
                  <m:sSupPr>
                    <m:ctrlPr>
                      <w:rPr>
                        <w:rFonts w:ascii="Cambria Math" w:hAnsi="Cambria Math"/>
                        <w:kern w:val="0"/>
                        <w:sz w:val="21"/>
                      </w:rPr>
                    </m:ctrlPr>
                  </m:sSupPr>
                  <m:e>
                    <m:r>
                      <m:rPr>
                        <m:nor/>
                        <m:sty m:val="p"/>
                      </m:rPr>
                      <w:rPr>
                        <w:b w:val="0"/>
                        <w:i w:val="0"/>
                        <w:kern w:val="0"/>
                        <w:sz w:val="21"/>
                      </w:rPr>
                      <m:t>2.2×10</m:t>
                    </m:r>
                    <m:ctrlPr>
                      <w:rPr>
                        <w:rFonts w:ascii="Cambria Math" w:hAnsi="Cambria Math"/>
                        <w:kern w:val="0"/>
                        <w:sz w:val="21"/>
                      </w:rPr>
                    </m:ctrlPr>
                  </m:e>
                  <m:sup>
                    <m:r>
                      <m:rPr>
                        <m:nor/>
                        <m:sty m:val="p"/>
                      </m:rPr>
                      <w:rPr>
                        <w:b w:val="0"/>
                        <w:i w:val="0"/>
                        <w:kern w:val="0"/>
                        <w:sz w:val="21"/>
                      </w:rPr>
                      <m:t>-5</m:t>
                    </m:r>
                    <m:ctrlPr>
                      <w:rPr>
                        <w:rFonts w:ascii="Cambria Math" w:hAnsi="Cambria Math"/>
                        <w:kern w:val="0"/>
                        <w:sz w:val="21"/>
                      </w:rPr>
                    </m:ctrlPr>
                  </m:sup>
                </m:sSup>
              </m:oMath>
            </m:oMathPara>
          </w:p>
        </w:tc>
        <w:tc>
          <w:tcPr>
            <w:tcW w:w="833" w:type="pct"/>
            <w:vAlign w:val="center"/>
          </w:tcPr>
          <w:p w14:paraId="6364E3A7">
            <w:pPr>
              <w:jc w:val="center"/>
              <w:rPr>
                <w:kern w:val="0"/>
                <w:sz w:val="21"/>
              </w:rPr>
            </w:pPr>
            <m:oMathPara>
              <m:oMath>
                <m:sSup>
                  <m:sSupPr>
                    <m:ctrlPr>
                      <w:rPr>
                        <w:rFonts w:ascii="Cambria Math" w:hAnsi="Cambria Math"/>
                        <w:kern w:val="0"/>
                        <w:sz w:val="21"/>
                      </w:rPr>
                    </m:ctrlPr>
                  </m:sSupPr>
                  <m:e>
                    <m:r>
                      <m:rPr>
                        <m:nor/>
                        <m:sty m:val="p"/>
                      </m:rPr>
                      <w:rPr>
                        <w:b w:val="0"/>
                        <w:i w:val="0"/>
                        <w:kern w:val="0"/>
                        <w:sz w:val="21"/>
                      </w:rPr>
                      <m:t>8.0×10</m:t>
                    </m:r>
                    <m:ctrlPr>
                      <w:rPr>
                        <w:rFonts w:ascii="Cambria Math" w:hAnsi="Cambria Math"/>
                        <w:kern w:val="0"/>
                        <w:sz w:val="21"/>
                      </w:rPr>
                    </m:ctrlPr>
                  </m:e>
                  <m:sup>
                    <m:r>
                      <m:rPr>
                        <m:nor/>
                        <m:sty m:val="p"/>
                      </m:rPr>
                      <w:rPr>
                        <w:b w:val="0"/>
                        <w:i w:val="0"/>
                        <w:kern w:val="0"/>
                        <w:sz w:val="21"/>
                      </w:rPr>
                      <m:t>-6</m:t>
                    </m:r>
                    <m:ctrlPr>
                      <w:rPr>
                        <w:rFonts w:ascii="Cambria Math" w:hAnsi="Cambria Math"/>
                        <w:kern w:val="0"/>
                        <w:sz w:val="21"/>
                      </w:rPr>
                    </m:ctrlPr>
                  </m:sup>
                </m:sSup>
              </m:oMath>
            </m:oMathPara>
          </w:p>
        </w:tc>
        <w:tc>
          <w:tcPr>
            <w:tcW w:w="833" w:type="pct"/>
            <w:vAlign w:val="center"/>
          </w:tcPr>
          <w:p w14:paraId="3873C8E3">
            <w:pPr>
              <w:jc w:val="center"/>
              <w:rPr>
                <w:kern w:val="0"/>
                <w:sz w:val="21"/>
              </w:rPr>
            </w:pPr>
            <m:oMathPara>
              <m:oMath>
                <m:sSup>
                  <m:sSupPr>
                    <m:ctrlPr>
                      <w:rPr>
                        <w:rFonts w:ascii="Cambria Math" w:hAnsi="Cambria Math"/>
                        <w:kern w:val="0"/>
                        <w:sz w:val="21"/>
                      </w:rPr>
                    </m:ctrlPr>
                  </m:sSupPr>
                  <m:e>
                    <m:r>
                      <m:rPr>
                        <m:nor/>
                        <m:sty m:val="p"/>
                      </m:rPr>
                      <w:rPr>
                        <w:b w:val="0"/>
                        <w:i w:val="0"/>
                        <w:kern w:val="0"/>
                        <w:sz w:val="21"/>
                      </w:rPr>
                      <m:t>4.6×10</m:t>
                    </m:r>
                    <m:ctrlPr>
                      <w:rPr>
                        <w:rFonts w:ascii="Cambria Math" w:hAnsi="Cambria Math"/>
                        <w:kern w:val="0"/>
                        <w:sz w:val="21"/>
                      </w:rPr>
                    </m:ctrlPr>
                  </m:e>
                  <m:sup>
                    <m:r>
                      <m:rPr>
                        <m:nor/>
                        <m:sty m:val="p"/>
                      </m:rPr>
                      <w:rPr>
                        <w:b w:val="0"/>
                        <w:i w:val="0"/>
                        <w:kern w:val="0"/>
                        <w:sz w:val="21"/>
                      </w:rPr>
                      <m:t>-5</m:t>
                    </m:r>
                    <m:ctrlPr>
                      <w:rPr>
                        <w:rFonts w:ascii="Cambria Math" w:hAnsi="Cambria Math"/>
                        <w:kern w:val="0"/>
                        <w:sz w:val="21"/>
                      </w:rPr>
                    </m:ctrlPr>
                  </m:sup>
                </m:sSup>
              </m:oMath>
            </m:oMathPara>
          </w:p>
        </w:tc>
        <w:tc>
          <w:tcPr>
            <w:tcW w:w="833" w:type="pct"/>
            <w:vAlign w:val="center"/>
          </w:tcPr>
          <w:p w14:paraId="5A3D155C">
            <w:pPr>
              <w:jc w:val="center"/>
              <w:rPr>
                <w:kern w:val="0"/>
                <w:sz w:val="21"/>
              </w:rPr>
            </w:pPr>
            <m:oMathPara>
              <m:oMath>
                <m:sSup>
                  <m:sSupPr>
                    <m:ctrlPr>
                      <w:rPr>
                        <w:rFonts w:ascii="Cambria Math" w:hAnsi="Cambria Math"/>
                        <w:kern w:val="0"/>
                        <w:sz w:val="21"/>
                      </w:rPr>
                    </m:ctrlPr>
                  </m:sSupPr>
                  <m:e>
                    <m:r>
                      <m:rPr>
                        <m:nor/>
                        <m:sty m:val="p"/>
                      </m:rPr>
                      <w:rPr>
                        <w:b w:val="0"/>
                        <w:i w:val="0"/>
                        <w:kern w:val="0"/>
                        <w:sz w:val="21"/>
                      </w:rPr>
                      <m:t>7.0×10</m:t>
                    </m:r>
                    <m:ctrlPr>
                      <w:rPr>
                        <w:rFonts w:ascii="Cambria Math" w:hAnsi="Cambria Math"/>
                        <w:kern w:val="0"/>
                        <w:sz w:val="21"/>
                      </w:rPr>
                    </m:ctrlPr>
                  </m:e>
                  <m:sup>
                    <m:r>
                      <m:rPr>
                        <m:nor/>
                        <m:sty m:val="p"/>
                      </m:rPr>
                      <w:rPr>
                        <w:b w:val="0"/>
                        <w:i w:val="0"/>
                        <w:kern w:val="0"/>
                        <w:sz w:val="21"/>
                      </w:rPr>
                      <m:t>-6</m:t>
                    </m:r>
                    <m:ctrlPr>
                      <w:rPr>
                        <w:rFonts w:ascii="Cambria Math" w:hAnsi="Cambria Math"/>
                        <w:kern w:val="0"/>
                        <w:sz w:val="21"/>
                      </w:rPr>
                    </m:ctrlPr>
                  </m:sup>
                </m:sSup>
              </m:oMath>
            </m:oMathPara>
          </w:p>
        </w:tc>
        <w:tc>
          <w:tcPr>
            <w:tcW w:w="833" w:type="pct"/>
            <w:vAlign w:val="center"/>
          </w:tcPr>
          <w:p w14:paraId="5E73BCD1">
            <w:pPr>
              <w:jc w:val="center"/>
              <w:rPr>
                <w:kern w:val="0"/>
                <w:sz w:val="21"/>
              </w:rPr>
            </w:pPr>
            <w:r>
              <w:rPr>
                <w:color w:val="000000"/>
                <w:kern w:val="0"/>
                <w:sz w:val="21"/>
              </w:rPr>
              <w:t>0.33</w:t>
            </w:r>
          </w:p>
        </w:tc>
      </w:tr>
      <w:tr w14:paraId="7CE2549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jc w:val="center"/>
        </w:trPr>
        <w:tc>
          <w:tcPr>
            <w:tcW w:w="834" w:type="pct"/>
            <w:vAlign w:val="center"/>
          </w:tcPr>
          <w:p w14:paraId="2E3099D4">
            <w:pPr>
              <w:jc w:val="center"/>
              <w:rPr>
                <w:kern w:val="0"/>
                <w:sz w:val="21"/>
              </w:rPr>
            </w:pPr>
            <w:r>
              <w:rPr>
                <w:color w:val="000000"/>
                <w:kern w:val="0"/>
                <w:sz w:val="21"/>
              </w:rPr>
              <w:t>0.375</w:t>
            </w:r>
          </w:p>
        </w:tc>
        <w:tc>
          <w:tcPr>
            <w:tcW w:w="834" w:type="pct"/>
            <w:vAlign w:val="center"/>
          </w:tcPr>
          <w:p w14:paraId="78632667">
            <w:pPr>
              <w:jc w:val="center"/>
              <w:rPr>
                <w:kern w:val="0"/>
                <w:sz w:val="21"/>
              </w:rPr>
            </w:pPr>
            <m:oMathPara>
              <m:oMath>
                <m:sSup>
                  <m:sSupPr>
                    <m:ctrlPr>
                      <w:rPr>
                        <w:rFonts w:ascii="Cambria Math" w:hAnsi="Cambria Math"/>
                        <w:kern w:val="0"/>
                        <w:sz w:val="21"/>
                      </w:rPr>
                    </m:ctrlPr>
                  </m:sSupPr>
                  <m:e>
                    <m:r>
                      <m:rPr>
                        <m:nor/>
                        <m:sty m:val="p"/>
                      </m:rPr>
                      <w:rPr>
                        <w:b w:val="0"/>
                        <w:i w:val="0"/>
                        <w:kern w:val="0"/>
                        <w:sz w:val="21"/>
                      </w:rPr>
                      <m:t>1.1×10</m:t>
                    </m:r>
                    <m:ctrlPr>
                      <w:rPr>
                        <w:rFonts w:ascii="Cambria Math" w:hAnsi="Cambria Math"/>
                        <w:kern w:val="0"/>
                        <w:sz w:val="21"/>
                      </w:rPr>
                    </m:ctrlPr>
                  </m:e>
                  <m:sup>
                    <m:r>
                      <m:rPr>
                        <m:nor/>
                        <m:sty m:val="p"/>
                      </m:rPr>
                      <w:rPr>
                        <w:b w:val="0"/>
                        <w:i w:val="0"/>
                        <w:kern w:val="0"/>
                        <w:sz w:val="21"/>
                      </w:rPr>
                      <m:t>-5</m:t>
                    </m:r>
                    <m:ctrlPr>
                      <w:rPr>
                        <w:rFonts w:ascii="Cambria Math" w:hAnsi="Cambria Math"/>
                        <w:kern w:val="0"/>
                        <w:sz w:val="21"/>
                      </w:rPr>
                    </m:ctrlPr>
                  </m:sup>
                </m:sSup>
              </m:oMath>
            </m:oMathPara>
          </w:p>
        </w:tc>
        <w:tc>
          <w:tcPr>
            <w:tcW w:w="833" w:type="pct"/>
            <w:vAlign w:val="center"/>
          </w:tcPr>
          <w:p w14:paraId="2DA1DDC5">
            <w:pPr>
              <w:jc w:val="center"/>
              <w:rPr>
                <w:kern w:val="0"/>
                <w:sz w:val="21"/>
              </w:rPr>
            </w:pPr>
            <m:oMathPara>
              <m:oMath>
                <m:sSup>
                  <m:sSupPr>
                    <m:ctrlPr>
                      <w:rPr>
                        <w:rFonts w:ascii="Cambria Math" w:hAnsi="Cambria Math"/>
                        <w:kern w:val="0"/>
                        <w:sz w:val="21"/>
                      </w:rPr>
                    </m:ctrlPr>
                  </m:sSupPr>
                  <m:e>
                    <m:r>
                      <m:rPr>
                        <m:nor/>
                        <m:sty m:val="p"/>
                      </m:rPr>
                      <w:rPr>
                        <w:b w:val="0"/>
                        <w:i w:val="0"/>
                        <w:kern w:val="0"/>
                        <w:sz w:val="21"/>
                      </w:rPr>
                      <m:t>6.0×10</m:t>
                    </m:r>
                    <m:ctrlPr>
                      <w:rPr>
                        <w:rFonts w:ascii="Cambria Math" w:hAnsi="Cambria Math"/>
                        <w:kern w:val="0"/>
                        <w:sz w:val="21"/>
                      </w:rPr>
                    </m:ctrlPr>
                  </m:e>
                  <m:sup>
                    <m:r>
                      <m:rPr>
                        <m:nor/>
                        <m:sty m:val="p"/>
                      </m:rPr>
                      <w:rPr>
                        <w:b w:val="0"/>
                        <w:i w:val="0"/>
                        <w:kern w:val="0"/>
                        <w:sz w:val="21"/>
                      </w:rPr>
                      <m:t>-6</m:t>
                    </m:r>
                    <m:ctrlPr>
                      <w:rPr>
                        <w:rFonts w:ascii="Cambria Math" w:hAnsi="Cambria Math"/>
                        <w:kern w:val="0"/>
                        <w:sz w:val="21"/>
                      </w:rPr>
                    </m:ctrlPr>
                  </m:sup>
                </m:sSup>
              </m:oMath>
            </m:oMathPara>
          </w:p>
        </w:tc>
        <w:tc>
          <w:tcPr>
            <w:tcW w:w="833" w:type="pct"/>
            <w:vAlign w:val="center"/>
          </w:tcPr>
          <w:p w14:paraId="2F560405">
            <w:pPr>
              <w:jc w:val="center"/>
              <w:rPr>
                <w:kern w:val="0"/>
                <w:sz w:val="21"/>
              </w:rPr>
            </w:pPr>
            <m:oMathPara>
              <m:oMath>
                <m:sSup>
                  <m:sSupPr>
                    <m:ctrlPr>
                      <w:rPr>
                        <w:rFonts w:ascii="Cambria Math" w:hAnsi="Cambria Math"/>
                        <w:kern w:val="0"/>
                        <w:sz w:val="21"/>
                      </w:rPr>
                    </m:ctrlPr>
                  </m:sSupPr>
                  <m:e>
                    <m:r>
                      <m:rPr>
                        <m:nor/>
                        <m:sty m:val="p"/>
                      </m:rPr>
                      <w:rPr>
                        <w:b w:val="0"/>
                        <w:i w:val="0"/>
                        <w:kern w:val="0"/>
                        <w:sz w:val="21"/>
                      </w:rPr>
                      <m:t>2.5×10</m:t>
                    </m:r>
                    <m:ctrlPr>
                      <w:rPr>
                        <w:rFonts w:ascii="Cambria Math" w:hAnsi="Cambria Math"/>
                        <w:kern w:val="0"/>
                        <w:sz w:val="21"/>
                      </w:rPr>
                    </m:ctrlPr>
                  </m:e>
                  <m:sup>
                    <m:r>
                      <m:rPr>
                        <m:nor/>
                        <m:sty m:val="p"/>
                      </m:rPr>
                      <w:rPr>
                        <w:b w:val="0"/>
                        <w:i w:val="0"/>
                        <w:kern w:val="0"/>
                        <w:sz w:val="21"/>
                      </w:rPr>
                      <m:t>-5</m:t>
                    </m:r>
                    <m:ctrlPr>
                      <w:rPr>
                        <w:rFonts w:ascii="Cambria Math" w:hAnsi="Cambria Math"/>
                        <w:kern w:val="0"/>
                        <w:sz w:val="21"/>
                      </w:rPr>
                    </m:ctrlPr>
                  </m:sup>
                </m:sSup>
              </m:oMath>
            </m:oMathPara>
          </w:p>
        </w:tc>
        <w:tc>
          <w:tcPr>
            <w:tcW w:w="833" w:type="pct"/>
            <w:vAlign w:val="center"/>
          </w:tcPr>
          <w:p w14:paraId="15435B94">
            <w:pPr>
              <w:jc w:val="center"/>
              <w:rPr>
                <w:kern w:val="0"/>
                <w:sz w:val="21"/>
              </w:rPr>
            </w:pPr>
            <m:oMathPara>
              <m:oMath>
                <m:sSup>
                  <m:sSupPr>
                    <m:ctrlPr>
                      <w:rPr>
                        <w:rFonts w:ascii="Cambria Math" w:hAnsi="Cambria Math"/>
                        <w:kern w:val="0"/>
                        <w:sz w:val="21"/>
                      </w:rPr>
                    </m:ctrlPr>
                  </m:sSupPr>
                  <m:e>
                    <m:r>
                      <m:rPr>
                        <m:nor/>
                        <m:sty m:val="p"/>
                      </m:rPr>
                      <w:rPr>
                        <w:b w:val="0"/>
                        <w:i w:val="0"/>
                        <w:kern w:val="0"/>
                        <w:sz w:val="21"/>
                      </w:rPr>
                      <m:t>2.0×10</m:t>
                    </m:r>
                    <m:ctrlPr>
                      <w:rPr>
                        <w:rFonts w:ascii="Cambria Math" w:hAnsi="Cambria Math"/>
                        <w:kern w:val="0"/>
                        <w:sz w:val="21"/>
                      </w:rPr>
                    </m:ctrlPr>
                  </m:e>
                  <m:sup>
                    <m:r>
                      <m:rPr>
                        <m:nor/>
                        <m:sty m:val="p"/>
                      </m:rPr>
                      <w:rPr>
                        <w:b w:val="0"/>
                        <w:i w:val="0"/>
                        <w:kern w:val="0"/>
                        <w:sz w:val="21"/>
                      </w:rPr>
                      <m:t>-6</m:t>
                    </m:r>
                    <m:ctrlPr>
                      <w:rPr>
                        <w:rFonts w:ascii="Cambria Math" w:hAnsi="Cambria Math"/>
                        <w:kern w:val="0"/>
                        <w:sz w:val="21"/>
                      </w:rPr>
                    </m:ctrlPr>
                  </m:sup>
                </m:sSup>
              </m:oMath>
            </m:oMathPara>
          </w:p>
        </w:tc>
        <w:tc>
          <w:tcPr>
            <w:tcW w:w="833" w:type="pct"/>
            <w:vAlign w:val="center"/>
          </w:tcPr>
          <w:p w14:paraId="5735109A">
            <w:pPr>
              <w:jc w:val="center"/>
              <w:rPr>
                <w:kern w:val="0"/>
                <w:sz w:val="21"/>
              </w:rPr>
            </w:pPr>
            <w:r>
              <w:rPr>
                <w:color w:val="000000"/>
                <w:kern w:val="0"/>
                <w:sz w:val="21"/>
              </w:rPr>
              <w:t>0.22</w:t>
            </w:r>
          </w:p>
        </w:tc>
      </w:tr>
      <w:tr w14:paraId="4AE73D5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jc w:val="center"/>
        </w:trPr>
        <w:tc>
          <w:tcPr>
            <w:tcW w:w="834" w:type="pct"/>
            <w:tcBorders>
              <w:bottom w:val="single" w:color="auto" w:sz="12" w:space="0"/>
            </w:tcBorders>
            <w:vAlign w:val="center"/>
          </w:tcPr>
          <w:p w14:paraId="4DDE7DED">
            <w:pPr>
              <w:jc w:val="center"/>
              <w:rPr>
                <w:kern w:val="0"/>
                <w:sz w:val="21"/>
              </w:rPr>
            </w:pPr>
            <w:r>
              <w:rPr>
                <w:color w:val="000000"/>
                <w:kern w:val="0"/>
                <w:sz w:val="21"/>
              </w:rPr>
              <w:t>0.425</w:t>
            </w:r>
          </w:p>
        </w:tc>
        <w:tc>
          <w:tcPr>
            <w:tcW w:w="834" w:type="pct"/>
            <w:tcBorders>
              <w:bottom w:val="single" w:color="auto" w:sz="12" w:space="0"/>
            </w:tcBorders>
            <w:vAlign w:val="center"/>
          </w:tcPr>
          <w:p w14:paraId="25A37051">
            <w:pPr>
              <w:jc w:val="center"/>
              <w:rPr>
                <w:kern w:val="0"/>
                <w:sz w:val="21"/>
              </w:rPr>
            </w:pPr>
            <m:oMathPara>
              <m:oMath>
                <m:sSup>
                  <m:sSupPr>
                    <m:ctrlPr>
                      <w:rPr>
                        <w:rFonts w:ascii="Cambria Math" w:hAnsi="Cambria Math"/>
                        <w:kern w:val="0"/>
                        <w:sz w:val="21"/>
                      </w:rPr>
                    </m:ctrlPr>
                  </m:sSupPr>
                  <m:e>
                    <m:r>
                      <m:rPr>
                        <m:nor/>
                        <m:sty m:val="p"/>
                      </m:rPr>
                      <w:rPr>
                        <w:b w:val="0"/>
                        <w:i w:val="0"/>
                        <w:kern w:val="0"/>
                        <w:sz w:val="21"/>
                      </w:rPr>
                      <m:t>7.0×10</m:t>
                    </m:r>
                    <m:ctrlPr>
                      <w:rPr>
                        <w:rFonts w:ascii="Cambria Math" w:hAnsi="Cambria Math"/>
                        <w:kern w:val="0"/>
                        <w:sz w:val="21"/>
                      </w:rPr>
                    </m:ctrlPr>
                  </m:e>
                  <m:sup>
                    <m:r>
                      <m:rPr>
                        <m:nor/>
                        <m:sty m:val="p"/>
                      </m:rPr>
                      <w:rPr>
                        <w:b w:val="0"/>
                        <w:i w:val="0"/>
                        <w:kern w:val="0"/>
                        <w:sz w:val="21"/>
                      </w:rPr>
                      <m:t>-6</m:t>
                    </m:r>
                    <m:ctrlPr>
                      <w:rPr>
                        <w:rFonts w:ascii="Cambria Math" w:hAnsi="Cambria Math"/>
                        <w:kern w:val="0"/>
                        <w:sz w:val="21"/>
                      </w:rPr>
                    </m:ctrlPr>
                  </m:sup>
                </m:sSup>
              </m:oMath>
            </m:oMathPara>
          </w:p>
        </w:tc>
        <w:tc>
          <w:tcPr>
            <w:tcW w:w="833" w:type="pct"/>
            <w:tcBorders>
              <w:bottom w:val="single" w:color="auto" w:sz="12" w:space="0"/>
            </w:tcBorders>
            <w:vAlign w:val="center"/>
          </w:tcPr>
          <w:p w14:paraId="18B32D0F">
            <w:pPr>
              <w:jc w:val="center"/>
              <w:rPr>
                <w:kern w:val="0"/>
                <w:sz w:val="21"/>
              </w:rPr>
            </w:pPr>
            <m:oMathPara>
              <m:oMath>
                <m:sSup>
                  <m:sSupPr>
                    <m:ctrlPr>
                      <w:rPr>
                        <w:rFonts w:ascii="Cambria Math" w:hAnsi="Cambria Math"/>
                        <w:kern w:val="0"/>
                        <w:sz w:val="21"/>
                      </w:rPr>
                    </m:ctrlPr>
                  </m:sSupPr>
                  <m:e>
                    <m:r>
                      <m:rPr>
                        <m:nor/>
                        <m:sty m:val="p"/>
                      </m:rPr>
                      <w:rPr>
                        <w:b w:val="0"/>
                        <w:i w:val="0"/>
                        <w:kern w:val="0"/>
                        <w:sz w:val="21"/>
                      </w:rPr>
                      <m:t>4.0×10</m:t>
                    </m:r>
                    <m:ctrlPr>
                      <w:rPr>
                        <w:rFonts w:ascii="Cambria Math" w:hAnsi="Cambria Math"/>
                        <w:kern w:val="0"/>
                        <w:sz w:val="21"/>
                      </w:rPr>
                    </m:ctrlPr>
                  </m:e>
                  <m:sup>
                    <m:r>
                      <m:rPr>
                        <m:nor/>
                        <m:sty m:val="p"/>
                      </m:rPr>
                      <w:rPr>
                        <w:b w:val="0"/>
                        <w:i w:val="0"/>
                        <w:kern w:val="0"/>
                        <w:sz w:val="21"/>
                      </w:rPr>
                      <m:t>-6</m:t>
                    </m:r>
                    <m:ctrlPr>
                      <w:rPr>
                        <w:rFonts w:ascii="Cambria Math" w:hAnsi="Cambria Math"/>
                        <w:kern w:val="0"/>
                        <w:sz w:val="21"/>
                      </w:rPr>
                    </m:ctrlPr>
                  </m:sup>
                </m:sSup>
              </m:oMath>
            </m:oMathPara>
          </w:p>
        </w:tc>
        <w:tc>
          <w:tcPr>
            <w:tcW w:w="833" w:type="pct"/>
            <w:tcBorders>
              <w:bottom w:val="single" w:color="auto" w:sz="12" w:space="0"/>
            </w:tcBorders>
            <w:vAlign w:val="center"/>
          </w:tcPr>
          <w:p w14:paraId="266DECA1">
            <w:pPr>
              <w:jc w:val="center"/>
              <w:rPr>
                <w:kern w:val="0"/>
                <w:sz w:val="21"/>
              </w:rPr>
            </w:pPr>
            <m:oMathPara>
              <m:oMath>
                <m:sSup>
                  <m:sSupPr>
                    <m:ctrlPr>
                      <w:rPr>
                        <w:rFonts w:ascii="Cambria Math" w:hAnsi="Cambria Math"/>
                        <w:kern w:val="0"/>
                        <w:sz w:val="21"/>
                      </w:rPr>
                    </m:ctrlPr>
                  </m:sSupPr>
                  <m:e>
                    <m:r>
                      <m:rPr>
                        <m:nor/>
                        <m:sty m:val="p"/>
                      </m:rPr>
                      <w:rPr>
                        <w:b w:val="0"/>
                        <w:i w:val="0"/>
                        <w:kern w:val="0"/>
                        <w:sz w:val="21"/>
                      </w:rPr>
                      <m:t>1.0×10</m:t>
                    </m:r>
                    <m:ctrlPr>
                      <w:rPr>
                        <w:rFonts w:ascii="Cambria Math" w:hAnsi="Cambria Math"/>
                        <w:kern w:val="0"/>
                        <w:sz w:val="21"/>
                      </w:rPr>
                    </m:ctrlPr>
                  </m:e>
                  <m:sup>
                    <m:r>
                      <m:rPr>
                        <m:nor/>
                        <m:sty m:val="p"/>
                      </m:rPr>
                      <w:rPr>
                        <w:b w:val="0"/>
                        <w:i w:val="0"/>
                        <w:kern w:val="0"/>
                        <w:sz w:val="21"/>
                      </w:rPr>
                      <m:t>-5</m:t>
                    </m:r>
                    <m:ctrlPr>
                      <w:rPr>
                        <w:rFonts w:ascii="Cambria Math" w:hAnsi="Cambria Math"/>
                        <w:kern w:val="0"/>
                        <w:sz w:val="21"/>
                      </w:rPr>
                    </m:ctrlPr>
                  </m:sup>
                </m:sSup>
              </m:oMath>
            </m:oMathPara>
          </w:p>
        </w:tc>
        <w:tc>
          <w:tcPr>
            <w:tcW w:w="833" w:type="pct"/>
            <w:tcBorders>
              <w:bottom w:val="single" w:color="auto" w:sz="12" w:space="0"/>
            </w:tcBorders>
            <w:vAlign w:val="center"/>
          </w:tcPr>
          <w:p w14:paraId="04BE69AE">
            <w:pPr>
              <w:jc w:val="center"/>
              <w:rPr>
                <w:kern w:val="0"/>
                <w:sz w:val="21"/>
              </w:rPr>
            </w:pPr>
            <m:oMathPara>
              <m:oMath>
                <m:sSup>
                  <m:sSupPr>
                    <m:ctrlPr>
                      <w:rPr>
                        <w:rFonts w:ascii="Cambria Math" w:hAnsi="Cambria Math"/>
                        <w:kern w:val="0"/>
                        <w:sz w:val="21"/>
                      </w:rPr>
                    </m:ctrlPr>
                  </m:sSupPr>
                  <m:e>
                    <m:r>
                      <m:rPr>
                        <m:nor/>
                        <m:sty m:val="p"/>
                      </m:rPr>
                      <w:rPr>
                        <w:b w:val="0"/>
                        <w:i w:val="0"/>
                        <w:kern w:val="0"/>
                        <w:sz w:val="21"/>
                      </w:rPr>
                      <m:t>1.0×10</m:t>
                    </m:r>
                    <m:ctrlPr>
                      <w:rPr>
                        <w:rFonts w:ascii="Cambria Math" w:hAnsi="Cambria Math"/>
                        <w:kern w:val="0"/>
                        <w:sz w:val="21"/>
                      </w:rPr>
                    </m:ctrlPr>
                  </m:e>
                  <m:sup>
                    <m:r>
                      <m:rPr>
                        <m:nor/>
                        <m:sty m:val="p"/>
                      </m:rPr>
                      <w:rPr>
                        <w:b w:val="0"/>
                        <w:i w:val="0"/>
                        <w:kern w:val="0"/>
                        <w:sz w:val="21"/>
                      </w:rPr>
                      <m:t>-6</m:t>
                    </m:r>
                    <m:ctrlPr>
                      <w:rPr>
                        <w:rFonts w:ascii="Cambria Math" w:hAnsi="Cambria Math"/>
                        <w:kern w:val="0"/>
                        <w:sz w:val="21"/>
                      </w:rPr>
                    </m:ctrlPr>
                  </m:sup>
                </m:sSup>
              </m:oMath>
            </m:oMathPara>
          </w:p>
        </w:tc>
        <w:tc>
          <w:tcPr>
            <w:tcW w:w="833" w:type="pct"/>
            <w:tcBorders>
              <w:bottom w:val="single" w:color="auto" w:sz="12" w:space="0"/>
            </w:tcBorders>
            <w:vAlign w:val="center"/>
          </w:tcPr>
          <w:p w14:paraId="22E3765A">
            <w:pPr>
              <w:jc w:val="center"/>
              <w:rPr>
                <w:kern w:val="0"/>
                <w:sz w:val="21"/>
              </w:rPr>
            </w:pPr>
            <w:r>
              <w:rPr>
                <w:color w:val="000000"/>
                <w:kern w:val="0"/>
                <w:sz w:val="21"/>
              </w:rPr>
              <w:t>0.14</w:t>
            </w:r>
          </w:p>
        </w:tc>
      </w:tr>
      <w:bookmarkEnd w:id="8"/>
    </w:tbl>
    <w:p w14:paraId="3630B2BD">
      <w:pPr>
        <w:pStyle w:val="8"/>
        <w:spacing w:before="400" w:line="480" w:lineRule="auto"/>
        <w:rPr>
          <w:rFonts w:cs="Times New Roman"/>
        </w:rPr>
      </w:pPr>
      <w:r>
        <w:rPr>
          <w:rFonts w:cs="Times New Roman"/>
        </w:rPr>
        <w:t xml:space="preserve">Table </w:t>
      </w:r>
      <w:r>
        <w:rPr>
          <w:rFonts w:hint="eastAsia" w:cs="Times New Roman"/>
          <w:lang w:val="en-US" w:eastAsia="zh-CN"/>
        </w:rPr>
        <w:t>S</w:t>
      </w:r>
      <w:r>
        <w:rPr>
          <w:rFonts w:cs="Times New Roman"/>
        </w:rPr>
        <w:t>2 Hyporheic flux (L/m</w:t>
      </w:r>
      <w:r>
        <w:rPr>
          <w:rFonts w:cs="Times New Roman"/>
          <w:vertAlign w:val="superscript"/>
        </w:rPr>
        <w:t>2</w:t>
      </w:r>
      <w:r>
        <w:rPr>
          <w:rFonts w:cs="Times New Roman"/>
          <w:color w:val="333333"/>
          <w:shd w:val="clear" w:color="auto" w:fill="FFFFFF"/>
        </w:rPr>
        <w:t>·s)</w:t>
      </w:r>
      <w:r>
        <w:rPr>
          <w:rFonts w:cs="Times New Roman"/>
        </w:rPr>
        <w:t xml:space="preserve"> during the low water period</w:t>
      </w:r>
    </w:p>
    <w:tbl>
      <w:tblPr>
        <w:tblStyle w:val="10"/>
        <w:tblW w:w="5000"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98"/>
        <w:gridCol w:w="1475"/>
        <w:gridCol w:w="1476"/>
        <w:gridCol w:w="1476"/>
        <w:gridCol w:w="1476"/>
        <w:gridCol w:w="1221"/>
      </w:tblGrid>
      <w:tr w14:paraId="5AC81DC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820" w:type="pct"/>
            <w:tcBorders>
              <w:bottom w:val="single" w:color="auto" w:sz="6" w:space="0"/>
              <w:insideH w:val="single" w:sz="6" w:space="0"/>
            </w:tcBorders>
            <w:vAlign w:val="center"/>
          </w:tcPr>
          <w:p w14:paraId="1E25CFA8">
            <w:pPr>
              <w:spacing w:line="380" w:lineRule="exact"/>
              <w:jc w:val="center"/>
              <w:rPr>
                <w:kern w:val="0"/>
                <w:sz w:val="21"/>
                <w:szCs w:val="21"/>
              </w:rPr>
            </w:pPr>
            <w:r>
              <w:rPr>
                <w:kern w:val="0"/>
                <w:sz w:val="21"/>
              </w:rPr>
              <w:t>Depth(m)</w:t>
            </w:r>
          </w:p>
        </w:tc>
        <w:tc>
          <w:tcPr>
            <w:tcW w:w="865" w:type="pct"/>
            <w:tcBorders>
              <w:bottom w:val="single" w:color="auto" w:sz="6" w:space="0"/>
              <w:insideH w:val="single" w:sz="6" w:space="0"/>
            </w:tcBorders>
            <w:vAlign w:val="center"/>
          </w:tcPr>
          <w:p w14:paraId="1939BCFC">
            <w:pPr>
              <w:spacing w:line="380" w:lineRule="exact"/>
              <w:jc w:val="center"/>
              <w:rPr>
                <w:kern w:val="0"/>
                <w:sz w:val="21"/>
                <w:szCs w:val="21"/>
              </w:rPr>
            </w:pPr>
            <w:r>
              <w:rPr>
                <w:kern w:val="0"/>
                <w:sz w:val="21"/>
              </w:rPr>
              <w:t>Mean</w:t>
            </w:r>
          </w:p>
        </w:tc>
        <w:tc>
          <w:tcPr>
            <w:tcW w:w="866" w:type="pct"/>
            <w:tcBorders>
              <w:bottom w:val="single" w:color="auto" w:sz="6" w:space="0"/>
              <w:insideH w:val="single" w:sz="6" w:space="0"/>
            </w:tcBorders>
            <w:vAlign w:val="center"/>
          </w:tcPr>
          <w:p w14:paraId="7032A4B2">
            <w:pPr>
              <w:spacing w:line="380" w:lineRule="exact"/>
              <w:jc w:val="center"/>
              <w:rPr>
                <w:kern w:val="0"/>
                <w:sz w:val="21"/>
                <w:szCs w:val="21"/>
              </w:rPr>
            </w:pPr>
            <w:r>
              <w:rPr>
                <w:kern w:val="0"/>
                <w:sz w:val="21"/>
              </w:rPr>
              <w:t>Minimum</w:t>
            </w:r>
          </w:p>
        </w:tc>
        <w:tc>
          <w:tcPr>
            <w:tcW w:w="866" w:type="pct"/>
            <w:tcBorders>
              <w:bottom w:val="single" w:color="auto" w:sz="6" w:space="0"/>
              <w:insideH w:val="single" w:sz="6" w:space="0"/>
            </w:tcBorders>
            <w:vAlign w:val="center"/>
          </w:tcPr>
          <w:p w14:paraId="61EFB173">
            <w:pPr>
              <w:spacing w:line="380" w:lineRule="exact"/>
              <w:jc w:val="center"/>
              <w:rPr>
                <w:kern w:val="0"/>
                <w:sz w:val="21"/>
                <w:szCs w:val="21"/>
              </w:rPr>
            </w:pPr>
            <w:r>
              <w:rPr>
                <w:kern w:val="0"/>
                <w:sz w:val="21"/>
              </w:rPr>
              <w:t>Maximum</w:t>
            </w:r>
          </w:p>
        </w:tc>
        <w:tc>
          <w:tcPr>
            <w:tcW w:w="866" w:type="pct"/>
            <w:tcBorders>
              <w:bottom w:val="single" w:color="auto" w:sz="6" w:space="0"/>
              <w:insideH w:val="single" w:sz="6" w:space="0"/>
            </w:tcBorders>
            <w:vAlign w:val="center"/>
          </w:tcPr>
          <w:p w14:paraId="29EF0E82">
            <w:pPr>
              <w:spacing w:line="380" w:lineRule="exact"/>
              <w:jc w:val="center"/>
              <w:rPr>
                <w:kern w:val="0"/>
                <w:sz w:val="21"/>
                <w:szCs w:val="21"/>
              </w:rPr>
            </w:pPr>
            <w:r>
              <w:rPr>
                <w:kern w:val="0"/>
                <w:sz w:val="21"/>
              </w:rPr>
              <w:t>Standard deviation</w:t>
            </w:r>
          </w:p>
        </w:tc>
        <w:tc>
          <w:tcPr>
            <w:tcW w:w="716" w:type="pct"/>
            <w:tcBorders>
              <w:bottom w:val="single" w:color="auto" w:sz="6" w:space="0"/>
              <w:insideH w:val="single" w:sz="6" w:space="0"/>
            </w:tcBorders>
            <w:vAlign w:val="center"/>
          </w:tcPr>
          <w:p w14:paraId="33A1525E">
            <w:pPr>
              <w:spacing w:line="380" w:lineRule="exact"/>
              <w:jc w:val="center"/>
              <w:rPr>
                <w:kern w:val="0"/>
                <w:sz w:val="21"/>
                <w:szCs w:val="21"/>
              </w:rPr>
            </w:pPr>
            <w:r>
              <w:rPr>
                <w:kern w:val="0"/>
                <w:sz w:val="21"/>
              </w:rPr>
              <w:t>Variable coefficient</w:t>
            </w:r>
          </w:p>
        </w:tc>
      </w:tr>
      <w:tr w14:paraId="463F2AB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820" w:type="pct"/>
            <w:vAlign w:val="center"/>
          </w:tcPr>
          <w:p w14:paraId="23F9D4A3">
            <w:pPr>
              <w:spacing w:line="380" w:lineRule="exact"/>
              <w:jc w:val="center"/>
              <w:rPr>
                <w:kern w:val="0"/>
                <w:sz w:val="21"/>
                <w:szCs w:val="21"/>
              </w:rPr>
            </w:pPr>
            <w:r>
              <w:rPr>
                <w:kern w:val="0"/>
                <w:sz w:val="21"/>
              </w:rPr>
              <w:t>0.15</w:t>
            </w:r>
          </w:p>
        </w:tc>
        <w:tc>
          <w:tcPr>
            <w:tcW w:w="865" w:type="pct"/>
            <w:vAlign w:val="center"/>
          </w:tcPr>
          <w:p w14:paraId="51EAD1C4">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2.68×10</m:t>
                    </m:r>
                    <m:ctrlPr>
                      <w:rPr>
                        <w:rFonts w:ascii="Cambria Math" w:hAnsi="Cambria Math"/>
                        <w:kern w:val="0"/>
                        <w:sz w:val="21"/>
                        <w:szCs w:val="21"/>
                      </w:rPr>
                    </m:ctrlPr>
                  </m:e>
                  <m:sup>
                    <m:r>
                      <m:rPr>
                        <m:nor/>
                        <m:sty m:val="p"/>
                      </m:rPr>
                      <w:rPr>
                        <w:b w:val="0"/>
                        <w:i w:val="0"/>
                        <w:kern w:val="0"/>
                        <w:sz w:val="21"/>
                        <w:szCs w:val="21"/>
                      </w:rPr>
                      <m:t>-6</m:t>
                    </m:r>
                    <m:ctrlPr>
                      <w:rPr>
                        <w:rFonts w:ascii="Cambria Math" w:hAnsi="Cambria Math"/>
                        <w:kern w:val="0"/>
                        <w:sz w:val="21"/>
                        <w:szCs w:val="21"/>
                      </w:rPr>
                    </m:ctrlPr>
                  </m:sup>
                </m:sSup>
              </m:oMath>
            </m:oMathPara>
          </w:p>
        </w:tc>
        <w:tc>
          <w:tcPr>
            <w:tcW w:w="866" w:type="pct"/>
            <w:vAlign w:val="center"/>
          </w:tcPr>
          <w:p w14:paraId="4C01846A">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-2.8×10</m:t>
                    </m:r>
                    <m:ctrlPr>
                      <w:rPr>
                        <w:rFonts w:ascii="Cambria Math" w:hAnsi="Cambria Math"/>
                        <w:kern w:val="0"/>
                        <w:sz w:val="21"/>
                        <w:szCs w:val="21"/>
                      </w:rPr>
                    </m:ctrlPr>
                  </m:e>
                  <m:sup>
                    <m:r>
                      <m:rPr>
                        <m:nor/>
                        <m:sty m:val="p"/>
                      </m:rPr>
                      <w:rPr>
                        <w:b w:val="0"/>
                        <w:i w:val="0"/>
                        <w:kern w:val="0"/>
                        <w:sz w:val="21"/>
                        <w:szCs w:val="21"/>
                      </w:rPr>
                      <m:t>-6</m:t>
                    </m:r>
                    <m:ctrlPr>
                      <w:rPr>
                        <w:rFonts w:ascii="Cambria Math" w:hAnsi="Cambria Math"/>
                        <w:kern w:val="0"/>
                        <w:sz w:val="21"/>
                        <w:szCs w:val="21"/>
                      </w:rPr>
                    </m:ctrlPr>
                  </m:sup>
                </m:sSup>
              </m:oMath>
            </m:oMathPara>
          </w:p>
        </w:tc>
        <w:tc>
          <w:tcPr>
            <w:tcW w:w="866" w:type="pct"/>
            <w:vAlign w:val="center"/>
          </w:tcPr>
          <w:p w14:paraId="4F0BF8AF">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1.88×10</m:t>
                    </m:r>
                    <m:ctrlPr>
                      <w:rPr>
                        <w:rFonts w:ascii="Cambria Math" w:hAnsi="Cambria Math"/>
                        <w:kern w:val="0"/>
                        <w:sz w:val="21"/>
                        <w:szCs w:val="21"/>
                      </w:rPr>
                    </m:ctrlPr>
                  </m:e>
                  <m:sup>
                    <m:r>
                      <m:rPr>
                        <m:nor/>
                        <m:sty m:val="p"/>
                      </m:rPr>
                      <w:rPr>
                        <w:b w:val="0"/>
                        <w:i w:val="0"/>
                        <w:kern w:val="0"/>
                        <w:sz w:val="21"/>
                        <w:szCs w:val="21"/>
                      </w:rPr>
                      <m:t>-5</m:t>
                    </m:r>
                    <m:ctrlPr>
                      <w:rPr>
                        <w:rFonts w:ascii="Cambria Math" w:hAnsi="Cambria Math"/>
                        <w:kern w:val="0"/>
                        <w:sz w:val="21"/>
                        <w:szCs w:val="21"/>
                      </w:rPr>
                    </m:ctrlPr>
                  </m:sup>
                </m:sSup>
              </m:oMath>
            </m:oMathPara>
          </w:p>
        </w:tc>
        <w:tc>
          <w:tcPr>
            <w:tcW w:w="866" w:type="pct"/>
            <w:vAlign w:val="center"/>
          </w:tcPr>
          <w:p w14:paraId="5217B26D">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4.92×10</m:t>
                    </m:r>
                    <m:ctrlPr>
                      <w:rPr>
                        <w:rFonts w:ascii="Cambria Math" w:hAnsi="Cambria Math"/>
                        <w:kern w:val="0"/>
                        <w:sz w:val="21"/>
                        <w:szCs w:val="21"/>
                      </w:rPr>
                    </m:ctrlPr>
                  </m:e>
                  <m:sup>
                    <m:r>
                      <m:rPr>
                        <m:nor/>
                        <m:sty m:val="p"/>
                      </m:rPr>
                      <w:rPr>
                        <w:b w:val="0"/>
                        <w:i w:val="0"/>
                        <w:kern w:val="0"/>
                        <w:sz w:val="21"/>
                        <w:szCs w:val="21"/>
                      </w:rPr>
                      <m:t>-6</m:t>
                    </m:r>
                    <m:ctrlPr>
                      <w:rPr>
                        <w:rFonts w:ascii="Cambria Math" w:hAnsi="Cambria Math"/>
                        <w:kern w:val="0"/>
                        <w:sz w:val="21"/>
                        <w:szCs w:val="21"/>
                      </w:rPr>
                    </m:ctrlPr>
                  </m:sup>
                </m:sSup>
              </m:oMath>
            </m:oMathPara>
          </w:p>
        </w:tc>
        <w:tc>
          <w:tcPr>
            <w:tcW w:w="716" w:type="pct"/>
            <w:vAlign w:val="center"/>
          </w:tcPr>
          <w:p w14:paraId="0E6B27CE">
            <w:pPr>
              <w:spacing w:line="380" w:lineRule="exact"/>
              <w:jc w:val="center"/>
              <w:rPr>
                <w:kern w:val="0"/>
                <w:sz w:val="21"/>
                <w:szCs w:val="21"/>
              </w:rPr>
            </w:pPr>
            <w:r>
              <w:rPr>
                <w:kern w:val="0"/>
                <w:sz w:val="21"/>
              </w:rPr>
              <w:t>1.84</w:t>
            </w:r>
          </w:p>
        </w:tc>
      </w:tr>
      <w:tr w14:paraId="7375EE7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820" w:type="pct"/>
            <w:vAlign w:val="center"/>
          </w:tcPr>
          <w:p w14:paraId="0CB2AC97">
            <w:pPr>
              <w:spacing w:line="380" w:lineRule="exact"/>
              <w:jc w:val="center"/>
              <w:rPr>
                <w:kern w:val="0"/>
                <w:sz w:val="21"/>
                <w:szCs w:val="21"/>
              </w:rPr>
            </w:pPr>
            <w:r>
              <w:rPr>
                <w:kern w:val="0"/>
                <w:sz w:val="21"/>
              </w:rPr>
              <w:t>0.2</w:t>
            </w:r>
          </w:p>
        </w:tc>
        <w:tc>
          <w:tcPr>
            <w:tcW w:w="865" w:type="pct"/>
            <w:vAlign w:val="center"/>
          </w:tcPr>
          <w:p w14:paraId="06141AD9">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5.12×10</m:t>
                    </m:r>
                    <m:ctrlPr>
                      <w:rPr>
                        <w:rFonts w:ascii="Cambria Math" w:hAnsi="Cambria Math"/>
                        <w:kern w:val="0"/>
                        <w:sz w:val="21"/>
                        <w:szCs w:val="21"/>
                      </w:rPr>
                    </m:ctrlPr>
                  </m:e>
                  <m:sup>
                    <m:r>
                      <m:rPr>
                        <m:nor/>
                        <m:sty m:val="p"/>
                      </m:rPr>
                      <w:rPr>
                        <w:b w:val="0"/>
                        <w:i w:val="0"/>
                        <w:kern w:val="0"/>
                        <w:sz w:val="21"/>
                        <w:szCs w:val="21"/>
                      </w:rPr>
                      <m:t>-6</m:t>
                    </m:r>
                    <m:ctrlPr>
                      <w:rPr>
                        <w:rFonts w:ascii="Cambria Math" w:hAnsi="Cambria Math"/>
                        <w:kern w:val="0"/>
                        <w:sz w:val="21"/>
                        <w:szCs w:val="21"/>
                      </w:rPr>
                    </m:ctrlPr>
                  </m:sup>
                </m:sSup>
              </m:oMath>
            </m:oMathPara>
          </w:p>
        </w:tc>
        <w:tc>
          <w:tcPr>
            <w:tcW w:w="866" w:type="pct"/>
            <w:vAlign w:val="center"/>
          </w:tcPr>
          <w:p w14:paraId="1B4D4E95">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1.19×10</m:t>
                    </m:r>
                    <m:ctrlPr>
                      <w:rPr>
                        <w:rFonts w:ascii="Cambria Math" w:hAnsi="Cambria Math"/>
                        <w:kern w:val="0"/>
                        <w:sz w:val="21"/>
                        <w:szCs w:val="21"/>
                      </w:rPr>
                    </m:ctrlPr>
                  </m:e>
                  <m:sup>
                    <m:r>
                      <m:rPr>
                        <m:nor/>
                        <m:sty m:val="p"/>
                      </m:rPr>
                      <w:rPr>
                        <w:b w:val="0"/>
                        <w:i w:val="0"/>
                        <w:kern w:val="0"/>
                        <w:sz w:val="21"/>
                        <w:szCs w:val="21"/>
                      </w:rPr>
                      <m:t>-6</m:t>
                    </m:r>
                    <m:ctrlPr>
                      <w:rPr>
                        <w:rFonts w:ascii="Cambria Math" w:hAnsi="Cambria Math"/>
                        <w:kern w:val="0"/>
                        <w:sz w:val="21"/>
                        <w:szCs w:val="21"/>
                      </w:rPr>
                    </m:ctrlPr>
                  </m:sup>
                </m:sSup>
              </m:oMath>
            </m:oMathPara>
          </w:p>
        </w:tc>
        <w:tc>
          <w:tcPr>
            <w:tcW w:w="866" w:type="pct"/>
            <w:vAlign w:val="center"/>
          </w:tcPr>
          <w:p w14:paraId="18B7B03E">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2.71×10</m:t>
                    </m:r>
                    <m:ctrlPr>
                      <w:rPr>
                        <w:rFonts w:ascii="Cambria Math" w:hAnsi="Cambria Math"/>
                        <w:kern w:val="0"/>
                        <w:sz w:val="21"/>
                        <w:szCs w:val="21"/>
                      </w:rPr>
                    </m:ctrlPr>
                  </m:e>
                  <m:sup>
                    <m:r>
                      <m:rPr>
                        <m:nor/>
                        <m:sty m:val="p"/>
                      </m:rPr>
                      <w:rPr>
                        <w:b w:val="0"/>
                        <w:i w:val="0"/>
                        <w:kern w:val="0"/>
                        <w:sz w:val="21"/>
                        <w:szCs w:val="21"/>
                      </w:rPr>
                      <m:t>-5</m:t>
                    </m:r>
                    <m:ctrlPr>
                      <w:rPr>
                        <w:rFonts w:ascii="Cambria Math" w:hAnsi="Cambria Math"/>
                        <w:kern w:val="0"/>
                        <w:sz w:val="21"/>
                        <w:szCs w:val="21"/>
                      </w:rPr>
                    </m:ctrlPr>
                  </m:sup>
                </m:sSup>
              </m:oMath>
            </m:oMathPara>
          </w:p>
        </w:tc>
        <w:tc>
          <w:tcPr>
            <w:tcW w:w="866" w:type="pct"/>
            <w:vAlign w:val="center"/>
          </w:tcPr>
          <w:p w14:paraId="585705D5">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4.20×10</m:t>
                    </m:r>
                    <m:ctrlPr>
                      <w:rPr>
                        <w:rFonts w:ascii="Cambria Math" w:hAnsi="Cambria Math"/>
                        <w:kern w:val="0"/>
                        <w:sz w:val="21"/>
                        <w:szCs w:val="21"/>
                      </w:rPr>
                    </m:ctrlPr>
                  </m:e>
                  <m:sup>
                    <m:r>
                      <m:rPr>
                        <m:nor/>
                        <m:sty m:val="p"/>
                      </m:rPr>
                      <w:rPr>
                        <w:b w:val="0"/>
                        <w:i w:val="0"/>
                        <w:kern w:val="0"/>
                        <w:sz w:val="21"/>
                        <w:szCs w:val="21"/>
                      </w:rPr>
                      <m:t>-6</m:t>
                    </m:r>
                    <m:ctrlPr>
                      <w:rPr>
                        <w:rFonts w:ascii="Cambria Math" w:hAnsi="Cambria Math"/>
                        <w:kern w:val="0"/>
                        <w:sz w:val="21"/>
                        <w:szCs w:val="21"/>
                      </w:rPr>
                    </m:ctrlPr>
                  </m:sup>
                </m:sSup>
              </m:oMath>
            </m:oMathPara>
          </w:p>
        </w:tc>
        <w:tc>
          <w:tcPr>
            <w:tcW w:w="716" w:type="pct"/>
            <w:vAlign w:val="center"/>
          </w:tcPr>
          <w:p w14:paraId="55A9E474">
            <w:pPr>
              <w:spacing w:line="380" w:lineRule="exact"/>
              <w:jc w:val="center"/>
              <w:rPr>
                <w:kern w:val="0"/>
                <w:sz w:val="21"/>
                <w:szCs w:val="21"/>
              </w:rPr>
            </w:pPr>
            <w:r>
              <w:rPr>
                <w:kern w:val="0"/>
                <w:sz w:val="21"/>
              </w:rPr>
              <w:t>0.82</w:t>
            </w:r>
          </w:p>
        </w:tc>
      </w:tr>
      <w:tr w14:paraId="27925FF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820" w:type="pct"/>
            <w:vAlign w:val="center"/>
          </w:tcPr>
          <w:p w14:paraId="1F3DA1B3">
            <w:pPr>
              <w:spacing w:line="380" w:lineRule="exact"/>
              <w:jc w:val="center"/>
              <w:rPr>
                <w:kern w:val="0"/>
                <w:sz w:val="21"/>
                <w:szCs w:val="21"/>
              </w:rPr>
            </w:pPr>
            <w:r>
              <w:rPr>
                <w:kern w:val="0"/>
                <w:sz w:val="21"/>
              </w:rPr>
              <w:t>0.25</w:t>
            </w:r>
          </w:p>
        </w:tc>
        <w:tc>
          <w:tcPr>
            <w:tcW w:w="865" w:type="pct"/>
            <w:vAlign w:val="center"/>
          </w:tcPr>
          <w:p w14:paraId="78C61394">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8.30×10</m:t>
                    </m:r>
                    <m:ctrlPr>
                      <w:rPr>
                        <w:rFonts w:ascii="Cambria Math" w:hAnsi="Cambria Math"/>
                        <w:kern w:val="0"/>
                        <w:sz w:val="21"/>
                        <w:szCs w:val="21"/>
                      </w:rPr>
                    </m:ctrlPr>
                  </m:e>
                  <m:sup>
                    <m:r>
                      <m:rPr>
                        <m:nor/>
                        <m:sty m:val="p"/>
                      </m:rPr>
                      <w:rPr>
                        <w:b w:val="0"/>
                        <w:i w:val="0"/>
                        <w:kern w:val="0"/>
                        <w:sz w:val="21"/>
                        <w:szCs w:val="21"/>
                      </w:rPr>
                      <m:t>-6</m:t>
                    </m:r>
                    <m:ctrlPr>
                      <w:rPr>
                        <w:rFonts w:ascii="Cambria Math" w:hAnsi="Cambria Math"/>
                        <w:kern w:val="0"/>
                        <w:sz w:val="21"/>
                        <w:szCs w:val="21"/>
                      </w:rPr>
                    </m:ctrlPr>
                  </m:sup>
                </m:sSup>
              </m:oMath>
            </m:oMathPara>
          </w:p>
        </w:tc>
        <w:tc>
          <w:tcPr>
            <w:tcW w:w="866" w:type="pct"/>
            <w:vAlign w:val="center"/>
          </w:tcPr>
          <w:p w14:paraId="29324D4D">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4.46×10</m:t>
                    </m:r>
                    <m:ctrlPr>
                      <w:rPr>
                        <w:rFonts w:ascii="Cambria Math" w:hAnsi="Cambria Math"/>
                        <w:kern w:val="0"/>
                        <w:sz w:val="21"/>
                        <w:szCs w:val="21"/>
                      </w:rPr>
                    </m:ctrlPr>
                  </m:e>
                  <m:sup>
                    <m:r>
                      <m:rPr>
                        <m:nor/>
                        <m:sty m:val="p"/>
                      </m:rPr>
                      <w:rPr>
                        <w:b w:val="0"/>
                        <w:i w:val="0"/>
                        <w:kern w:val="0"/>
                        <w:sz w:val="21"/>
                        <w:szCs w:val="21"/>
                      </w:rPr>
                      <m:t>-6</m:t>
                    </m:r>
                    <m:ctrlPr>
                      <w:rPr>
                        <w:rFonts w:ascii="Cambria Math" w:hAnsi="Cambria Math"/>
                        <w:kern w:val="0"/>
                        <w:sz w:val="21"/>
                        <w:szCs w:val="21"/>
                      </w:rPr>
                    </m:ctrlPr>
                  </m:sup>
                </m:sSup>
              </m:oMath>
            </m:oMathPara>
          </w:p>
        </w:tc>
        <w:tc>
          <w:tcPr>
            <w:tcW w:w="866" w:type="pct"/>
            <w:vAlign w:val="center"/>
          </w:tcPr>
          <w:p w14:paraId="260B63F2">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3.80×10</m:t>
                    </m:r>
                    <m:ctrlPr>
                      <w:rPr>
                        <w:rFonts w:ascii="Cambria Math" w:hAnsi="Cambria Math"/>
                        <w:kern w:val="0"/>
                        <w:sz w:val="21"/>
                        <w:szCs w:val="21"/>
                      </w:rPr>
                    </m:ctrlPr>
                  </m:e>
                  <m:sup>
                    <m:r>
                      <m:rPr>
                        <m:nor/>
                        <m:sty m:val="p"/>
                      </m:rPr>
                      <w:rPr>
                        <w:b w:val="0"/>
                        <w:i w:val="0"/>
                        <w:kern w:val="0"/>
                        <w:sz w:val="21"/>
                        <w:szCs w:val="21"/>
                      </w:rPr>
                      <m:t>-5</m:t>
                    </m:r>
                    <m:ctrlPr>
                      <w:rPr>
                        <w:rFonts w:ascii="Cambria Math" w:hAnsi="Cambria Math"/>
                        <w:kern w:val="0"/>
                        <w:sz w:val="21"/>
                        <w:szCs w:val="21"/>
                      </w:rPr>
                    </m:ctrlPr>
                  </m:sup>
                </m:sSup>
              </m:oMath>
            </m:oMathPara>
          </w:p>
        </w:tc>
        <w:tc>
          <w:tcPr>
            <w:tcW w:w="866" w:type="pct"/>
            <w:vAlign w:val="center"/>
          </w:tcPr>
          <w:p w14:paraId="2BD8D33C">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5.13×10</m:t>
                    </m:r>
                    <m:ctrlPr>
                      <w:rPr>
                        <w:rFonts w:ascii="Cambria Math" w:hAnsi="Cambria Math"/>
                        <w:kern w:val="0"/>
                        <w:sz w:val="21"/>
                        <w:szCs w:val="21"/>
                      </w:rPr>
                    </m:ctrlPr>
                  </m:e>
                  <m:sup>
                    <m:r>
                      <m:rPr>
                        <m:nor/>
                        <m:sty m:val="p"/>
                      </m:rPr>
                      <w:rPr>
                        <w:b w:val="0"/>
                        <w:i w:val="0"/>
                        <w:kern w:val="0"/>
                        <w:sz w:val="21"/>
                        <w:szCs w:val="21"/>
                      </w:rPr>
                      <m:t>-6</m:t>
                    </m:r>
                    <m:ctrlPr>
                      <w:rPr>
                        <w:rFonts w:ascii="Cambria Math" w:hAnsi="Cambria Math"/>
                        <w:kern w:val="0"/>
                        <w:sz w:val="21"/>
                        <w:szCs w:val="21"/>
                      </w:rPr>
                    </m:ctrlPr>
                  </m:sup>
                </m:sSup>
              </m:oMath>
            </m:oMathPara>
          </w:p>
        </w:tc>
        <w:tc>
          <w:tcPr>
            <w:tcW w:w="716" w:type="pct"/>
            <w:vAlign w:val="center"/>
          </w:tcPr>
          <w:p w14:paraId="4E963724">
            <w:pPr>
              <w:spacing w:line="380" w:lineRule="exact"/>
              <w:jc w:val="center"/>
              <w:rPr>
                <w:kern w:val="0"/>
                <w:sz w:val="21"/>
                <w:szCs w:val="21"/>
              </w:rPr>
            </w:pPr>
            <w:r>
              <w:rPr>
                <w:kern w:val="0"/>
                <w:sz w:val="21"/>
              </w:rPr>
              <w:t>0.62</w:t>
            </w:r>
          </w:p>
        </w:tc>
      </w:tr>
      <w:tr w14:paraId="3E7BCD0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820" w:type="pct"/>
            <w:vAlign w:val="center"/>
          </w:tcPr>
          <w:p w14:paraId="70D05279">
            <w:pPr>
              <w:spacing w:line="380" w:lineRule="exact"/>
              <w:jc w:val="center"/>
              <w:rPr>
                <w:kern w:val="0"/>
                <w:sz w:val="21"/>
                <w:szCs w:val="21"/>
              </w:rPr>
            </w:pPr>
            <w:r>
              <w:rPr>
                <w:kern w:val="0"/>
                <w:sz w:val="21"/>
              </w:rPr>
              <w:t>0.3</w:t>
            </w:r>
          </w:p>
        </w:tc>
        <w:tc>
          <w:tcPr>
            <w:tcW w:w="865" w:type="pct"/>
            <w:vAlign w:val="center"/>
          </w:tcPr>
          <w:p w14:paraId="2F6B3A2D">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9.16×10</m:t>
                    </m:r>
                    <m:ctrlPr>
                      <w:rPr>
                        <w:rFonts w:ascii="Cambria Math" w:hAnsi="Cambria Math"/>
                        <w:kern w:val="0"/>
                        <w:sz w:val="21"/>
                        <w:szCs w:val="21"/>
                      </w:rPr>
                    </m:ctrlPr>
                  </m:e>
                  <m:sup>
                    <m:r>
                      <m:rPr>
                        <m:nor/>
                        <m:sty m:val="p"/>
                      </m:rPr>
                      <w:rPr>
                        <w:b w:val="0"/>
                        <w:i w:val="0"/>
                        <w:kern w:val="0"/>
                        <w:sz w:val="21"/>
                        <w:szCs w:val="21"/>
                      </w:rPr>
                      <m:t>-6</m:t>
                    </m:r>
                    <m:ctrlPr>
                      <w:rPr>
                        <w:rFonts w:ascii="Cambria Math" w:hAnsi="Cambria Math"/>
                        <w:kern w:val="0"/>
                        <w:sz w:val="21"/>
                        <w:szCs w:val="21"/>
                      </w:rPr>
                    </m:ctrlPr>
                  </m:sup>
                </m:sSup>
              </m:oMath>
            </m:oMathPara>
          </w:p>
        </w:tc>
        <w:tc>
          <w:tcPr>
            <w:tcW w:w="866" w:type="pct"/>
            <w:vAlign w:val="center"/>
          </w:tcPr>
          <w:p w14:paraId="75FE9117">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4.08×10</m:t>
                    </m:r>
                    <m:ctrlPr>
                      <w:rPr>
                        <w:rFonts w:ascii="Cambria Math" w:hAnsi="Cambria Math"/>
                        <w:kern w:val="0"/>
                        <w:sz w:val="21"/>
                        <w:szCs w:val="21"/>
                      </w:rPr>
                    </m:ctrlPr>
                  </m:e>
                  <m:sup>
                    <m:r>
                      <m:rPr>
                        <m:nor/>
                        <m:sty m:val="p"/>
                      </m:rPr>
                      <w:rPr>
                        <w:b w:val="0"/>
                        <w:i w:val="0"/>
                        <w:kern w:val="0"/>
                        <w:sz w:val="21"/>
                        <w:szCs w:val="21"/>
                      </w:rPr>
                      <m:t>-6</m:t>
                    </m:r>
                    <m:ctrlPr>
                      <w:rPr>
                        <w:rFonts w:ascii="Cambria Math" w:hAnsi="Cambria Math"/>
                        <w:kern w:val="0"/>
                        <w:sz w:val="21"/>
                        <w:szCs w:val="21"/>
                      </w:rPr>
                    </m:ctrlPr>
                  </m:sup>
                </m:sSup>
              </m:oMath>
            </m:oMathPara>
          </w:p>
        </w:tc>
        <w:tc>
          <w:tcPr>
            <w:tcW w:w="866" w:type="pct"/>
            <w:vAlign w:val="center"/>
          </w:tcPr>
          <w:p w14:paraId="40258794">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2.14×10</m:t>
                    </m:r>
                    <m:ctrlPr>
                      <w:rPr>
                        <w:rFonts w:ascii="Cambria Math" w:hAnsi="Cambria Math"/>
                        <w:kern w:val="0"/>
                        <w:sz w:val="21"/>
                        <w:szCs w:val="21"/>
                      </w:rPr>
                    </m:ctrlPr>
                  </m:e>
                  <m:sup>
                    <m:r>
                      <m:rPr>
                        <m:nor/>
                        <m:sty m:val="p"/>
                      </m:rPr>
                      <w:rPr>
                        <w:b w:val="0"/>
                        <w:i w:val="0"/>
                        <w:kern w:val="0"/>
                        <w:sz w:val="21"/>
                        <w:szCs w:val="21"/>
                      </w:rPr>
                      <m:t>-5</m:t>
                    </m:r>
                    <m:ctrlPr>
                      <w:rPr>
                        <w:rFonts w:ascii="Cambria Math" w:hAnsi="Cambria Math"/>
                        <w:kern w:val="0"/>
                        <w:sz w:val="21"/>
                        <w:szCs w:val="21"/>
                      </w:rPr>
                    </m:ctrlPr>
                  </m:sup>
                </m:sSup>
              </m:oMath>
            </m:oMathPara>
          </w:p>
        </w:tc>
        <w:tc>
          <w:tcPr>
            <w:tcW w:w="866" w:type="pct"/>
            <w:vAlign w:val="center"/>
          </w:tcPr>
          <w:p w14:paraId="78DE6D29">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2.89×10</m:t>
                    </m:r>
                    <m:ctrlPr>
                      <w:rPr>
                        <w:rFonts w:ascii="Cambria Math" w:hAnsi="Cambria Math"/>
                        <w:kern w:val="0"/>
                        <w:sz w:val="21"/>
                        <w:szCs w:val="21"/>
                      </w:rPr>
                    </m:ctrlPr>
                  </m:e>
                  <m:sup>
                    <m:r>
                      <m:rPr>
                        <m:nor/>
                        <m:sty m:val="p"/>
                      </m:rPr>
                      <w:rPr>
                        <w:b w:val="0"/>
                        <w:i w:val="0"/>
                        <w:kern w:val="0"/>
                        <w:sz w:val="21"/>
                        <w:szCs w:val="21"/>
                      </w:rPr>
                      <m:t>-6</m:t>
                    </m:r>
                    <m:ctrlPr>
                      <w:rPr>
                        <w:rFonts w:ascii="Cambria Math" w:hAnsi="Cambria Math"/>
                        <w:kern w:val="0"/>
                        <w:sz w:val="21"/>
                        <w:szCs w:val="21"/>
                      </w:rPr>
                    </m:ctrlPr>
                  </m:sup>
                </m:sSup>
              </m:oMath>
            </m:oMathPara>
          </w:p>
        </w:tc>
        <w:tc>
          <w:tcPr>
            <w:tcW w:w="716" w:type="pct"/>
            <w:vAlign w:val="center"/>
          </w:tcPr>
          <w:p w14:paraId="5FDD6B43">
            <w:pPr>
              <w:spacing w:line="380" w:lineRule="exact"/>
              <w:jc w:val="center"/>
              <w:rPr>
                <w:kern w:val="0"/>
                <w:sz w:val="21"/>
                <w:szCs w:val="21"/>
              </w:rPr>
            </w:pPr>
            <w:r>
              <w:rPr>
                <w:kern w:val="0"/>
                <w:sz w:val="21"/>
              </w:rPr>
              <w:t>0.31</w:t>
            </w:r>
          </w:p>
        </w:tc>
      </w:tr>
      <w:tr w14:paraId="11C8CD1A">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820" w:type="pct"/>
            <w:vAlign w:val="center"/>
          </w:tcPr>
          <w:p w14:paraId="7DCEFE90">
            <w:pPr>
              <w:spacing w:line="380" w:lineRule="exact"/>
              <w:jc w:val="center"/>
              <w:rPr>
                <w:kern w:val="0"/>
                <w:sz w:val="21"/>
                <w:szCs w:val="21"/>
              </w:rPr>
            </w:pPr>
            <w:r>
              <w:rPr>
                <w:kern w:val="0"/>
                <w:sz w:val="21"/>
              </w:rPr>
              <w:t>0.375</w:t>
            </w:r>
          </w:p>
        </w:tc>
        <w:tc>
          <w:tcPr>
            <w:tcW w:w="865" w:type="pct"/>
            <w:vAlign w:val="center"/>
          </w:tcPr>
          <w:p w14:paraId="25588ED9">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5.85×10</m:t>
                    </m:r>
                    <m:ctrlPr>
                      <w:rPr>
                        <w:rFonts w:ascii="Cambria Math" w:hAnsi="Cambria Math"/>
                        <w:kern w:val="0"/>
                        <w:sz w:val="21"/>
                        <w:szCs w:val="21"/>
                      </w:rPr>
                    </m:ctrlPr>
                  </m:e>
                  <m:sup>
                    <m:r>
                      <m:rPr>
                        <m:nor/>
                        <m:sty m:val="p"/>
                      </m:rPr>
                      <w:rPr>
                        <w:b w:val="0"/>
                        <w:i w:val="0"/>
                        <w:kern w:val="0"/>
                        <w:sz w:val="21"/>
                        <w:szCs w:val="21"/>
                      </w:rPr>
                      <m:t>-6</m:t>
                    </m:r>
                    <m:ctrlPr>
                      <w:rPr>
                        <w:rFonts w:ascii="Cambria Math" w:hAnsi="Cambria Math"/>
                        <w:kern w:val="0"/>
                        <w:sz w:val="21"/>
                        <w:szCs w:val="21"/>
                      </w:rPr>
                    </m:ctrlPr>
                  </m:sup>
                </m:sSup>
              </m:oMath>
            </m:oMathPara>
          </w:p>
        </w:tc>
        <w:tc>
          <w:tcPr>
            <w:tcW w:w="866" w:type="pct"/>
            <w:vAlign w:val="center"/>
          </w:tcPr>
          <w:p w14:paraId="373298F5">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3.4×10</m:t>
                    </m:r>
                    <m:ctrlPr>
                      <w:rPr>
                        <w:rFonts w:ascii="Cambria Math" w:hAnsi="Cambria Math"/>
                        <w:kern w:val="0"/>
                        <w:sz w:val="21"/>
                        <w:szCs w:val="21"/>
                      </w:rPr>
                    </m:ctrlPr>
                  </m:e>
                  <m:sup>
                    <m:r>
                      <m:rPr>
                        <m:nor/>
                        <m:sty m:val="p"/>
                      </m:rPr>
                      <w:rPr>
                        <w:b w:val="0"/>
                        <w:i w:val="0"/>
                        <w:kern w:val="0"/>
                        <w:sz w:val="21"/>
                        <w:szCs w:val="21"/>
                      </w:rPr>
                      <m:t>-6</m:t>
                    </m:r>
                    <m:ctrlPr>
                      <w:rPr>
                        <w:rFonts w:ascii="Cambria Math" w:hAnsi="Cambria Math"/>
                        <w:kern w:val="0"/>
                        <w:sz w:val="21"/>
                        <w:szCs w:val="21"/>
                      </w:rPr>
                    </m:ctrlPr>
                  </m:sup>
                </m:sSup>
              </m:oMath>
            </m:oMathPara>
          </w:p>
        </w:tc>
        <w:tc>
          <w:tcPr>
            <w:tcW w:w="866" w:type="pct"/>
            <w:vAlign w:val="center"/>
          </w:tcPr>
          <w:p w14:paraId="0E99F5D7">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3.78×10</m:t>
                    </m:r>
                    <m:ctrlPr>
                      <w:rPr>
                        <w:rFonts w:ascii="Cambria Math" w:hAnsi="Cambria Math"/>
                        <w:kern w:val="0"/>
                        <w:sz w:val="21"/>
                        <w:szCs w:val="21"/>
                      </w:rPr>
                    </m:ctrlPr>
                  </m:e>
                  <m:sup>
                    <m:r>
                      <m:rPr>
                        <m:nor/>
                        <m:sty m:val="p"/>
                      </m:rPr>
                      <w:rPr>
                        <w:b w:val="0"/>
                        <w:i w:val="0"/>
                        <w:kern w:val="0"/>
                        <w:sz w:val="21"/>
                        <w:szCs w:val="21"/>
                      </w:rPr>
                      <m:t>-5</m:t>
                    </m:r>
                    <m:ctrlPr>
                      <w:rPr>
                        <w:rFonts w:ascii="Cambria Math" w:hAnsi="Cambria Math"/>
                        <w:kern w:val="0"/>
                        <w:sz w:val="21"/>
                        <w:szCs w:val="21"/>
                      </w:rPr>
                    </m:ctrlPr>
                  </m:sup>
                </m:sSup>
              </m:oMath>
            </m:oMathPara>
          </w:p>
        </w:tc>
        <w:tc>
          <w:tcPr>
            <w:tcW w:w="866" w:type="pct"/>
            <w:vAlign w:val="center"/>
          </w:tcPr>
          <w:p w14:paraId="0E753A43">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2.80×10</m:t>
                    </m:r>
                    <m:ctrlPr>
                      <w:rPr>
                        <w:rFonts w:ascii="Cambria Math" w:hAnsi="Cambria Math"/>
                        <w:kern w:val="0"/>
                        <w:sz w:val="21"/>
                        <w:szCs w:val="21"/>
                      </w:rPr>
                    </m:ctrlPr>
                  </m:e>
                  <m:sup>
                    <m:r>
                      <m:rPr>
                        <m:nor/>
                        <m:sty m:val="p"/>
                      </m:rPr>
                      <w:rPr>
                        <w:b w:val="0"/>
                        <w:i w:val="0"/>
                        <w:kern w:val="0"/>
                        <w:sz w:val="21"/>
                        <w:szCs w:val="21"/>
                      </w:rPr>
                      <m:t>-6</m:t>
                    </m:r>
                    <m:ctrlPr>
                      <w:rPr>
                        <w:rFonts w:ascii="Cambria Math" w:hAnsi="Cambria Math"/>
                        <w:kern w:val="0"/>
                        <w:sz w:val="21"/>
                        <w:szCs w:val="21"/>
                      </w:rPr>
                    </m:ctrlPr>
                  </m:sup>
                </m:sSup>
              </m:oMath>
            </m:oMathPara>
          </w:p>
        </w:tc>
        <w:tc>
          <w:tcPr>
            <w:tcW w:w="716" w:type="pct"/>
            <w:vAlign w:val="center"/>
          </w:tcPr>
          <w:p w14:paraId="09BA60E8">
            <w:pPr>
              <w:spacing w:line="380" w:lineRule="exact"/>
              <w:jc w:val="center"/>
              <w:rPr>
                <w:kern w:val="0"/>
                <w:sz w:val="21"/>
                <w:szCs w:val="21"/>
              </w:rPr>
            </w:pPr>
            <w:r>
              <w:rPr>
                <w:kern w:val="0"/>
                <w:sz w:val="21"/>
              </w:rPr>
              <w:t>0.48</w:t>
            </w:r>
          </w:p>
        </w:tc>
      </w:tr>
      <w:tr w14:paraId="6B4C24A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820" w:type="pct"/>
            <w:vAlign w:val="center"/>
          </w:tcPr>
          <w:p w14:paraId="1FA5BBA0">
            <w:pPr>
              <w:spacing w:line="380" w:lineRule="exact"/>
              <w:jc w:val="center"/>
              <w:rPr>
                <w:kern w:val="0"/>
                <w:sz w:val="21"/>
                <w:szCs w:val="21"/>
              </w:rPr>
            </w:pPr>
            <w:bookmarkStart w:id="9" w:name="_Hlk159941759"/>
            <w:r>
              <w:rPr>
                <w:kern w:val="0"/>
                <w:sz w:val="21"/>
              </w:rPr>
              <w:t>0.425</w:t>
            </w:r>
          </w:p>
        </w:tc>
        <w:tc>
          <w:tcPr>
            <w:tcW w:w="865" w:type="pct"/>
            <w:vAlign w:val="center"/>
          </w:tcPr>
          <w:p w14:paraId="1BCAD909">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5.03×10</m:t>
                    </m:r>
                    <m:ctrlPr>
                      <w:rPr>
                        <w:rFonts w:ascii="Cambria Math" w:hAnsi="Cambria Math"/>
                        <w:kern w:val="0"/>
                        <w:sz w:val="21"/>
                        <w:szCs w:val="21"/>
                      </w:rPr>
                    </m:ctrlPr>
                  </m:e>
                  <m:sup>
                    <m:r>
                      <m:rPr>
                        <m:nor/>
                        <m:sty m:val="p"/>
                      </m:rPr>
                      <w:rPr>
                        <w:b w:val="0"/>
                        <w:i w:val="0"/>
                        <w:kern w:val="0"/>
                        <w:sz w:val="21"/>
                        <w:szCs w:val="21"/>
                      </w:rPr>
                      <m:t>-6</m:t>
                    </m:r>
                    <m:ctrlPr>
                      <w:rPr>
                        <w:rFonts w:ascii="Cambria Math" w:hAnsi="Cambria Math"/>
                        <w:kern w:val="0"/>
                        <w:sz w:val="21"/>
                        <w:szCs w:val="21"/>
                      </w:rPr>
                    </m:ctrlPr>
                  </m:sup>
                </m:sSup>
              </m:oMath>
            </m:oMathPara>
          </w:p>
        </w:tc>
        <w:tc>
          <w:tcPr>
            <w:tcW w:w="866" w:type="pct"/>
            <w:vAlign w:val="center"/>
          </w:tcPr>
          <w:p w14:paraId="7FA67FA2">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-3.9×10</m:t>
                    </m:r>
                    <m:ctrlPr>
                      <w:rPr>
                        <w:rFonts w:ascii="Cambria Math" w:hAnsi="Cambria Math"/>
                        <w:kern w:val="0"/>
                        <w:sz w:val="21"/>
                        <w:szCs w:val="21"/>
                      </w:rPr>
                    </m:ctrlPr>
                  </m:e>
                  <m:sup>
                    <m:r>
                      <m:rPr>
                        <m:nor/>
                        <m:sty m:val="p"/>
                      </m:rPr>
                      <w:rPr>
                        <w:b w:val="0"/>
                        <w:i w:val="0"/>
                        <w:kern w:val="0"/>
                        <w:sz w:val="21"/>
                        <w:szCs w:val="21"/>
                      </w:rPr>
                      <m:t>-6</m:t>
                    </m:r>
                    <m:ctrlPr>
                      <w:rPr>
                        <w:rFonts w:ascii="Cambria Math" w:hAnsi="Cambria Math"/>
                        <w:kern w:val="0"/>
                        <w:sz w:val="21"/>
                        <w:szCs w:val="21"/>
                      </w:rPr>
                    </m:ctrlPr>
                  </m:sup>
                </m:sSup>
              </m:oMath>
            </m:oMathPara>
          </w:p>
        </w:tc>
        <w:tc>
          <w:tcPr>
            <w:tcW w:w="866" w:type="pct"/>
            <w:vAlign w:val="center"/>
          </w:tcPr>
          <w:p w14:paraId="4E0557AB">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1.25×10</m:t>
                    </m:r>
                    <m:ctrlPr>
                      <w:rPr>
                        <w:rFonts w:ascii="Cambria Math" w:hAnsi="Cambria Math"/>
                        <w:kern w:val="0"/>
                        <w:sz w:val="21"/>
                        <w:szCs w:val="21"/>
                      </w:rPr>
                    </m:ctrlPr>
                  </m:e>
                  <m:sup>
                    <m:r>
                      <m:rPr>
                        <m:nor/>
                        <m:sty m:val="p"/>
                      </m:rPr>
                      <w:rPr>
                        <w:b w:val="0"/>
                        <w:i w:val="0"/>
                        <w:kern w:val="0"/>
                        <w:sz w:val="21"/>
                        <w:szCs w:val="21"/>
                      </w:rPr>
                      <m:t>-5</m:t>
                    </m:r>
                    <m:ctrlPr>
                      <w:rPr>
                        <w:rFonts w:ascii="Cambria Math" w:hAnsi="Cambria Math"/>
                        <w:kern w:val="0"/>
                        <w:sz w:val="21"/>
                        <w:szCs w:val="21"/>
                      </w:rPr>
                    </m:ctrlPr>
                  </m:sup>
                </m:sSup>
              </m:oMath>
            </m:oMathPara>
          </w:p>
        </w:tc>
        <w:tc>
          <w:tcPr>
            <w:tcW w:w="866" w:type="pct"/>
            <w:vAlign w:val="center"/>
          </w:tcPr>
          <w:p w14:paraId="46988A1C">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2.75×10</m:t>
                    </m:r>
                    <m:ctrlPr>
                      <w:rPr>
                        <w:rFonts w:ascii="Cambria Math" w:hAnsi="Cambria Math"/>
                        <w:kern w:val="0"/>
                        <w:sz w:val="21"/>
                        <w:szCs w:val="21"/>
                      </w:rPr>
                    </m:ctrlPr>
                  </m:e>
                  <m:sup>
                    <m:r>
                      <m:rPr>
                        <m:nor/>
                        <m:sty m:val="p"/>
                      </m:rPr>
                      <w:rPr>
                        <w:b w:val="0"/>
                        <w:i w:val="0"/>
                        <w:kern w:val="0"/>
                        <w:sz w:val="21"/>
                        <w:szCs w:val="21"/>
                      </w:rPr>
                      <m:t>-6</m:t>
                    </m:r>
                    <m:ctrlPr>
                      <w:rPr>
                        <w:rFonts w:ascii="Cambria Math" w:hAnsi="Cambria Math"/>
                        <w:kern w:val="0"/>
                        <w:sz w:val="21"/>
                        <w:szCs w:val="21"/>
                      </w:rPr>
                    </m:ctrlPr>
                  </m:sup>
                </m:sSup>
              </m:oMath>
            </m:oMathPara>
          </w:p>
        </w:tc>
        <w:tc>
          <w:tcPr>
            <w:tcW w:w="716" w:type="pct"/>
            <w:vAlign w:val="center"/>
          </w:tcPr>
          <w:p w14:paraId="04ED99DD">
            <w:pPr>
              <w:spacing w:line="380" w:lineRule="exact"/>
              <w:jc w:val="center"/>
              <w:rPr>
                <w:kern w:val="0"/>
                <w:sz w:val="21"/>
                <w:szCs w:val="21"/>
              </w:rPr>
            </w:pPr>
            <w:r>
              <w:rPr>
                <w:kern w:val="0"/>
                <w:sz w:val="21"/>
              </w:rPr>
              <w:t>0.55</w:t>
            </w:r>
          </w:p>
        </w:tc>
      </w:tr>
      <w:bookmarkEnd w:id="9"/>
    </w:tbl>
    <w:p w14:paraId="70F6C2F6">
      <w:pPr>
        <w:pStyle w:val="8"/>
        <w:spacing w:before="400" w:line="480" w:lineRule="auto"/>
        <w:rPr>
          <w:rFonts w:cs="Times New Roman"/>
        </w:rPr>
      </w:pPr>
    </w:p>
    <w:p w14:paraId="439C2E50">
      <w:pPr>
        <w:pStyle w:val="8"/>
        <w:spacing w:before="400" w:line="480" w:lineRule="auto"/>
        <w:rPr>
          <w:rFonts w:cs="Times New Roman"/>
        </w:rPr>
      </w:pPr>
      <w:r>
        <w:rPr>
          <w:rFonts w:cs="Times New Roman"/>
        </w:rPr>
        <w:t xml:space="preserve">Table </w:t>
      </w:r>
      <w:r>
        <w:rPr>
          <w:rFonts w:hint="eastAsia" w:cs="Times New Roman"/>
          <w:lang w:val="en-US" w:eastAsia="zh-CN"/>
        </w:rPr>
        <w:t>S</w:t>
      </w:r>
      <w:r>
        <w:rPr>
          <w:rFonts w:cs="Times New Roman"/>
        </w:rPr>
        <w:t>3 Hyporheic flux (L/m</w:t>
      </w:r>
      <w:r>
        <w:rPr>
          <w:rFonts w:cs="Times New Roman"/>
          <w:vertAlign w:val="superscript"/>
        </w:rPr>
        <w:t>2</w:t>
      </w:r>
      <w:r>
        <w:rPr>
          <w:rFonts w:cs="Times New Roman"/>
          <w:color w:val="333333"/>
          <w:shd w:val="clear" w:color="auto" w:fill="FFFFFF"/>
        </w:rPr>
        <w:t>·s)</w:t>
      </w:r>
      <w:r>
        <w:rPr>
          <w:rFonts w:cs="Times New Roman"/>
        </w:rPr>
        <w:t xml:space="preserve"> during rainfall</w:t>
      </w:r>
    </w:p>
    <w:tbl>
      <w:tblPr>
        <w:tblStyle w:val="10"/>
        <w:tblW w:w="5000"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09"/>
        <w:gridCol w:w="1209"/>
        <w:gridCol w:w="1208"/>
        <w:gridCol w:w="1208"/>
        <w:gridCol w:w="1797"/>
        <w:gridCol w:w="1891"/>
      </w:tblGrid>
      <w:tr w14:paraId="0D65273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834" w:type="pct"/>
            <w:tcBorders>
              <w:bottom w:val="single" w:color="auto" w:sz="6" w:space="0"/>
              <w:insideH w:val="single" w:sz="6" w:space="0"/>
            </w:tcBorders>
            <w:noWrap/>
            <w:vAlign w:val="center"/>
          </w:tcPr>
          <w:p w14:paraId="180DB14F">
            <w:pPr>
              <w:spacing w:line="420" w:lineRule="exact"/>
              <w:jc w:val="center"/>
              <w:rPr>
                <w:kern w:val="0"/>
                <w:sz w:val="21"/>
                <w:szCs w:val="21"/>
              </w:rPr>
            </w:pPr>
            <w:r>
              <w:rPr>
                <w:kern w:val="0"/>
                <w:sz w:val="21"/>
              </w:rPr>
              <w:t>Depth(m)</w:t>
            </w:r>
          </w:p>
        </w:tc>
        <w:tc>
          <w:tcPr>
            <w:tcW w:w="834" w:type="pct"/>
            <w:tcBorders>
              <w:bottom w:val="single" w:color="auto" w:sz="6" w:space="0"/>
              <w:insideH w:val="single" w:sz="6" w:space="0"/>
            </w:tcBorders>
            <w:noWrap/>
            <w:vAlign w:val="center"/>
          </w:tcPr>
          <w:p w14:paraId="509BD308">
            <w:pPr>
              <w:spacing w:line="420" w:lineRule="exact"/>
              <w:jc w:val="center"/>
              <w:rPr>
                <w:kern w:val="0"/>
                <w:sz w:val="21"/>
                <w:szCs w:val="21"/>
              </w:rPr>
            </w:pPr>
            <w:r>
              <w:rPr>
                <w:kern w:val="0"/>
                <w:sz w:val="21"/>
              </w:rPr>
              <w:t>Mean</w:t>
            </w:r>
          </w:p>
        </w:tc>
        <w:tc>
          <w:tcPr>
            <w:tcW w:w="833" w:type="pct"/>
            <w:tcBorders>
              <w:bottom w:val="single" w:color="auto" w:sz="6" w:space="0"/>
              <w:insideH w:val="single" w:sz="6" w:space="0"/>
            </w:tcBorders>
            <w:noWrap/>
            <w:vAlign w:val="center"/>
          </w:tcPr>
          <w:p w14:paraId="49C56929">
            <w:pPr>
              <w:spacing w:line="420" w:lineRule="exact"/>
              <w:jc w:val="center"/>
              <w:rPr>
                <w:kern w:val="0"/>
                <w:sz w:val="21"/>
                <w:szCs w:val="21"/>
              </w:rPr>
            </w:pPr>
            <w:r>
              <w:rPr>
                <w:kern w:val="0"/>
                <w:sz w:val="21"/>
              </w:rPr>
              <w:t>Minimum</w:t>
            </w:r>
          </w:p>
        </w:tc>
        <w:tc>
          <w:tcPr>
            <w:tcW w:w="833" w:type="pct"/>
            <w:tcBorders>
              <w:bottom w:val="single" w:color="auto" w:sz="6" w:space="0"/>
              <w:insideH w:val="single" w:sz="6" w:space="0"/>
            </w:tcBorders>
            <w:noWrap/>
            <w:vAlign w:val="center"/>
          </w:tcPr>
          <w:p w14:paraId="732CFC5D">
            <w:pPr>
              <w:spacing w:line="420" w:lineRule="exact"/>
              <w:jc w:val="center"/>
              <w:rPr>
                <w:kern w:val="0"/>
                <w:sz w:val="21"/>
                <w:szCs w:val="21"/>
              </w:rPr>
            </w:pPr>
            <w:r>
              <w:rPr>
                <w:kern w:val="0"/>
                <w:sz w:val="21"/>
              </w:rPr>
              <w:t>Maximum</w:t>
            </w:r>
          </w:p>
        </w:tc>
        <w:tc>
          <w:tcPr>
            <w:tcW w:w="833" w:type="pct"/>
            <w:tcBorders>
              <w:bottom w:val="single" w:color="auto" w:sz="6" w:space="0"/>
              <w:insideH w:val="single" w:sz="6" w:space="0"/>
            </w:tcBorders>
            <w:noWrap/>
            <w:vAlign w:val="center"/>
          </w:tcPr>
          <w:p w14:paraId="507B7322">
            <w:pPr>
              <w:spacing w:line="420" w:lineRule="exact"/>
              <w:jc w:val="center"/>
              <w:rPr>
                <w:kern w:val="0"/>
                <w:sz w:val="21"/>
                <w:szCs w:val="21"/>
              </w:rPr>
            </w:pPr>
            <w:r>
              <w:rPr>
                <w:kern w:val="0"/>
                <w:sz w:val="21"/>
              </w:rPr>
              <w:t>Standard deviation</w:t>
            </w:r>
          </w:p>
        </w:tc>
        <w:tc>
          <w:tcPr>
            <w:tcW w:w="833" w:type="pct"/>
            <w:tcBorders>
              <w:bottom w:val="single" w:color="auto" w:sz="6" w:space="0"/>
              <w:insideH w:val="single" w:sz="6" w:space="0"/>
            </w:tcBorders>
            <w:noWrap/>
            <w:vAlign w:val="center"/>
          </w:tcPr>
          <w:p w14:paraId="52E51769">
            <w:pPr>
              <w:spacing w:line="420" w:lineRule="exact"/>
              <w:jc w:val="center"/>
              <w:rPr>
                <w:kern w:val="0"/>
                <w:sz w:val="21"/>
                <w:szCs w:val="21"/>
              </w:rPr>
            </w:pPr>
            <w:r>
              <w:rPr>
                <w:kern w:val="0"/>
                <w:sz w:val="21"/>
              </w:rPr>
              <w:t>Variable coefficient</w:t>
            </w:r>
          </w:p>
        </w:tc>
      </w:tr>
      <w:tr w14:paraId="6534AA3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834" w:type="pct"/>
            <w:noWrap/>
          </w:tcPr>
          <w:p w14:paraId="462AEED3">
            <w:pPr>
              <w:spacing w:line="380" w:lineRule="exact"/>
              <w:jc w:val="center"/>
              <w:rPr>
                <w:kern w:val="0"/>
                <w:sz w:val="21"/>
                <w:szCs w:val="21"/>
              </w:rPr>
            </w:pPr>
            <w:r>
              <w:rPr>
                <w:kern w:val="0"/>
                <w:sz w:val="21"/>
              </w:rPr>
              <w:t>0.15</w:t>
            </w:r>
          </w:p>
        </w:tc>
        <w:tc>
          <w:tcPr>
            <w:tcW w:w="834" w:type="pct"/>
            <w:noWrap/>
            <w:vAlign w:val="bottom"/>
          </w:tcPr>
          <w:p w14:paraId="2C943F30">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3.40×10</m:t>
                    </m:r>
                    <m:ctrlPr>
                      <w:rPr>
                        <w:rFonts w:ascii="Cambria Math" w:hAnsi="Cambria Math"/>
                        <w:kern w:val="0"/>
                        <w:sz w:val="21"/>
                        <w:szCs w:val="21"/>
                      </w:rPr>
                    </m:ctrlPr>
                  </m:e>
                  <m:sup>
                    <m:r>
                      <m:rPr>
                        <m:nor/>
                        <m:sty m:val="p"/>
                      </m:rPr>
                      <w:rPr>
                        <w:b w:val="0"/>
                        <w:i w:val="0"/>
                        <w:kern w:val="0"/>
                        <w:sz w:val="21"/>
                        <w:szCs w:val="21"/>
                      </w:rPr>
                      <m:t>-5</m:t>
                    </m:r>
                    <m:ctrlPr>
                      <w:rPr>
                        <w:rFonts w:ascii="Cambria Math" w:hAnsi="Cambria Math"/>
                        <w:kern w:val="0"/>
                        <w:sz w:val="21"/>
                        <w:szCs w:val="21"/>
                      </w:rPr>
                    </m:ctrlPr>
                  </m:sup>
                </m:sSup>
              </m:oMath>
            </m:oMathPara>
          </w:p>
        </w:tc>
        <w:tc>
          <w:tcPr>
            <w:tcW w:w="833" w:type="pct"/>
            <w:noWrap/>
          </w:tcPr>
          <w:p w14:paraId="77AF1DE5">
            <w:pPr>
              <w:spacing w:line="380" w:lineRule="exact"/>
              <w:jc w:val="center"/>
              <w:rPr>
                <w:kern w:val="0"/>
                <w:sz w:val="21"/>
                <w:szCs w:val="21"/>
              </w:rPr>
            </w:pPr>
            <m:oMathPara>
              <m:oMath>
                <m:sSup>
                  <m:sSupPr>
                    <m:ctrlPr>
                      <w:rPr>
                        <w:rFonts w:ascii="Cambria Math" w:hAnsi="Cambria Math"/>
                        <w:kern w:val="0"/>
                        <w:sz w:val="21"/>
                        <w:szCs w:val="21"/>
                      </w:rPr>
                    </m:ctrlPr>
                  </m:sSupPr>
                  <m:e>
                    <m:r>
                      <m:rPr>
                        <m:sty m:val="p"/>
                      </m:rPr>
                      <w:rPr>
                        <w:rFonts w:ascii="Cambria Math" w:hAnsi="Cambria Math"/>
                        <w:kern w:val="0"/>
                        <w:sz w:val="21"/>
                        <w:szCs w:val="21"/>
                      </w:rPr>
                      <m:t>1</m:t>
                    </m:r>
                    <m:r>
                      <m:rPr>
                        <m:nor/>
                        <m:sty m:val="p"/>
                      </m:rPr>
                      <w:rPr>
                        <w:b w:val="0"/>
                        <w:i w:val="0"/>
                        <w:kern w:val="0"/>
                        <w:sz w:val="21"/>
                        <w:szCs w:val="21"/>
                      </w:rPr>
                      <m:t>.40×10</m:t>
                    </m:r>
                    <m:ctrlPr>
                      <w:rPr>
                        <w:rFonts w:ascii="Cambria Math" w:hAnsi="Cambria Math"/>
                        <w:kern w:val="0"/>
                        <w:sz w:val="21"/>
                        <w:szCs w:val="21"/>
                      </w:rPr>
                    </m:ctrlPr>
                  </m:e>
                  <m:sup>
                    <m:r>
                      <m:rPr>
                        <m:nor/>
                        <m:sty m:val="p"/>
                      </m:rPr>
                      <w:rPr>
                        <w:b w:val="0"/>
                        <w:i w:val="0"/>
                        <w:kern w:val="0"/>
                        <w:sz w:val="21"/>
                        <w:szCs w:val="21"/>
                      </w:rPr>
                      <m:t>-5</m:t>
                    </m:r>
                    <m:ctrlPr>
                      <w:rPr>
                        <w:rFonts w:ascii="Cambria Math" w:hAnsi="Cambria Math"/>
                        <w:kern w:val="0"/>
                        <w:sz w:val="21"/>
                        <w:szCs w:val="21"/>
                      </w:rPr>
                    </m:ctrlPr>
                  </m:sup>
                </m:sSup>
              </m:oMath>
            </m:oMathPara>
          </w:p>
        </w:tc>
        <w:tc>
          <w:tcPr>
            <w:tcW w:w="833" w:type="pct"/>
            <w:noWrap/>
          </w:tcPr>
          <w:p w14:paraId="013D13AC">
            <w:pPr>
              <w:spacing w:line="380" w:lineRule="exact"/>
              <w:jc w:val="center"/>
              <w:rPr>
                <w:kern w:val="0"/>
                <w:sz w:val="21"/>
                <w:szCs w:val="21"/>
              </w:rPr>
            </w:pPr>
            <m:oMathPara>
              <m:oMath>
                <m:sSup>
                  <m:sSupPr>
                    <m:ctrlPr>
                      <w:rPr>
                        <w:rFonts w:ascii="Cambria Math" w:hAnsi="Cambria Math"/>
                        <w:kern w:val="0"/>
                        <w:sz w:val="21"/>
                        <w:szCs w:val="21"/>
                      </w:rPr>
                    </m:ctrlPr>
                  </m:sSupPr>
                  <m:e>
                    <m:r>
                      <m:rPr>
                        <m:sty m:val="p"/>
                      </m:rPr>
                      <w:rPr>
                        <w:rFonts w:ascii="Cambria Math" w:hAnsi="Cambria Math"/>
                        <w:kern w:val="0"/>
                        <w:sz w:val="21"/>
                        <w:szCs w:val="21"/>
                      </w:rPr>
                      <m:t>1</m:t>
                    </m:r>
                    <m:r>
                      <m:rPr>
                        <m:nor/>
                        <m:sty m:val="p"/>
                      </m:rPr>
                      <w:rPr>
                        <w:b w:val="0"/>
                        <w:i w:val="0"/>
                        <w:kern w:val="0"/>
                        <w:sz w:val="21"/>
                        <w:szCs w:val="21"/>
                      </w:rPr>
                      <m:t>.17×10</m:t>
                    </m:r>
                    <m:ctrlPr>
                      <w:rPr>
                        <w:rFonts w:ascii="Cambria Math" w:hAnsi="Cambria Math"/>
                        <w:kern w:val="0"/>
                        <w:sz w:val="21"/>
                        <w:szCs w:val="21"/>
                      </w:rPr>
                    </m:ctrlPr>
                  </m:e>
                  <m:sup>
                    <m:r>
                      <m:rPr>
                        <m:nor/>
                        <m:sty m:val="p"/>
                      </m:rPr>
                      <w:rPr>
                        <w:b w:val="0"/>
                        <w:i w:val="0"/>
                        <w:kern w:val="0"/>
                        <w:sz w:val="21"/>
                        <w:szCs w:val="21"/>
                      </w:rPr>
                      <m:t>-4</m:t>
                    </m:r>
                    <m:ctrlPr>
                      <w:rPr>
                        <w:rFonts w:ascii="Cambria Math" w:hAnsi="Cambria Math"/>
                        <w:kern w:val="0"/>
                        <w:sz w:val="21"/>
                        <w:szCs w:val="21"/>
                      </w:rPr>
                    </m:ctrlPr>
                  </m:sup>
                </m:sSup>
              </m:oMath>
            </m:oMathPara>
          </w:p>
        </w:tc>
        <w:tc>
          <w:tcPr>
            <w:tcW w:w="833" w:type="pct"/>
            <w:noWrap/>
          </w:tcPr>
          <w:p w14:paraId="4A41BA7B">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2.50×10</m:t>
                    </m:r>
                    <m:ctrlPr>
                      <w:rPr>
                        <w:rFonts w:ascii="Cambria Math" w:hAnsi="Cambria Math"/>
                        <w:kern w:val="0"/>
                        <w:sz w:val="21"/>
                        <w:szCs w:val="21"/>
                      </w:rPr>
                    </m:ctrlPr>
                  </m:e>
                  <m:sup>
                    <m:r>
                      <m:rPr>
                        <m:nor/>
                        <m:sty m:val="p"/>
                      </m:rPr>
                      <w:rPr>
                        <w:b w:val="0"/>
                        <w:i w:val="0"/>
                        <w:kern w:val="0"/>
                        <w:sz w:val="21"/>
                        <w:szCs w:val="21"/>
                      </w:rPr>
                      <m:t>-5</m:t>
                    </m:r>
                    <m:ctrlPr>
                      <w:rPr>
                        <w:rFonts w:ascii="Cambria Math" w:hAnsi="Cambria Math"/>
                        <w:kern w:val="0"/>
                        <w:sz w:val="21"/>
                        <w:szCs w:val="21"/>
                      </w:rPr>
                    </m:ctrlPr>
                  </m:sup>
                </m:sSup>
              </m:oMath>
            </m:oMathPara>
          </w:p>
        </w:tc>
        <w:tc>
          <w:tcPr>
            <w:tcW w:w="833" w:type="pct"/>
            <w:noWrap/>
          </w:tcPr>
          <w:p w14:paraId="4569A76E">
            <w:pPr>
              <w:spacing w:line="380" w:lineRule="exact"/>
              <w:jc w:val="center"/>
              <w:rPr>
                <w:kern w:val="0"/>
                <w:sz w:val="21"/>
                <w:szCs w:val="21"/>
              </w:rPr>
            </w:pPr>
            <w:r>
              <w:rPr>
                <w:kern w:val="0"/>
                <w:sz w:val="21"/>
              </w:rPr>
              <w:t>0.72</w:t>
            </w:r>
          </w:p>
        </w:tc>
      </w:tr>
      <w:tr w14:paraId="3E642B8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834" w:type="pct"/>
            <w:noWrap/>
          </w:tcPr>
          <w:p w14:paraId="60B1D2B5">
            <w:pPr>
              <w:spacing w:line="380" w:lineRule="exact"/>
              <w:jc w:val="center"/>
              <w:rPr>
                <w:kern w:val="0"/>
                <w:sz w:val="21"/>
                <w:szCs w:val="21"/>
              </w:rPr>
            </w:pPr>
            <w:r>
              <w:rPr>
                <w:kern w:val="0"/>
                <w:sz w:val="21"/>
              </w:rPr>
              <w:t>0.2</w:t>
            </w:r>
          </w:p>
        </w:tc>
        <w:tc>
          <w:tcPr>
            <w:tcW w:w="834" w:type="pct"/>
            <w:noWrap/>
          </w:tcPr>
          <w:p w14:paraId="0D5E0243">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2.20×10</m:t>
                    </m:r>
                    <m:ctrlPr>
                      <w:rPr>
                        <w:rFonts w:ascii="Cambria Math" w:hAnsi="Cambria Math"/>
                        <w:kern w:val="0"/>
                        <w:sz w:val="21"/>
                        <w:szCs w:val="21"/>
                      </w:rPr>
                    </m:ctrlPr>
                  </m:e>
                  <m:sup>
                    <m:r>
                      <m:rPr>
                        <m:nor/>
                        <m:sty m:val="p"/>
                      </m:rPr>
                      <w:rPr>
                        <w:b w:val="0"/>
                        <w:i w:val="0"/>
                        <w:kern w:val="0"/>
                        <w:sz w:val="21"/>
                        <w:szCs w:val="21"/>
                      </w:rPr>
                      <m:t>-5</m:t>
                    </m:r>
                    <m:ctrlPr>
                      <w:rPr>
                        <w:rFonts w:ascii="Cambria Math" w:hAnsi="Cambria Math"/>
                        <w:kern w:val="0"/>
                        <w:sz w:val="21"/>
                        <w:szCs w:val="21"/>
                      </w:rPr>
                    </m:ctrlPr>
                  </m:sup>
                </m:sSup>
              </m:oMath>
            </m:oMathPara>
          </w:p>
        </w:tc>
        <w:tc>
          <w:tcPr>
            <w:tcW w:w="833" w:type="pct"/>
            <w:noWrap/>
          </w:tcPr>
          <w:p w14:paraId="6383A5AA">
            <w:pPr>
              <w:spacing w:line="380" w:lineRule="exact"/>
              <w:jc w:val="center"/>
              <w:rPr>
                <w:kern w:val="0"/>
                <w:sz w:val="21"/>
                <w:szCs w:val="21"/>
              </w:rPr>
            </w:pPr>
            <m:oMathPara>
              <m:oMath>
                <m:sSup>
                  <m:sSupPr>
                    <m:ctrlPr>
                      <w:rPr>
                        <w:rFonts w:ascii="Cambria Math" w:hAnsi="Cambria Math"/>
                        <w:kern w:val="0"/>
                        <w:sz w:val="21"/>
                        <w:szCs w:val="21"/>
                      </w:rPr>
                    </m:ctrlPr>
                  </m:sSupPr>
                  <m:e>
                    <m:r>
                      <m:rPr>
                        <m:sty m:val="p"/>
                      </m:rPr>
                      <w:rPr>
                        <w:rFonts w:ascii="Cambria Math" w:hAnsi="Cambria Math"/>
                        <w:kern w:val="0"/>
                        <w:sz w:val="21"/>
                        <w:szCs w:val="21"/>
                      </w:rPr>
                      <m:t>1</m:t>
                    </m:r>
                    <m:r>
                      <m:rPr>
                        <m:nor/>
                        <m:sty m:val="p"/>
                      </m:rPr>
                      <w:rPr>
                        <w:b w:val="0"/>
                        <w:i w:val="0"/>
                        <w:kern w:val="0"/>
                        <w:sz w:val="21"/>
                        <w:szCs w:val="21"/>
                      </w:rPr>
                      <m:t>.40×10</m:t>
                    </m:r>
                    <m:ctrlPr>
                      <w:rPr>
                        <w:rFonts w:ascii="Cambria Math" w:hAnsi="Cambria Math"/>
                        <w:kern w:val="0"/>
                        <w:sz w:val="21"/>
                        <w:szCs w:val="21"/>
                      </w:rPr>
                    </m:ctrlPr>
                  </m:e>
                  <m:sup>
                    <m:r>
                      <m:rPr>
                        <m:nor/>
                        <m:sty m:val="p"/>
                      </m:rPr>
                      <w:rPr>
                        <w:b w:val="0"/>
                        <w:i w:val="0"/>
                        <w:kern w:val="0"/>
                        <w:sz w:val="21"/>
                        <w:szCs w:val="21"/>
                      </w:rPr>
                      <m:t>-5</m:t>
                    </m:r>
                    <m:ctrlPr>
                      <w:rPr>
                        <w:rFonts w:ascii="Cambria Math" w:hAnsi="Cambria Math"/>
                        <w:kern w:val="0"/>
                        <w:sz w:val="21"/>
                        <w:szCs w:val="21"/>
                      </w:rPr>
                    </m:ctrlPr>
                  </m:sup>
                </m:sSup>
              </m:oMath>
            </m:oMathPara>
          </w:p>
        </w:tc>
        <w:tc>
          <w:tcPr>
            <w:tcW w:w="833" w:type="pct"/>
            <w:noWrap/>
          </w:tcPr>
          <w:p w14:paraId="4CB2E947">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4.40×10</m:t>
                    </m:r>
                    <m:ctrlPr>
                      <w:rPr>
                        <w:rFonts w:ascii="Cambria Math" w:hAnsi="Cambria Math"/>
                        <w:kern w:val="0"/>
                        <w:sz w:val="21"/>
                        <w:szCs w:val="21"/>
                      </w:rPr>
                    </m:ctrlPr>
                  </m:e>
                  <m:sup>
                    <m:r>
                      <m:rPr>
                        <m:nor/>
                        <m:sty m:val="p"/>
                      </m:rPr>
                      <w:rPr>
                        <w:b w:val="0"/>
                        <w:i w:val="0"/>
                        <w:kern w:val="0"/>
                        <w:sz w:val="21"/>
                        <w:szCs w:val="21"/>
                      </w:rPr>
                      <m:t>-5</m:t>
                    </m:r>
                    <m:ctrlPr>
                      <w:rPr>
                        <w:rFonts w:ascii="Cambria Math" w:hAnsi="Cambria Math"/>
                        <w:kern w:val="0"/>
                        <w:sz w:val="21"/>
                        <w:szCs w:val="21"/>
                      </w:rPr>
                    </m:ctrlPr>
                  </m:sup>
                </m:sSup>
              </m:oMath>
            </m:oMathPara>
          </w:p>
        </w:tc>
        <w:tc>
          <w:tcPr>
            <w:tcW w:w="833" w:type="pct"/>
            <w:noWrap/>
          </w:tcPr>
          <w:p w14:paraId="5C3820C9">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5.00×10</m:t>
                    </m:r>
                    <m:ctrlPr>
                      <w:rPr>
                        <w:rFonts w:ascii="Cambria Math" w:hAnsi="Cambria Math"/>
                        <w:kern w:val="0"/>
                        <w:sz w:val="21"/>
                        <w:szCs w:val="21"/>
                      </w:rPr>
                    </m:ctrlPr>
                  </m:e>
                  <m:sup>
                    <m:r>
                      <m:rPr>
                        <m:nor/>
                        <m:sty m:val="p"/>
                      </m:rPr>
                      <w:rPr>
                        <w:b w:val="0"/>
                        <w:i w:val="0"/>
                        <w:kern w:val="0"/>
                        <w:sz w:val="21"/>
                        <w:szCs w:val="21"/>
                      </w:rPr>
                      <m:t>-6</m:t>
                    </m:r>
                    <m:ctrlPr>
                      <w:rPr>
                        <w:rFonts w:ascii="Cambria Math" w:hAnsi="Cambria Math"/>
                        <w:kern w:val="0"/>
                        <w:sz w:val="21"/>
                        <w:szCs w:val="21"/>
                      </w:rPr>
                    </m:ctrlPr>
                  </m:sup>
                </m:sSup>
              </m:oMath>
            </m:oMathPara>
          </w:p>
        </w:tc>
        <w:tc>
          <w:tcPr>
            <w:tcW w:w="833" w:type="pct"/>
            <w:noWrap/>
          </w:tcPr>
          <w:p w14:paraId="18B4195B">
            <w:pPr>
              <w:spacing w:line="380" w:lineRule="exact"/>
              <w:jc w:val="center"/>
              <w:rPr>
                <w:kern w:val="0"/>
                <w:sz w:val="21"/>
                <w:szCs w:val="21"/>
              </w:rPr>
            </w:pPr>
            <w:r>
              <w:rPr>
                <w:kern w:val="0"/>
                <w:sz w:val="21"/>
              </w:rPr>
              <w:t>0.22</w:t>
            </w:r>
          </w:p>
        </w:tc>
      </w:tr>
      <w:tr w14:paraId="1FA618B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834" w:type="pct"/>
            <w:noWrap/>
          </w:tcPr>
          <w:p w14:paraId="7702F224">
            <w:pPr>
              <w:spacing w:line="380" w:lineRule="exact"/>
              <w:jc w:val="center"/>
              <w:rPr>
                <w:kern w:val="0"/>
                <w:sz w:val="21"/>
                <w:szCs w:val="21"/>
              </w:rPr>
            </w:pPr>
            <w:r>
              <w:rPr>
                <w:kern w:val="0"/>
                <w:sz w:val="21"/>
              </w:rPr>
              <w:t>0.25</w:t>
            </w:r>
          </w:p>
        </w:tc>
        <w:tc>
          <w:tcPr>
            <w:tcW w:w="834" w:type="pct"/>
            <w:noWrap/>
            <w:vAlign w:val="bottom"/>
          </w:tcPr>
          <w:p w14:paraId="73ABE056">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1.90×10</m:t>
                    </m:r>
                    <m:ctrlPr>
                      <w:rPr>
                        <w:rFonts w:ascii="Cambria Math" w:hAnsi="Cambria Math"/>
                        <w:kern w:val="0"/>
                        <w:sz w:val="21"/>
                        <w:szCs w:val="21"/>
                      </w:rPr>
                    </m:ctrlPr>
                  </m:e>
                  <m:sup>
                    <m:r>
                      <m:rPr>
                        <m:nor/>
                        <m:sty m:val="p"/>
                      </m:rPr>
                      <w:rPr>
                        <w:b w:val="0"/>
                        <w:i w:val="0"/>
                        <w:kern w:val="0"/>
                        <w:sz w:val="21"/>
                        <w:szCs w:val="21"/>
                      </w:rPr>
                      <m:t>-5</m:t>
                    </m:r>
                    <m:ctrlPr>
                      <w:rPr>
                        <w:rFonts w:ascii="Cambria Math" w:hAnsi="Cambria Math"/>
                        <w:kern w:val="0"/>
                        <w:sz w:val="21"/>
                        <w:szCs w:val="21"/>
                      </w:rPr>
                    </m:ctrlPr>
                  </m:sup>
                </m:sSup>
              </m:oMath>
            </m:oMathPara>
          </w:p>
        </w:tc>
        <w:tc>
          <w:tcPr>
            <w:tcW w:w="833" w:type="pct"/>
            <w:noWrap/>
          </w:tcPr>
          <w:p w14:paraId="6CD99365">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1.40×10</m:t>
                    </m:r>
                    <m:ctrlPr>
                      <w:rPr>
                        <w:rFonts w:ascii="Cambria Math" w:hAnsi="Cambria Math"/>
                        <w:kern w:val="0"/>
                        <w:sz w:val="21"/>
                        <w:szCs w:val="21"/>
                      </w:rPr>
                    </m:ctrlPr>
                  </m:e>
                  <m:sup>
                    <m:r>
                      <m:rPr>
                        <m:nor/>
                        <m:sty m:val="p"/>
                      </m:rPr>
                      <w:rPr>
                        <w:b w:val="0"/>
                        <w:i w:val="0"/>
                        <w:kern w:val="0"/>
                        <w:sz w:val="21"/>
                        <w:szCs w:val="21"/>
                      </w:rPr>
                      <m:t>-5</m:t>
                    </m:r>
                    <m:ctrlPr>
                      <w:rPr>
                        <w:rFonts w:ascii="Cambria Math" w:hAnsi="Cambria Math"/>
                        <w:kern w:val="0"/>
                        <w:sz w:val="21"/>
                        <w:szCs w:val="21"/>
                      </w:rPr>
                    </m:ctrlPr>
                  </m:sup>
                </m:sSup>
              </m:oMath>
            </m:oMathPara>
          </w:p>
        </w:tc>
        <w:tc>
          <w:tcPr>
            <w:tcW w:w="833" w:type="pct"/>
            <w:noWrap/>
          </w:tcPr>
          <w:p w14:paraId="4B633BCF">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3.30×10</m:t>
                    </m:r>
                    <m:ctrlPr>
                      <w:rPr>
                        <w:rFonts w:ascii="Cambria Math" w:hAnsi="Cambria Math"/>
                        <w:kern w:val="0"/>
                        <w:sz w:val="21"/>
                        <w:szCs w:val="21"/>
                      </w:rPr>
                    </m:ctrlPr>
                  </m:e>
                  <m:sup>
                    <m:r>
                      <m:rPr>
                        <m:nor/>
                        <m:sty m:val="p"/>
                      </m:rPr>
                      <w:rPr>
                        <w:b w:val="0"/>
                        <w:i w:val="0"/>
                        <w:kern w:val="0"/>
                        <w:sz w:val="21"/>
                        <w:szCs w:val="21"/>
                      </w:rPr>
                      <m:t>-5</m:t>
                    </m:r>
                    <m:ctrlPr>
                      <w:rPr>
                        <w:rFonts w:ascii="Cambria Math" w:hAnsi="Cambria Math"/>
                        <w:kern w:val="0"/>
                        <w:sz w:val="21"/>
                        <w:szCs w:val="21"/>
                      </w:rPr>
                    </m:ctrlPr>
                  </m:sup>
                </m:sSup>
              </m:oMath>
            </m:oMathPara>
          </w:p>
        </w:tc>
        <w:tc>
          <w:tcPr>
            <w:tcW w:w="833" w:type="pct"/>
            <w:noWrap/>
          </w:tcPr>
          <w:p w14:paraId="7202DE8A">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4.00×10</m:t>
                    </m:r>
                    <m:ctrlPr>
                      <w:rPr>
                        <w:rFonts w:ascii="Cambria Math" w:hAnsi="Cambria Math"/>
                        <w:kern w:val="0"/>
                        <w:sz w:val="21"/>
                        <w:szCs w:val="21"/>
                      </w:rPr>
                    </m:ctrlPr>
                  </m:e>
                  <m:sup>
                    <m:r>
                      <m:rPr>
                        <m:nor/>
                        <m:sty m:val="p"/>
                      </m:rPr>
                      <w:rPr>
                        <w:b w:val="0"/>
                        <w:i w:val="0"/>
                        <w:kern w:val="0"/>
                        <w:sz w:val="21"/>
                        <w:szCs w:val="21"/>
                      </w:rPr>
                      <m:t>-6</m:t>
                    </m:r>
                    <m:ctrlPr>
                      <w:rPr>
                        <w:rFonts w:ascii="Cambria Math" w:hAnsi="Cambria Math"/>
                        <w:kern w:val="0"/>
                        <w:sz w:val="21"/>
                        <w:szCs w:val="21"/>
                      </w:rPr>
                    </m:ctrlPr>
                  </m:sup>
                </m:sSup>
              </m:oMath>
            </m:oMathPara>
          </w:p>
        </w:tc>
        <w:tc>
          <w:tcPr>
            <w:tcW w:w="833" w:type="pct"/>
            <w:noWrap/>
          </w:tcPr>
          <w:p w14:paraId="34D79E64">
            <w:pPr>
              <w:spacing w:line="380" w:lineRule="exact"/>
              <w:jc w:val="center"/>
              <w:rPr>
                <w:kern w:val="0"/>
                <w:sz w:val="21"/>
                <w:szCs w:val="21"/>
              </w:rPr>
            </w:pPr>
            <w:r>
              <w:rPr>
                <w:kern w:val="0"/>
                <w:sz w:val="21"/>
              </w:rPr>
              <w:t>0.21</w:t>
            </w:r>
          </w:p>
        </w:tc>
      </w:tr>
      <w:tr w14:paraId="03B77D5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834" w:type="pct"/>
            <w:noWrap/>
          </w:tcPr>
          <w:p w14:paraId="6DF40A62">
            <w:pPr>
              <w:spacing w:line="380" w:lineRule="exact"/>
              <w:jc w:val="center"/>
              <w:rPr>
                <w:kern w:val="0"/>
                <w:sz w:val="21"/>
                <w:szCs w:val="21"/>
              </w:rPr>
            </w:pPr>
            <w:r>
              <w:rPr>
                <w:kern w:val="0"/>
                <w:sz w:val="21"/>
              </w:rPr>
              <w:t>0.3</w:t>
            </w:r>
          </w:p>
        </w:tc>
        <w:tc>
          <w:tcPr>
            <w:tcW w:w="834" w:type="pct"/>
            <w:noWrap/>
            <w:vAlign w:val="bottom"/>
          </w:tcPr>
          <w:p w14:paraId="16FE708A">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3.40×10</m:t>
                    </m:r>
                    <m:ctrlPr>
                      <w:rPr>
                        <w:rFonts w:ascii="Cambria Math" w:hAnsi="Cambria Math"/>
                        <w:kern w:val="0"/>
                        <w:sz w:val="21"/>
                        <w:szCs w:val="21"/>
                      </w:rPr>
                    </m:ctrlPr>
                  </m:e>
                  <m:sup>
                    <m:r>
                      <m:rPr>
                        <m:nor/>
                        <m:sty m:val="p"/>
                      </m:rPr>
                      <w:rPr>
                        <w:b w:val="0"/>
                        <w:i w:val="0"/>
                        <w:kern w:val="0"/>
                        <w:sz w:val="21"/>
                        <w:szCs w:val="21"/>
                      </w:rPr>
                      <m:t>-5</m:t>
                    </m:r>
                    <m:ctrlPr>
                      <w:rPr>
                        <w:rFonts w:ascii="Cambria Math" w:hAnsi="Cambria Math"/>
                        <w:kern w:val="0"/>
                        <w:sz w:val="21"/>
                        <w:szCs w:val="21"/>
                      </w:rPr>
                    </m:ctrlPr>
                  </m:sup>
                </m:sSup>
              </m:oMath>
            </m:oMathPara>
          </w:p>
        </w:tc>
        <w:tc>
          <w:tcPr>
            <w:tcW w:w="833" w:type="pct"/>
            <w:noWrap/>
          </w:tcPr>
          <w:p w14:paraId="324171FD">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1.12×10</m:t>
                    </m:r>
                    <m:ctrlPr>
                      <w:rPr>
                        <w:rFonts w:ascii="Cambria Math" w:hAnsi="Cambria Math"/>
                        <w:kern w:val="0"/>
                        <w:sz w:val="21"/>
                        <w:szCs w:val="21"/>
                      </w:rPr>
                    </m:ctrlPr>
                  </m:e>
                  <m:sup>
                    <m:r>
                      <m:rPr>
                        <m:nor/>
                        <m:sty m:val="p"/>
                      </m:rPr>
                      <w:rPr>
                        <w:b w:val="0"/>
                        <w:i w:val="0"/>
                        <w:kern w:val="0"/>
                        <w:sz w:val="21"/>
                        <w:szCs w:val="21"/>
                      </w:rPr>
                      <m:t>-5</m:t>
                    </m:r>
                    <m:ctrlPr>
                      <w:rPr>
                        <w:rFonts w:ascii="Cambria Math" w:hAnsi="Cambria Math"/>
                        <w:kern w:val="0"/>
                        <w:sz w:val="21"/>
                        <w:szCs w:val="21"/>
                      </w:rPr>
                    </m:ctrlPr>
                  </m:sup>
                </m:sSup>
              </m:oMath>
            </m:oMathPara>
          </w:p>
        </w:tc>
        <w:tc>
          <w:tcPr>
            <w:tcW w:w="833" w:type="pct"/>
            <w:noWrap/>
          </w:tcPr>
          <w:p w14:paraId="09C49A9A">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3.80×10</m:t>
                    </m:r>
                    <m:ctrlPr>
                      <w:rPr>
                        <w:rFonts w:ascii="Cambria Math" w:hAnsi="Cambria Math"/>
                        <w:kern w:val="0"/>
                        <w:sz w:val="21"/>
                        <w:szCs w:val="21"/>
                      </w:rPr>
                    </m:ctrlPr>
                  </m:e>
                  <m:sup>
                    <m:r>
                      <m:rPr>
                        <m:nor/>
                        <m:sty m:val="p"/>
                      </m:rPr>
                      <w:rPr>
                        <w:b w:val="0"/>
                        <w:i w:val="0"/>
                        <w:kern w:val="0"/>
                        <w:sz w:val="21"/>
                        <w:szCs w:val="21"/>
                      </w:rPr>
                      <m:t>-5</m:t>
                    </m:r>
                    <m:ctrlPr>
                      <w:rPr>
                        <w:rFonts w:ascii="Cambria Math" w:hAnsi="Cambria Math"/>
                        <w:kern w:val="0"/>
                        <w:sz w:val="21"/>
                        <w:szCs w:val="21"/>
                      </w:rPr>
                    </m:ctrlPr>
                  </m:sup>
                </m:sSup>
              </m:oMath>
            </m:oMathPara>
          </w:p>
        </w:tc>
        <w:tc>
          <w:tcPr>
            <w:tcW w:w="833" w:type="pct"/>
            <w:noWrap/>
          </w:tcPr>
          <w:p w14:paraId="19E61EF4">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9.61×10</m:t>
                    </m:r>
                    <m:ctrlPr>
                      <w:rPr>
                        <w:rFonts w:ascii="Cambria Math" w:hAnsi="Cambria Math"/>
                        <w:kern w:val="0"/>
                        <w:sz w:val="21"/>
                        <w:szCs w:val="21"/>
                      </w:rPr>
                    </m:ctrlPr>
                  </m:e>
                  <m:sup>
                    <m:r>
                      <m:rPr>
                        <m:nor/>
                        <m:sty m:val="p"/>
                      </m:rPr>
                      <w:rPr>
                        <w:b w:val="0"/>
                        <w:i w:val="0"/>
                        <w:kern w:val="0"/>
                        <w:sz w:val="21"/>
                        <w:szCs w:val="21"/>
                      </w:rPr>
                      <m:t>-6</m:t>
                    </m:r>
                    <m:ctrlPr>
                      <w:rPr>
                        <w:rFonts w:ascii="Cambria Math" w:hAnsi="Cambria Math"/>
                        <w:kern w:val="0"/>
                        <w:sz w:val="21"/>
                        <w:szCs w:val="21"/>
                      </w:rPr>
                    </m:ctrlPr>
                  </m:sup>
                </m:sSup>
              </m:oMath>
            </m:oMathPara>
          </w:p>
        </w:tc>
        <w:tc>
          <w:tcPr>
            <w:tcW w:w="833" w:type="pct"/>
            <w:noWrap/>
          </w:tcPr>
          <w:p w14:paraId="4752C054">
            <w:pPr>
              <w:spacing w:line="380" w:lineRule="exact"/>
              <w:jc w:val="center"/>
              <w:rPr>
                <w:kern w:val="0"/>
                <w:sz w:val="21"/>
                <w:szCs w:val="21"/>
              </w:rPr>
            </w:pPr>
            <w:r>
              <w:rPr>
                <w:kern w:val="0"/>
                <w:sz w:val="21"/>
              </w:rPr>
              <w:t>0.48</w:t>
            </w:r>
          </w:p>
        </w:tc>
      </w:tr>
      <w:tr w14:paraId="27450C1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834" w:type="pct"/>
            <w:noWrap/>
          </w:tcPr>
          <w:p w14:paraId="4726BA6B">
            <w:pPr>
              <w:spacing w:line="380" w:lineRule="exact"/>
              <w:jc w:val="center"/>
              <w:rPr>
                <w:kern w:val="0"/>
                <w:sz w:val="21"/>
                <w:szCs w:val="21"/>
              </w:rPr>
            </w:pPr>
            <w:r>
              <w:rPr>
                <w:kern w:val="0"/>
                <w:sz w:val="21"/>
              </w:rPr>
              <w:t>0.375</w:t>
            </w:r>
          </w:p>
        </w:tc>
        <w:tc>
          <w:tcPr>
            <w:tcW w:w="834" w:type="pct"/>
            <w:noWrap/>
            <w:vAlign w:val="bottom"/>
          </w:tcPr>
          <w:p w14:paraId="5BDD4E87">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9.0×10</m:t>
                    </m:r>
                    <m:ctrlPr>
                      <w:rPr>
                        <w:rFonts w:ascii="Cambria Math" w:hAnsi="Cambria Math"/>
                        <w:kern w:val="0"/>
                        <w:sz w:val="21"/>
                        <w:szCs w:val="21"/>
                      </w:rPr>
                    </m:ctrlPr>
                  </m:e>
                  <m:sup>
                    <m:r>
                      <m:rPr>
                        <m:nor/>
                        <m:sty m:val="p"/>
                      </m:rPr>
                      <w:rPr>
                        <w:b w:val="0"/>
                        <w:i w:val="0"/>
                        <w:kern w:val="0"/>
                        <w:sz w:val="21"/>
                        <w:szCs w:val="21"/>
                      </w:rPr>
                      <m:t>-6</m:t>
                    </m:r>
                    <m:ctrlPr>
                      <w:rPr>
                        <w:rFonts w:ascii="Cambria Math" w:hAnsi="Cambria Math"/>
                        <w:kern w:val="0"/>
                        <w:sz w:val="21"/>
                        <w:szCs w:val="21"/>
                      </w:rPr>
                    </m:ctrlPr>
                  </m:sup>
                </m:sSup>
              </m:oMath>
            </m:oMathPara>
          </w:p>
        </w:tc>
        <w:tc>
          <w:tcPr>
            <w:tcW w:w="833" w:type="pct"/>
            <w:noWrap/>
            <w:vAlign w:val="bottom"/>
          </w:tcPr>
          <w:p w14:paraId="43E7DFD8">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7.0×10</m:t>
                    </m:r>
                    <m:ctrlPr>
                      <w:rPr>
                        <w:rFonts w:ascii="Cambria Math" w:hAnsi="Cambria Math"/>
                        <w:kern w:val="0"/>
                        <w:sz w:val="21"/>
                        <w:szCs w:val="21"/>
                      </w:rPr>
                    </m:ctrlPr>
                  </m:e>
                  <m:sup>
                    <m:r>
                      <m:rPr>
                        <m:nor/>
                        <m:sty m:val="p"/>
                      </m:rPr>
                      <w:rPr>
                        <w:b w:val="0"/>
                        <w:i w:val="0"/>
                        <w:kern w:val="0"/>
                        <w:sz w:val="21"/>
                        <w:szCs w:val="21"/>
                      </w:rPr>
                      <m:t>-6</m:t>
                    </m:r>
                    <m:ctrlPr>
                      <w:rPr>
                        <w:rFonts w:ascii="Cambria Math" w:hAnsi="Cambria Math"/>
                        <w:kern w:val="0"/>
                        <w:sz w:val="21"/>
                        <w:szCs w:val="21"/>
                      </w:rPr>
                    </m:ctrlPr>
                  </m:sup>
                </m:sSup>
              </m:oMath>
            </m:oMathPara>
          </w:p>
        </w:tc>
        <w:tc>
          <w:tcPr>
            <w:tcW w:w="833" w:type="pct"/>
            <w:noWrap/>
          </w:tcPr>
          <w:p w14:paraId="695D4772">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4.60×10</m:t>
                    </m:r>
                    <m:ctrlPr>
                      <w:rPr>
                        <w:rFonts w:ascii="Cambria Math" w:hAnsi="Cambria Math"/>
                        <w:kern w:val="0"/>
                        <w:sz w:val="21"/>
                        <w:szCs w:val="21"/>
                      </w:rPr>
                    </m:ctrlPr>
                  </m:e>
                  <m:sup>
                    <m:r>
                      <m:rPr>
                        <m:nor/>
                        <m:sty m:val="p"/>
                      </m:rPr>
                      <w:rPr>
                        <w:b w:val="0"/>
                        <w:i w:val="0"/>
                        <w:kern w:val="0"/>
                        <w:sz w:val="21"/>
                        <w:szCs w:val="21"/>
                      </w:rPr>
                      <m:t>-5</m:t>
                    </m:r>
                    <m:ctrlPr>
                      <w:rPr>
                        <w:rFonts w:ascii="Cambria Math" w:hAnsi="Cambria Math"/>
                        <w:kern w:val="0"/>
                        <w:sz w:val="21"/>
                        <w:szCs w:val="21"/>
                      </w:rPr>
                    </m:ctrlPr>
                  </m:sup>
                </m:sSup>
              </m:oMath>
            </m:oMathPara>
          </w:p>
        </w:tc>
        <w:tc>
          <w:tcPr>
            <w:tcW w:w="833" w:type="pct"/>
            <w:noWrap/>
          </w:tcPr>
          <w:p w14:paraId="1B282875">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5.00×10</m:t>
                    </m:r>
                    <m:ctrlPr>
                      <w:rPr>
                        <w:rFonts w:ascii="Cambria Math" w:hAnsi="Cambria Math"/>
                        <w:kern w:val="0"/>
                        <w:sz w:val="21"/>
                        <w:szCs w:val="21"/>
                      </w:rPr>
                    </m:ctrlPr>
                  </m:e>
                  <m:sup>
                    <m:r>
                      <m:rPr>
                        <m:nor/>
                        <m:sty m:val="p"/>
                      </m:rPr>
                      <w:rPr>
                        <w:b w:val="0"/>
                        <w:i w:val="0"/>
                        <w:kern w:val="0"/>
                        <w:sz w:val="21"/>
                        <w:szCs w:val="21"/>
                      </w:rPr>
                      <m:t>-6</m:t>
                    </m:r>
                    <m:ctrlPr>
                      <w:rPr>
                        <w:rFonts w:ascii="Cambria Math" w:hAnsi="Cambria Math"/>
                        <w:kern w:val="0"/>
                        <w:sz w:val="21"/>
                        <w:szCs w:val="21"/>
                      </w:rPr>
                    </m:ctrlPr>
                  </m:sup>
                </m:sSup>
              </m:oMath>
            </m:oMathPara>
          </w:p>
        </w:tc>
        <w:tc>
          <w:tcPr>
            <w:tcW w:w="833" w:type="pct"/>
            <w:noWrap/>
          </w:tcPr>
          <w:p w14:paraId="03080082">
            <w:pPr>
              <w:spacing w:line="380" w:lineRule="exact"/>
              <w:jc w:val="center"/>
              <w:rPr>
                <w:kern w:val="0"/>
                <w:sz w:val="21"/>
                <w:szCs w:val="21"/>
              </w:rPr>
            </w:pPr>
            <w:r>
              <w:rPr>
                <w:kern w:val="0"/>
                <w:sz w:val="21"/>
              </w:rPr>
              <w:t>0.56</w:t>
            </w:r>
          </w:p>
        </w:tc>
      </w:tr>
      <w:tr w14:paraId="31DB734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 w:hRule="atLeast"/>
        </w:trPr>
        <w:tc>
          <w:tcPr>
            <w:tcW w:w="834" w:type="pct"/>
            <w:noWrap/>
          </w:tcPr>
          <w:p w14:paraId="2D8AB08D">
            <w:pPr>
              <w:spacing w:line="380" w:lineRule="exact"/>
              <w:jc w:val="center"/>
              <w:rPr>
                <w:kern w:val="0"/>
                <w:sz w:val="21"/>
                <w:szCs w:val="21"/>
              </w:rPr>
            </w:pPr>
            <w:r>
              <w:rPr>
                <w:kern w:val="0"/>
                <w:sz w:val="21"/>
              </w:rPr>
              <w:t>0.425</w:t>
            </w:r>
          </w:p>
        </w:tc>
        <w:tc>
          <w:tcPr>
            <w:tcW w:w="834" w:type="pct"/>
            <w:noWrap/>
          </w:tcPr>
          <w:p w14:paraId="00CEF908">
            <w:pPr>
              <w:spacing w:line="380" w:lineRule="exact"/>
              <w:jc w:val="center"/>
              <w:rPr>
                <w:kern w:val="0"/>
                <w:sz w:val="21"/>
                <w:szCs w:val="21"/>
              </w:rPr>
            </w:pPr>
            <m:oMathPara>
              <m:oMath>
                <m:sSup>
                  <m:sSupPr>
                    <m:ctrlPr>
                      <w:rPr>
                        <w:rFonts w:ascii="Cambria Math" w:hAnsi="Cambria Math"/>
                        <w:kern w:val="0"/>
                        <w:sz w:val="21"/>
                        <w:szCs w:val="21"/>
                      </w:rPr>
                    </m:ctrlPr>
                  </m:sSupPr>
                  <m:e>
                    <m:r>
                      <m:rPr>
                        <m:sty m:val="p"/>
                      </m:rPr>
                      <w:rPr>
                        <w:rFonts w:ascii="Cambria Math" w:hAnsi="Cambria Math"/>
                        <w:kern w:val="0"/>
                        <w:sz w:val="21"/>
                        <w:szCs w:val="21"/>
                      </w:rPr>
                      <m:t>4</m:t>
                    </m:r>
                    <m:r>
                      <m:rPr>
                        <m:nor/>
                        <m:sty m:val="p"/>
                      </m:rPr>
                      <w:rPr>
                        <w:b w:val="0"/>
                        <w:i w:val="0"/>
                        <w:kern w:val="0"/>
                        <w:sz w:val="21"/>
                        <w:szCs w:val="21"/>
                      </w:rPr>
                      <m:t>.0×10</m:t>
                    </m:r>
                    <m:ctrlPr>
                      <w:rPr>
                        <w:rFonts w:ascii="Cambria Math" w:hAnsi="Cambria Math"/>
                        <w:kern w:val="0"/>
                        <w:sz w:val="21"/>
                        <w:szCs w:val="21"/>
                      </w:rPr>
                    </m:ctrlPr>
                  </m:e>
                  <m:sup>
                    <m:r>
                      <m:rPr>
                        <m:nor/>
                        <m:sty m:val="p"/>
                      </m:rPr>
                      <w:rPr>
                        <w:b w:val="0"/>
                        <w:i w:val="0"/>
                        <w:kern w:val="0"/>
                        <w:sz w:val="21"/>
                        <w:szCs w:val="21"/>
                      </w:rPr>
                      <m:t>-6</m:t>
                    </m:r>
                    <m:ctrlPr>
                      <w:rPr>
                        <w:rFonts w:ascii="Cambria Math" w:hAnsi="Cambria Math"/>
                        <w:kern w:val="0"/>
                        <w:sz w:val="21"/>
                        <w:szCs w:val="21"/>
                      </w:rPr>
                    </m:ctrlPr>
                  </m:sup>
                </m:sSup>
              </m:oMath>
            </m:oMathPara>
          </w:p>
        </w:tc>
        <w:tc>
          <w:tcPr>
            <w:tcW w:w="833" w:type="pct"/>
            <w:noWrap/>
            <w:vAlign w:val="bottom"/>
          </w:tcPr>
          <w:p w14:paraId="0A3C773A">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2.0×10</m:t>
                    </m:r>
                    <m:ctrlPr>
                      <w:rPr>
                        <w:rFonts w:ascii="Cambria Math" w:hAnsi="Cambria Math"/>
                        <w:kern w:val="0"/>
                        <w:sz w:val="21"/>
                        <w:szCs w:val="21"/>
                      </w:rPr>
                    </m:ctrlPr>
                  </m:e>
                  <m:sup>
                    <m:r>
                      <m:rPr>
                        <m:nor/>
                        <m:sty m:val="p"/>
                      </m:rPr>
                      <w:rPr>
                        <w:b w:val="0"/>
                        <w:i w:val="0"/>
                        <w:kern w:val="0"/>
                        <w:sz w:val="21"/>
                        <w:szCs w:val="21"/>
                      </w:rPr>
                      <m:t>-6</m:t>
                    </m:r>
                    <m:ctrlPr>
                      <w:rPr>
                        <w:rFonts w:ascii="Cambria Math" w:hAnsi="Cambria Math"/>
                        <w:kern w:val="0"/>
                        <w:sz w:val="21"/>
                        <w:szCs w:val="21"/>
                      </w:rPr>
                    </m:ctrlPr>
                  </m:sup>
                </m:sSup>
              </m:oMath>
            </m:oMathPara>
          </w:p>
        </w:tc>
        <w:tc>
          <w:tcPr>
            <w:tcW w:w="833" w:type="pct"/>
            <w:noWrap/>
          </w:tcPr>
          <w:p w14:paraId="64209D05">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1.20×10</m:t>
                    </m:r>
                    <m:ctrlPr>
                      <w:rPr>
                        <w:rFonts w:ascii="Cambria Math" w:hAnsi="Cambria Math"/>
                        <w:kern w:val="0"/>
                        <w:sz w:val="21"/>
                        <w:szCs w:val="21"/>
                      </w:rPr>
                    </m:ctrlPr>
                  </m:e>
                  <m:sup>
                    <m:r>
                      <m:rPr>
                        <m:nor/>
                        <m:sty m:val="p"/>
                      </m:rPr>
                      <w:rPr>
                        <w:b w:val="0"/>
                        <w:i w:val="0"/>
                        <w:kern w:val="0"/>
                        <w:sz w:val="21"/>
                        <w:szCs w:val="21"/>
                      </w:rPr>
                      <m:t>-5</m:t>
                    </m:r>
                    <m:ctrlPr>
                      <w:rPr>
                        <w:rFonts w:ascii="Cambria Math" w:hAnsi="Cambria Math"/>
                        <w:kern w:val="0"/>
                        <w:sz w:val="21"/>
                        <w:szCs w:val="21"/>
                      </w:rPr>
                    </m:ctrlPr>
                  </m:sup>
                </m:sSup>
              </m:oMath>
            </m:oMathPara>
          </w:p>
        </w:tc>
        <w:tc>
          <w:tcPr>
            <w:tcW w:w="833" w:type="pct"/>
            <w:noWrap/>
          </w:tcPr>
          <w:p w14:paraId="10C00D34">
            <w:pPr>
              <w:spacing w:line="380" w:lineRule="exact"/>
              <w:jc w:val="center"/>
              <w:rPr>
                <w:kern w:val="0"/>
                <w:sz w:val="21"/>
                <w:szCs w:val="21"/>
              </w:rPr>
            </w:pPr>
            <m:oMathPara>
              <m:oMath>
                <m:sSup>
                  <m:sSupPr>
                    <m:ctrlPr>
                      <w:rPr>
                        <w:rFonts w:ascii="Cambria Math" w:hAnsi="Cambria Math"/>
                        <w:kern w:val="0"/>
                        <w:sz w:val="21"/>
                        <w:szCs w:val="21"/>
                      </w:rPr>
                    </m:ctrlPr>
                  </m:sSupPr>
                  <m:e>
                    <m:r>
                      <m:rPr>
                        <m:nor/>
                        <m:sty m:val="p"/>
                      </m:rPr>
                      <w:rPr>
                        <w:b w:val="0"/>
                        <w:i w:val="0"/>
                        <w:kern w:val="0"/>
                        <w:sz w:val="21"/>
                        <w:szCs w:val="21"/>
                      </w:rPr>
                      <m:t>2.00×10</m:t>
                    </m:r>
                    <m:ctrlPr>
                      <w:rPr>
                        <w:rFonts w:ascii="Cambria Math" w:hAnsi="Cambria Math"/>
                        <w:kern w:val="0"/>
                        <w:sz w:val="21"/>
                        <w:szCs w:val="21"/>
                      </w:rPr>
                    </m:ctrlPr>
                  </m:e>
                  <m:sup>
                    <m:r>
                      <m:rPr>
                        <m:nor/>
                        <m:sty m:val="p"/>
                      </m:rPr>
                      <w:rPr>
                        <w:b w:val="0"/>
                        <w:i w:val="0"/>
                        <w:kern w:val="0"/>
                        <w:sz w:val="21"/>
                        <w:szCs w:val="21"/>
                      </w:rPr>
                      <m:t>-6</m:t>
                    </m:r>
                    <m:ctrlPr>
                      <w:rPr>
                        <w:rFonts w:ascii="Cambria Math" w:hAnsi="Cambria Math"/>
                        <w:kern w:val="0"/>
                        <w:sz w:val="21"/>
                        <w:szCs w:val="21"/>
                      </w:rPr>
                    </m:ctrlPr>
                  </m:sup>
                </m:sSup>
              </m:oMath>
            </m:oMathPara>
          </w:p>
        </w:tc>
        <w:tc>
          <w:tcPr>
            <w:tcW w:w="833" w:type="pct"/>
            <w:noWrap/>
          </w:tcPr>
          <w:p w14:paraId="20CF6864">
            <w:pPr>
              <w:spacing w:line="380" w:lineRule="exact"/>
              <w:jc w:val="center"/>
              <w:rPr>
                <w:kern w:val="0"/>
                <w:sz w:val="21"/>
                <w:szCs w:val="21"/>
              </w:rPr>
            </w:pPr>
            <w:r>
              <w:rPr>
                <w:kern w:val="0"/>
                <w:sz w:val="21"/>
              </w:rPr>
              <w:t>0.38</w:t>
            </w:r>
          </w:p>
        </w:tc>
      </w:tr>
    </w:tbl>
    <w:p w14:paraId="55B82F3E">
      <w:pPr>
        <w:spacing w:before="400" w:after="120" w:line="480" w:lineRule="auto"/>
        <w:jc w:val="center"/>
        <w:rPr>
          <w:szCs w:val="21"/>
        </w:rPr>
      </w:pPr>
      <w:r>
        <w:rPr>
          <w:rFonts w:cs="Times New Roman"/>
        </w:rPr>
        <w:t xml:space="preserve">Table </w:t>
      </w:r>
      <w:r>
        <w:rPr>
          <w:rFonts w:hint="eastAsia" w:cs="Times New Roman"/>
          <w:lang w:val="en-US" w:eastAsia="zh-CN"/>
        </w:rPr>
        <w:t xml:space="preserve">S4 </w:t>
      </w:r>
      <w:r>
        <w:rPr>
          <w:rFonts w:cs="Times New Roman"/>
          <w:sz w:val="21"/>
          <w:szCs w:val="21"/>
        </w:rPr>
        <w:t>Summary of test instruments</w:t>
      </w:r>
    </w:p>
    <w:tbl>
      <w:tblPr>
        <w:tblStyle w:val="11"/>
        <w:tblW w:w="5000"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12"/>
        <w:gridCol w:w="3307"/>
        <w:gridCol w:w="2703"/>
      </w:tblGrid>
      <w:tr w14:paraId="2B6D6AB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1474" w:type="pct"/>
            <w:tcBorders>
              <w:top w:val="single" w:color="auto" w:sz="12" w:space="0"/>
              <w:bottom w:val="single" w:color="auto" w:sz="4" w:space="0"/>
              <w:right w:val="nil"/>
              <w:tl2br w:val="nil"/>
              <w:tr2bl w:val="nil"/>
            </w:tcBorders>
            <w:shd w:val="clear" w:color="auto" w:fill="auto"/>
            <w:vAlign w:val="center"/>
          </w:tcPr>
          <w:p w14:paraId="15F94FDE">
            <w:pPr>
              <w:spacing w:line="400" w:lineRule="exact"/>
              <w:ind w:firstLine="420" w:firstLineChars="200"/>
              <w:jc w:val="center"/>
              <w:rPr>
                <w:i w:val="0"/>
                <w:iCs w:val="0"/>
                <w:kern w:val="2"/>
                <w:sz w:val="21"/>
                <w:szCs w:val="21"/>
              </w:rPr>
            </w:pPr>
            <w:r>
              <w:rPr>
                <w:i w:val="0"/>
                <w:iCs/>
                <w:kern w:val="0"/>
                <w:sz w:val="21"/>
              </w:rPr>
              <w:t>Instrument and equipment</w:t>
            </w:r>
          </w:p>
        </w:tc>
        <w:tc>
          <w:tcPr>
            <w:tcW w:w="1940" w:type="pct"/>
            <w:tcBorders>
              <w:top w:val="single" w:color="auto" w:sz="12" w:space="0"/>
              <w:bottom w:val="single" w:color="auto" w:sz="4" w:space="0"/>
              <w:tl2br w:val="nil"/>
              <w:tr2bl w:val="nil"/>
            </w:tcBorders>
            <w:shd w:val="clear" w:color="auto" w:fill="auto"/>
            <w:vAlign w:val="center"/>
          </w:tcPr>
          <w:p w14:paraId="1879B22C">
            <w:pPr>
              <w:spacing w:line="400" w:lineRule="exact"/>
              <w:ind w:firstLine="420" w:firstLineChars="200"/>
              <w:jc w:val="center"/>
              <w:rPr>
                <w:i w:val="0"/>
                <w:iCs w:val="0"/>
                <w:kern w:val="2"/>
                <w:sz w:val="21"/>
                <w:szCs w:val="21"/>
              </w:rPr>
            </w:pPr>
            <w:r>
              <w:rPr>
                <w:i w:val="0"/>
                <w:iCs/>
                <w:kern w:val="0"/>
                <w:sz w:val="21"/>
              </w:rPr>
              <w:t>Model</w:t>
            </w:r>
          </w:p>
        </w:tc>
        <w:tc>
          <w:tcPr>
            <w:tcW w:w="1586" w:type="pct"/>
            <w:tcBorders>
              <w:top w:val="single" w:color="auto" w:sz="12" w:space="0"/>
              <w:bottom w:val="single" w:color="auto" w:sz="4" w:space="0"/>
              <w:tl2br w:val="nil"/>
              <w:tr2bl w:val="nil"/>
            </w:tcBorders>
            <w:shd w:val="clear" w:color="auto" w:fill="auto"/>
            <w:vAlign w:val="center"/>
          </w:tcPr>
          <w:p w14:paraId="0FB4F025">
            <w:pPr>
              <w:spacing w:line="400" w:lineRule="exact"/>
              <w:ind w:firstLine="420" w:firstLineChars="200"/>
              <w:jc w:val="center"/>
              <w:rPr>
                <w:i w:val="0"/>
                <w:iCs w:val="0"/>
                <w:kern w:val="2"/>
                <w:sz w:val="21"/>
                <w:szCs w:val="21"/>
              </w:rPr>
            </w:pPr>
            <w:r>
              <w:rPr>
                <w:i w:val="0"/>
                <w:iCs/>
                <w:kern w:val="0"/>
                <w:sz w:val="21"/>
              </w:rPr>
              <w:t>Usage</w:t>
            </w:r>
          </w:p>
        </w:tc>
      </w:tr>
      <w:tr w14:paraId="277B95C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1474" w:type="pct"/>
            <w:vMerge w:val="restart"/>
            <w:tcBorders>
              <w:top w:val="single" w:color="auto" w:sz="4" w:space="0"/>
              <w:right w:val="nil"/>
              <w:tl2br w:val="nil"/>
              <w:tr2bl w:val="nil"/>
            </w:tcBorders>
            <w:shd w:val="clear" w:color="auto" w:fill="auto"/>
            <w:vAlign w:val="center"/>
          </w:tcPr>
          <w:p w14:paraId="1FA4064A">
            <w:pPr>
              <w:spacing w:line="360" w:lineRule="exact"/>
              <w:ind w:firstLine="420" w:firstLineChars="200"/>
              <w:jc w:val="center"/>
              <w:rPr>
                <w:kern w:val="2"/>
                <w:sz w:val="21"/>
                <w:szCs w:val="21"/>
              </w:rPr>
            </w:pPr>
            <w:r>
              <w:rPr>
                <w:kern w:val="0"/>
                <w:sz w:val="21"/>
              </w:rPr>
              <w:t>Balance</w:t>
            </w:r>
          </w:p>
        </w:tc>
        <w:tc>
          <w:tcPr>
            <w:tcW w:w="1940" w:type="pct"/>
            <w:tcBorders>
              <w:top w:val="single" w:color="auto" w:sz="4" w:space="0"/>
            </w:tcBorders>
            <w:shd w:val="clear" w:color="auto" w:fill="auto"/>
            <w:vAlign w:val="center"/>
          </w:tcPr>
          <w:p w14:paraId="7291F881">
            <w:pPr>
              <w:spacing w:line="360" w:lineRule="exact"/>
              <w:ind w:firstLine="420" w:firstLineChars="200"/>
              <w:jc w:val="center"/>
              <w:rPr>
                <w:kern w:val="2"/>
                <w:sz w:val="21"/>
                <w:szCs w:val="21"/>
              </w:rPr>
            </w:pPr>
            <w:r>
              <w:rPr>
                <w:kern w:val="0"/>
                <w:sz w:val="21"/>
              </w:rPr>
              <w:t>LT1002（0.01g）</w:t>
            </w:r>
          </w:p>
        </w:tc>
        <w:tc>
          <w:tcPr>
            <w:tcW w:w="1586" w:type="pct"/>
            <w:vMerge w:val="restart"/>
            <w:tcBorders>
              <w:top w:val="single" w:color="auto" w:sz="4" w:space="0"/>
            </w:tcBorders>
            <w:shd w:val="clear" w:color="auto" w:fill="auto"/>
          </w:tcPr>
          <w:p w14:paraId="64F772D5">
            <w:pPr>
              <w:spacing w:line="360" w:lineRule="exact"/>
              <w:ind w:firstLine="400" w:firstLineChars="200"/>
              <w:jc w:val="center"/>
              <w:rPr>
                <w:kern w:val="2"/>
                <w:sz w:val="21"/>
                <w:szCs w:val="21"/>
              </w:rPr>
            </w:pPr>
            <w:r>
              <w:rPr>
                <w:kern w:val="0"/>
                <w:sz w:val="20"/>
              </w:rPr>
              <w:t>Weigh rock, reagent</w:t>
            </w:r>
          </w:p>
          <w:p w14:paraId="03FD4CE5">
            <w:pPr>
              <w:spacing w:line="360" w:lineRule="exact"/>
              <w:ind w:firstLine="420" w:firstLineChars="200"/>
              <w:jc w:val="center"/>
              <w:rPr>
                <w:kern w:val="2"/>
                <w:sz w:val="21"/>
                <w:szCs w:val="21"/>
              </w:rPr>
            </w:pPr>
          </w:p>
        </w:tc>
      </w:tr>
      <w:tr w14:paraId="4BAD4AC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1474" w:type="pct"/>
            <w:vMerge w:val="continue"/>
            <w:tcBorders>
              <w:right w:val="nil"/>
              <w:tl2br w:val="nil"/>
              <w:tr2bl w:val="nil"/>
            </w:tcBorders>
            <w:shd w:val="clear" w:color="auto" w:fill="auto"/>
            <w:vAlign w:val="center"/>
          </w:tcPr>
          <w:p w14:paraId="4B2EC48B">
            <w:pPr>
              <w:spacing w:line="360" w:lineRule="exact"/>
              <w:ind w:firstLine="420" w:firstLineChars="200"/>
              <w:jc w:val="center"/>
              <w:rPr>
                <w:kern w:val="2"/>
                <w:sz w:val="21"/>
                <w:szCs w:val="21"/>
              </w:rPr>
            </w:pPr>
          </w:p>
        </w:tc>
        <w:tc>
          <w:tcPr>
            <w:tcW w:w="1940" w:type="pct"/>
            <w:shd w:val="clear" w:color="auto" w:fill="auto"/>
            <w:vAlign w:val="center"/>
          </w:tcPr>
          <w:p w14:paraId="5C36F7FD">
            <w:pPr>
              <w:spacing w:line="360" w:lineRule="exact"/>
              <w:ind w:firstLine="420" w:firstLineChars="200"/>
              <w:jc w:val="center"/>
              <w:rPr>
                <w:kern w:val="2"/>
                <w:sz w:val="21"/>
                <w:szCs w:val="21"/>
              </w:rPr>
            </w:pPr>
            <w:r>
              <w:rPr>
                <w:kern w:val="0"/>
                <w:sz w:val="21"/>
              </w:rPr>
              <w:t>EX225DZH（0.001mg）</w:t>
            </w:r>
          </w:p>
        </w:tc>
        <w:tc>
          <w:tcPr>
            <w:tcW w:w="1586" w:type="pct"/>
            <w:vMerge w:val="continue"/>
            <w:shd w:val="clear" w:color="auto" w:fill="auto"/>
          </w:tcPr>
          <w:p w14:paraId="43D4898A">
            <w:pPr>
              <w:spacing w:line="360" w:lineRule="exact"/>
              <w:ind w:firstLine="420" w:firstLineChars="200"/>
              <w:jc w:val="center"/>
              <w:rPr>
                <w:kern w:val="2"/>
                <w:sz w:val="21"/>
                <w:szCs w:val="21"/>
              </w:rPr>
            </w:pPr>
          </w:p>
        </w:tc>
      </w:tr>
      <w:tr w14:paraId="562FEF5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1474" w:type="pct"/>
            <w:vMerge w:val="continue"/>
            <w:tcBorders>
              <w:right w:val="nil"/>
              <w:tl2br w:val="nil"/>
              <w:tr2bl w:val="nil"/>
            </w:tcBorders>
            <w:shd w:val="clear" w:color="auto" w:fill="auto"/>
            <w:vAlign w:val="center"/>
          </w:tcPr>
          <w:p w14:paraId="521B61E1">
            <w:pPr>
              <w:spacing w:line="360" w:lineRule="exact"/>
              <w:ind w:firstLine="420" w:firstLineChars="200"/>
              <w:jc w:val="center"/>
              <w:rPr>
                <w:kern w:val="2"/>
                <w:sz w:val="21"/>
                <w:szCs w:val="21"/>
              </w:rPr>
            </w:pPr>
          </w:p>
        </w:tc>
        <w:tc>
          <w:tcPr>
            <w:tcW w:w="1940" w:type="pct"/>
            <w:shd w:val="clear" w:color="auto" w:fill="auto"/>
            <w:vAlign w:val="center"/>
          </w:tcPr>
          <w:p w14:paraId="7F86D28C">
            <w:pPr>
              <w:spacing w:line="360" w:lineRule="exact"/>
              <w:ind w:firstLine="420" w:firstLineChars="200"/>
              <w:jc w:val="center"/>
              <w:rPr>
                <w:kern w:val="2"/>
                <w:sz w:val="21"/>
                <w:szCs w:val="21"/>
              </w:rPr>
            </w:pPr>
            <w:r>
              <w:rPr>
                <w:kern w:val="0"/>
                <w:sz w:val="21"/>
              </w:rPr>
              <w:t>ACS-30Kg</w:t>
            </w:r>
          </w:p>
        </w:tc>
        <w:tc>
          <w:tcPr>
            <w:tcW w:w="1586" w:type="pct"/>
            <w:vMerge w:val="continue"/>
            <w:shd w:val="clear" w:color="auto" w:fill="auto"/>
          </w:tcPr>
          <w:p w14:paraId="72482E95">
            <w:pPr>
              <w:spacing w:line="360" w:lineRule="exact"/>
              <w:ind w:firstLine="420" w:firstLineChars="200"/>
              <w:jc w:val="center"/>
              <w:rPr>
                <w:kern w:val="2"/>
                <w:sz w:val="21"/>
                <w:szCs w:val="21"/>
              </w:rPr>
            </w:pPr>
          </w:p>
        </w:tc>
      </w:tr>
      <w:tr w14:paraId="6FF2647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1474" w:type="pct"/>
            <w:tcBorders>
              <w:right w:val="nil"/>
              <w:tl2br w:val="nil"/>
              <w:tr2bl w:val="nil"/>
            </w:tcBorders>
            <w:shd w:val="clear" w:color="auto" w:fill="auto"/>
          </w:tcPr>
          <w:p w14:paraId="07FE5F30">
            <w:pPr>
              <w:spacing w:line="360" w:lineRule="exact"/>
              <w:ind w:firstLine="400" w:firstLineChars="200"/>
              <w:jc w:val="center"/>
              <w:rPr>
                <w:kern w:val="2"/>
                <w:sz w:val="21"/>
                <w:szCs w:val="21"/>
              </w:rPr>
            </w:pPr>
            <w:r>
              <w:rPr>
                <w:kern w:val="0"/>
                <w:sz w:val="20"/>
              </w:rPr>
              <w:t>Peristaltic pump</w:t>
            </w:r>
          </w:p>
        </w:tc>
        <w:tc>
          <w:tcPr>
            <w:tcW w:w="1940" w:type="pct"/>
            <w:shd w:val="clear" w:color="auto" w:fill="auto"/>
            <w:vAlign w:val="center"/>
          </w:tcPr>
          <w:p w14:paraId="449661D8">
            <w:pPr>
              <w:spacing w:line="360" w:lineRule="exact"/>
              <w:ind w:firstLine="420" w:firstLineChars="200"/>
              <w:jc w:val="center"/>
              <w:rPr>
                <w:kern w:val="2"/>
                <w:sz w:val="21"/>
                <w:szCs w:val="21"/>
              </w:rPr>
            </w:pPr>
            <w:r>
              <w:rPr>
                <w:kern w:val="0"/>
                <w:sz w:val="21"/>
              </w:rPr>
              <w:t>BT-300CA/153YxPPS</w:t>
            </w:r>
          </w:p>
        </w:tc>
        <w:tc>
          <w:tcPr>
            <w:tcW w:w="1586" w:type="pct"/>
            <w:shd w:val="clear" w:color="auto" w:fill="auto"/>
          </w:tcPr>
          <w:p w14:paraId="58347827">
            <w:pPr>
              <w:spacing w:line="360" w:lineRule="exact"/>
              <w:ind w:firstLine="400" w:firstLineChars="200"/>
              <w:jc w:val="center"/>
              <w:rPr>
                <w:kern w:val="2"/>
                <w:sz w:val="21"/>
                <w:szCs w:val="21"/>
              </w:rPr>
            </w:pPr>
            <w:r>
              <w:rPr>
                <w:kern w:val="0"/>
                <w:sz w:val="20"/>
              </w:rPr>
              <w:t>Water supply installation</w:t>
            </w:r>
          </w:p>
        </w:tc>
      </w:tr>
      <w:tr w14:paraId="0438EB7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1474" w:type="pct"/>
            <w:tcBorders>
              <w:right w:val="nil"/>
              <w:tl2br w:val="nil"/>
              <w:tr2bl w:val="nil"/>
            </w:tcBorders>
            <w:shd w:val="clear" w:color="auto" w:fill="auto"/>
          </w:tcPr>
          <w:p w14:paraId="4104B2BF">
            <w:pPr>
              <w:spacing w:line="360" w:lineRule="exact"/>
              <w:ind w:firstLine="400" w:firstLineChars="200"/>
              <w:jc w:val="center"/>
              <w:rPr>
                <w:kern w:val="2"/>
                <w:sz w:val="21"/>
                <w:szCs w:val="21"/>
              </w:rPr>
            </w:pPr>
            <w:r>
              <w:rPr>
                <w:kern w:val="0"/>
                <w:sz w:val="20"/>
              </w:rPr>
              <w:t>Portable conductivity meter</w:t>
            </w:r>
          </w:p>
        </w:tc>
        <w:tc>
          <w:tcPr>
            <w:tcW w:w="1940" w:type="pct"/>
            <w:shd w:val="clear" w:color="auto" w:fill="auto"/>
            <w:vAlign w:val="center"/>
          </w:tcPr>
          <w:p w14:paraId="6C4A25EC">
            <w:pPr>
              <w:spacing w:line="360" w:lineRule="exact"/>
              <w:ind w:firstLine="420" w:firstLineChars="200"/>
              <w:jc w:val="center"/>
              <w:rPr>
                <w:kern w:val="2"/>
                <w:sz w:val="21"/>
                <w:szCs w:val="21"/>
              </w:rPr>
            </w:pPr>
            <w:r>
              <w:rPr>
                <w:kern w:val="0"/>
                <w:sz w:val="21"/>
              </w:rPr>
              <w:t>Bante902P</w:t>
            </w:r>
          </w:p>
        </w:tc>
        <w:tc>
          <w:tcPr>
            <w:tcW w:w="1586" w:type="pct"/>
            <w:shd w:val="clear" w:color="auto" w:fill="auto"/>
          </w:tcPr>
          <w:p w14:paraId="739DB515">
            <w:pPr>
              <w:spacing w:line="360" w:lineRule="exact"/>
              <w:ind w:firstLine="400" w:firstLineChars="200"/>
              <w:jc w:val="center"/>
              <w:rPr>
                <w:kern w:val="2"/>
                <w:sz w:val="21"/>
                <w:szCs w:val="21"/>
              </w:rPr>
            </w:pPr>
            <w:r>
              <w:rPr>
                <w:kern w:val="0"/>
                <w:sz w:val="20"/>
              </w:rPr>
              <w:t>pH, conductivity</w:t>
            </w:r>
          </w:p>
        </w:tc>
      </w:tr>
      <w:tr w14:paraId="5308EEA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1474" w:type="pct"/>
            <w:tcBorders>
              <w:right w:val="nil"/>
              <w:tl2br w:val="nil"/>
              <w:tr2bl w:val="nil"/>
            </w:tcBorders>
            <w:shd w:val="clear" w:color="auto" w:fill="auto"/>
          </w:tcPr>
          <w:p w14:paraId="16AE831C">
            <w:pPr>
              <w:spacing w:line="360" w:lineRule="exact"/>
              <w:ind w:firstLine="400" w:firstLineChars="200"/>
              <w:jc w:val="center"/>
              <w:rPr>
                <w:kern w:val="2"/>
                <w:sz w:val="21"/>
                <w:szCs w:val="21"/>
              </w:rPr>
            </w:pPr>
            <w:r>
              <w:rPr>
                <w:kern w:val="0"/>
                <w:sz w:val="20"/>
              </w:rPr>
              <w:t>Electric blast drying oven</w:t>
            </w:r>
          </w:p>
        </w:tc>
        <w:tc>
          <w:tcPr>
            <w:tcW w:w="1940" w:type="pct"/>
            <w:shd w:val="clear" w:color="auto" w:fill="auto"/>
            <w:vAlign w:val="center"/>
          </w:tcPr>
          <w:p w14:paraId="3FE89034">
            <w:pPr>
              <w:spacing w:line="360" w:lineRule="exact"/>
              <w:ind w:firstLine="420" w:firstLineChars="200"/>
              <w:jc w:val="center"/>
              <w:rPr>
                <w:kern w:val="2"/>
                <w:sz w:val="21"/>
                <w:szCs w:val="21"/>
              </w:rPr>
            </w:pPr>
            <w:r>
              <w:rPr>
                <w:kern w:val="0"/>
                <w:sz w:val="21"/>
              </w:rPr>
              <w:t>Model 101-1</w:t>
            </w:r>
          </w:p>
        </w:tc>
        <w:tc>
          <w:tcPr>
            <w:tcW w:w="1586" w:type="pct"/>
            <w:shd w:val="clear" w:color="auto" w:fill="auto"/>
          </w:tcPr>
          <w:p w14:paraId="57F0FC39">
            <w:pPr>
              <w:spacing w:line="360" w:lineRule="exact"/>
              <w:ind w:firstLine="400" w:firstLineChars="200"/>
              <w:jc w:val="center"/>
              <w:rPr>
                <w:kern w:val="2"/>
                <w:sz w:val="21"/>
                <w:szCs w:val="21"/>
              </w:rPr>
            </w:pPr>
            <w:r>
              <w:rPr>
                <w:kern w:val="0"/>
                <w:sz w:val="20"/>
              </w:rPr>
              <w:t>Drying soil samples, reagents</w:t>
            </w:r>
          </w:p>
        </w:tc>
      </w:tr>
      <w:tr w14:paraId="5533FCC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 w:hRule="atLeast"/>
        </w:trPr>
        <w:tc>
          <w:tcPr>
            <w:tcW w:w="1474" w:type="pct"/>
            <w:tcBorders>
              <w:right w:val="nil"/>
              <w:tl2br w:val="nil"/>
              <w:tr2bl w:val="nil"/>
            </w:tcBorders>
            <w:shd w:val="clear" w:color="auto" w:fill="auto"/>
          </w:tcPr>
          <w:p w14:paraId="18B91FC4">
            <w:pPr>
              <w:spacing w:line="360" w:lineRule="exact"/>
              <w:ind w:firstLine="400" w:firstLineChars="200"/>
              <w:jc w:val="center"/>
              <w:rPr>
                <w:kern w:val="2"/>
                <w:sz w:val="21"/>
                <w:szCs w:val="21"/>
              </w:rPr>
            </w:pPr>
            <w:r>
              <w:rPr>
                <w:kern w:val="0"/>
                <w:sz w:val="20"/>
              </w:rPr>
              <w:t>Swinging sieve analyzer</w:t>
            </w:r>
          </w:p>
        </w:tc>
        <w:tc>
          <w:tcPr>
            <w:tcW w:w="1940" w:type="pct"/>
            <w:shd w:val="clear" w:color="auto" w:fill="auto"/>
            <w:vAlign w:val="center"/>
          </w:tcPr>
          <w:p w14:paraId="11046F88">
            <w:pPr>
              <w:spacing w:line="360" w:lineRule="exact"/>
              <w:ind w:firstLine="420" w:firstLineChars="200"/>
              <w:jc w:val="center"/>
              <w:rPr>
                <w:kern w:val="2"/>
                <w:sz w:val="21"/>
                <w:szCs w:val="21"/>
              </w:rPr>
            </w:pPr>
            <w:r>
              <w:rPr>
                <w:kern w:val="0"/>
                <w:sz w:val="21"/>
              </w:rPr>
              <w:t>Model YS-4</w:t>
            </w:r>
          </w:p>
        </w:tc>
        <w:tc>
          <w:tcPr>
            <w:tcW w:w="1586" w:type="pct"/>
            <w:shd w:val="clear" w:color="auto" w:fill="auto"/>
          </w:tcPr>
          <w:p w14:paraId="72377943">
            <w:pPr>
              <w:spacing w:line="360" w:lineRule="exact"/>
              <w:ind w:firstLine="400" w:firstLineChars="200"/>
              <w:jc w:val="center"/>
              <w:rPr>
                <w:kern w:val="2"/>
                <w:sz w:val="21"/>
                <w:szCs w:val="21"/>
              </w:rPr>
            </w:pPr>
            <w:r>
              <w:rPr>
                <w:kern w:val="0"/>
                <w:sz w:val="20"/>
              </w:rPr>
              <w:t>Sieve out the soil sample</w:t>
            </w:r>
          </w:p>
        </w:tc>
      </w:tr>
      <w:tr w14:paraId="6539BB86">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1474" w:type="pct"/>
            <w:tcBorders>
              <w:right w:val="nil"/>
              <w:tl2br w:val="nil"/>
              <w:tr2bl w:val="nil"/>
            </w:tcBorders>
            <w:shd w:val="clear" w:color="auto" w:fill="auto"/>
          </w:tcPr>
          <w:p w14:paraId="4674EDF4">
            <w:pPr>
              <w:spacing w:line="360" w:lineRule="exact"/>
              <w:ind w:firstLine="400" w:firstLineChars="200"/>
              <w:jc w:val="center"/>
              <w:rPr>
                <w:kern w:val="2"/>
                <w:sz w:val="21"/>
                <w:szCs w:val="21"/>
              </w:rPr>
            </w:pPr>
            <w:r>
              <w:rPr>
                <w:kern w:val="0"/>
                <w:sz w:val="20"/>
              </w:rPr>
              <w:t>Acrylic glass box</w:t>
            </w:r>
          </w:p>
        </w:tc>
        <w:tc>
          <w:tcPr>
            <w:tcW w:w="1940" w:type="pct"/>
            <w:shd w:val="clear" w:color="auto" w:fill="auto"/>
            <w:vAlign w:val="center"/>
          </w:tcPr>
          <w:p w14:paraId="0ED9820F">
            <w:pPr>
              <w:spacing w:line="360" w:lineRule="exact"/>
              <w:ind w:firstLine="420" w:firstLineChars="200"/>
              <w:jc w:val="center"/>
              <w:rPr>
                <w:kern w:val="2"/>
                <w:sz w:val="21"/>
                <w:szCs w:val="21"/>
              </w:rPr>
            </w:pPr>
            <w:r>
              <w:rPr>
                <w:kern w:val="0"/>
                <w:sz w:val="21"/>
              </w:rPr>
              <w:t>2.40m×0.57m×0.1m</w:t>
            </w:r>
          </w:p>
        </w:tc>
        <w:tc>
          <w:tcPr>
            <w:tcW w:w="1586" w:type="pct"/>
            <w:shd w:val="clear" w:color="auto" w:fill="auto"/>
          </w:tcPr>
          <w:p w14:paraId="495F39D0">
            <w:pPr>
              <w:spacing w:line="360" w:lineRule="exact"/>
              <w:ind w:firstLine="400" w:firstLineChars="200"/>
              <w:jc w:val="center"/>
              <w:rPr>
                <w:kern w:val="2"/>
                <w:sz w:val="21"/>
                <w:szCs w:val="21"/>
              </w:rPr>
            </w:pPr>
            <w:r>
              <w:rPr>
                <w:kern w:val="0"/>
                <w:sz w:val="20"/>
              </w:rPr>
              <w:t>flow test</w:t>
            </w:r>
          </w:p>
        </w:tc>
      </w:tr>
      <w:tr w14:paraId="0A418C6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1474" w:type="pct"/>
            <w:tcBorders>
              <w:right w:val="nil"/>
              <w:tl2br w:val="nil"/>
              <w:tr2bl w:val="nil"/>
            </w:tcBorders>
            <w:shd w:val="clear" w:color="auto" w:fill="auto"/>
          </w:tcPr>
          <w:p w14:paraId="72DBF126">
            <w:pPr>
              <w:spacing w:line="360" w:lineRule="exact"/>
              <w:ind w:firstLine="400" w:firstLineChars="200"/>
              <w:jc w:val="center"/>
              <w:rPr>
                <w:kern w:val="0"/>
                <w:sz w:val="21"/>
                <w:szCs w:val="21"/>
              </w:rPr>
            </w:pPr>
            <w:r>
              <w:rPr>
                <w:kern w:val="0"/>
                <w:sz w:val="20"/>
              </w:rPr>
              <w:t>Hero ink</w:t>
            </w:r>
          </w:p>
        </w:tc>
        <w:tc>
          <w:tcPr>
            <w:tcW w:w="1940" w:type="pct"/>
            <w:shd w:val="clear" w:color="auto" w:fill="auto"/>
            <w:vAlign w:val="center"/>
          </w:tcPr>
          <w:p w14:paraId="7ABF271A">
            <w:pPr>
              <w:spacing w:line="360" w:lineRule="exact"/>
              <w:ind w:firstLine="1260" w:firstLineChars="600"/>
              <w:rPr>
                <w:kern w:val="0"/>
                <w:sz w:val="21"/>
                <w:szCs w:val="21"/>
              </w:rPr>
            </w:pPr>
            <w:r>
              <w:rPr>
                <w:kern w:val="0"/>
                <w:sz w:val="21"/>
              </w:rPr>
              <w:t>Red, blue</w:t>
            </w:r>
          </w:p>
        </w:tc>
        <w:tc>
          <w:tcPr>
            <w:tcW w:w="1586" w:type="pct"/>
            <w:shd w:val="clear" w:color="auto" w:fill="auto"/>
          </w:tcPr>
          <w:p w14:paraId="124C0AA8">
            <w:pPr>
              <w:spacing w:line="360" w:lineRule="exact"/>
              <w:ind w:firstLine="400" w:firstLineChars="200"/>
              <w:jc w:val="center"/>
              <w:rPr>
                <w:kern w:val="0"/>
                <w:sz w:val="21"/>
                <w:szCs w:val="21"/>
              </w:rPr>
            </w:pPr>
            <w:r>
              <w:rPr>
                <w:kern w:val="0"/>
                <w:sz w:val="20"/>
              </w:rPr>
              <w:t>tracer test</w:t>
            </w:r>
          </w:p>
        </w:tc>
      </w:tr>
      <w:tr w14:paraId="0781358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1474" w:type="pct"/>
            <w:tcBorders>
              <w:right w:val="nil"/>
              <w:tl2br w:val="nil"/>
              <w:tr2bl w:val="nil"/>
            </w:tcBorders>
            <w:shd w:val="clear" w:color="auto" w:fill="auto"/>
          </w:tcPr>
          <w:p w14:paraId="0FB3F5D5">
            <w:pPr>
              <w:spacing w:line="360" w:lineRule="exact"/>
              <w:ind w:firstLine="400" w:firstLineChars="200"/>
              <w:jc w:val="center"/>
              <w:rPr>
                <w:kern w:val="2"/>
                <w:sz w:val="21"/>
                <w:szCs w:val="21"/>
              </w:rPr>
            </w:pPr>
            <w:r>
              <w:rPr>
                <w:kern w:val="0"/>
                <w:sz w:val="20"/>
              </w:rPr>
              <w:t>Nessler reagent spectrophotometer</w:t>
            </w:r>
          </w:p>
        </w:tc>
        <w:tc>
          <w:tcPr>
            <w:tcW w:w="1940" w:type="pct"/>
            <w:shd w:val="clear" w:color="auto" w:fill="auto"/>
            <w:vAlign w:val="center"/>
          </w:tcPr>
          <w:p w14:paraId="05EA9884">
            <w:pPr>
              <w:spacing w:line="360" w:lineRule="exact"/>
              <w:ind w:firstLine="420" w:firstLineChars="200"/>
              <w:jc w:val="center"/>
              <w:rPr>
                <w:kern w:val="2"/>
                <w:sz w:val="21"/>
                <w:szCs w:val="21"/>
              </w:rPr>
            </w:pPr>
            <w:r>
              <w:rPr>
                <w:kern w:val="0"/>
                <w:sz w:val="21"/>
              </w:rPr>
              <w:t>DR1900</w:t>
            </w:r>
          </w:p>
        </w:tc>
        <w:tc>
          <w:tcPr>
            <w:tcW w:w="1586" w:type="pct"/>
            <w:shd w:val="clear" w:color="auto" w:fill="auto"/>
            <w:vAlign w:val="center"/>
          </w:tcPr>
          <w:p w14:paraId="13E9B2E8">
            <w:pPr>
              <w:spacing w:line="360" w:lineRule="exact"/>
              <w:ind w:firstLine="420" w:firstLineChars="200"/>
              <w:jc w:val="center"/>
              <w:rPr>
                <w:kern w:val="2"/>
                <w:sz w:val="21"/>
                <w:szCs w:val="21"/>
              </w:rPr>
            </w:pPr>
            <w:r>
              <w:rPr>
                <w:kern w:val="0"/>
                <w:sz w:val="21"/>
              </w:rPr>
              <w:t xml:space="preserve">Measurement of </w:t>
            </w:r>
            <m:oMath>
              <m:sSubSup>
                <m:sSubSupPr>
                  <m:ctrlPr>
                    <w:rPr>
                      <w:rFonts w:ascii="Cambria Math" w:hAnsi="Cambria Math"/>
                      <w:i/>
                      <w:kern w:val="2"/>
                      <w:sz w:val="24"/>
                    </w:rPr>
                  </m:ctrlPr>
                </m:sSubSupPr>
                <m:e>
                  <m:r>
                    <m:rPr/>
                    <w:rPr>
                      <w:rFonts w:ascii="Cambria Math" w:hAnsi="Cambria Math"/>
                      <w:kern w:val="2"/>
                      <w:sz w:val="24"/>
                    </w:rPr>
                    <m:t>NH</m:t>
                  </m:r>
                  <m:ctrlPr>
                    <w:rPr>
                      <w:rFonts w:ascii="Cambria Math" w:hAnsi="Cambria Math"/>
                      <w:i/>
                      <w:kern w:val="2"/>
                      <w:sz w:val="24"/>
                    </w:rPr>
                  </m:ctrlPr>
                </m:e>
                <m:sub>
                  <m:r>
                    <m:rPr/>
                    <w:rPr>
                      <w:rFonts w:ascii="Cambria Math" w:hAnsi="Cambria Math"/>
                      <w:kern w:val="2"/>
                      <w:sz w:val="24"/>
                    </w:rPr>
                    <m:t>4</m:t>
                  </m:r>
                  <m:ctrlPr>
                    <w:rPr>
                      <w:rFonts w:ascii="Cambria Math" w:hAnsi="Cambria Math"/>
                      <w:i/>
                      <w:kern w:val="2"/>
                      <w:sz w:val="24"/>
                    </w:rPr>
                  </m:ctrlPr>
                </m:sub>
                <m:sup>
                  <m:r>
                    <m:rPr/>
                    <w:rPr>
                      <w:rFonts w:ascii="Cambria Math" w:hAnsi="Cambria Math"/>
                      <w:kern w:val="2"/>
                      <w:sz w:val="24"/>
                    </w:rPr>
                    <m:t>+</m:t>
                  </m:r>
                  <m:ctrlPr>
                    <w:rPr>
                      <w:rFonts w:ascii="Cambria Math" w:hAnsi="Cambria Math"/>
                      <w:i/>
                      <w:kern w:val="2"/>
                      <w:sz w:val="24"/>
                    </w:rPr>
                  </m:ctrlPr>
                </m:sup>
              </m:sSubSup>
            </m:oMath>
            <w:r>
              <w:rPr>
                <w:kern w:val="0"/>
                <w:sz w:val="21"/>
              </w:rPr>
              <w:t xml:space="preserve"> and </w:t>
            </w:r>
            <m:oMath>
              <m:sSubSup>
                <m:sSubSupPr>
                  <m:ctrlPr>
                    <w:rPr>
                      <w:rFonts w:ascii="Cambria Math" w:hAnsi="Cambria Math"/>
                      <w:i/>
                      <w:kern w:val="2"/>
                      <w:sz w:val="21"/>
                    </w:rPr>
                  </m:ctrlPr>
                </m:sSubSupPr>
                <m:e>
                  <m:r>
                    <m:rPr/>
                    <w:rPr>
                      <w:rFonts w:ascii="Cambria Math" w:hAnsi="Cambria Math"/>
                      <w:kern w:val="2"/>
                      <w:sz w:val="21"/>
                    </w:rPr>
                    <m:t>NO</m:t>
                  </m:r>
                  <m:ctrlPr>
                    <w:rPr>
                      <w:rFonts w:ascii="Cambria Math" w:hAnsi="Cambria Math"/>
                      <w:i/>
                      <w:kern w:val="2"/>
                      <w:sz w:val="21"/>
                    </w:rPr>
                  </m:ctrlPr>
                </m:e>
                <m:sub>
                  <m:r>
                    <m:rPr/>
                    <w:rPr>
                      <w:rFonts w:ascii="Cambria Math" w:hAnsi="Cambria Math"/>
                      <w:kern w:val="2"/>
                      <w:sz w:val="21"/>
                    </w:rPr>
                    <m:t>3</m:t>
                  </m:r>
                  <m:ctrlPr>
                    <w:rPr>
                      <w:rFonts w:ascii="Cambria Math" w:hAnsi="Cambria Math"/>
                      <w:i/>
                      <w:kern w:val="2"/>
                      <w:sz w:val="21"/>
                    </w:rPr>
                  </m:ctrlPr>
                </m:sub>
                <m:sup>
                  <m:r>
                    <m:rPr/>
                    <w:rPr>
                      <w:rFonts w:ascii="Cambria Math" w:hAnsi="Cambria Math" w:eastAsia="微软雅黑"/>
                      <w:kern w:val="2"/>
                      <w:sz w:val="21"/>
                    </w:rPr>
                    <m:t>−</m:t>
                  </m:r>
                  <m:ctrlPr>
                    <w:rPr>
                      <w:rFonts w:ascii="Cambria Math" w:hAnsi="Cambria Math"/>
                      <w:i/>
                      <w:kern w:val="2"/>
                      <w:sz w:val="21"/>
                    </w:rPr>
                  </m:ctrlPr>
                </m:sup>
              </m:sSubSup>
            </m:oMath>
          </w:p>
        </w:tc>
      </w:tr>
      <w:tr w14:paraId="54741C7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1474" w:type="pct"/>
            <w:tcBorders>
              <w:right w:val="nil"/>
              <w:tl2br w:val="nil"/>
              <w:tr2bl w:val="nil"/>
            </w:tcBorders>
            <w:shd w:val="clear" w:color="auto" w:fill="auto"/>
          </w:tcPr>
          <w:p w14:paraId="02EFBF03">
            <w:pPr>
              <w:spacing w:line="360" w:lineRule="exact"/>
              <w:ind w:firstLine="400" w:firstLineChars="200"/>
              <w:jc w:val="center"/>
              <w:rPr>
                <w:kern w:val="2"/>
                <w:sz w:val="21"/>
                <w:szCs w:val="21"/>
              </w:rPr>
            </w:pPr>
            <w:r>
              <w:rPr>
                <w:kern w:val="0"/>
                <w:sz w:val="20"/>
              </w:rPr>
              <w:t>Dissolved oxygen meter</w:t>
            </w:r>
          </w:p>
        </w:tc>
        <w:tc>
          <w:tcPr>
            <w:tcW w:w="1940" w:type="pct"/>
            <w:shd w:val="clear" w:color="auto" w:fill="auto"/>
            <w:vAlign w:val="center"/>
          </w:tcPr>
          <w:p w14:paraId="427F7B54">
            <w:pPr>
              <w:spacing w:line="360" w:lineRule="exact"/>
              <w:ind w:firstLine="420" w:firstLineChars="200"/>
              <w:jc w:val="center"/>
              <w:rPr>
                <w:kern w:val="2"/>
                <w:sz w:val="21"/>
                <w:szCs w:val="21"/>
              </w:rPr>
            </w:pPr>
            <w:r>
              <w:rPr>
                <w:kern w:val="0"/>
                <w:sz w:val="21"/>
              </w:rPr>
              <w:t>JPB-607A</w:t>
            </w:r>
          </w:p>
        </w:tc>
        <w:tc>
          <w:tcPr>
            <w:tcW w:w="1586" w:type="pct"/>
            <w:shd w:val="clear" w:color="auto" w:fill="auto"/>
            <w:vAlign w:val="center"/>
          </w:tcPr>
          <w:p w14:paraId="2FAB29EC">
            <w:pPr>
              <w:spacing w:line="360" w:lineRule="exact"/>
              <w:ind w:firstLine="420" w:firstLineChars="200"/>
              <w:jc w:val="center"/>
              <w:rPr>
                <w:kern w:val="2"/>
                <w:sz w:val="21"/>
                <w:szCs w:val="21"/>
              </w:rPr>
            </w:pPr>
            <w:r>
              <w:rPr>
                <w:kern w:val="0"/>
                <w:sz w:val="21"/>
              </w:rPr>
              <w:t>Measurement of DO</w:t>
            </w:r>
          </w:p>
        </w:tc>
      </w:tr>
      <w:tr w14:paraId="67DDF05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1474" w:type="pct"/>
            <w:tcBorders>
              <w:right w:val="nil"/>
              <w:tl2br w:val="nil"/>
              <w:tr2bl w:val="nil"/>
            </w:tcBorders>
            <w:shd w:val="clear" w:color="auto" w:fill="auto"/>
          </w:tcPr>
          <w:p w14:paraId="05762535">
            <w:pPr>
              <w:spacing w:line="360" w:lineRule="exact"/>
              <w:ind w:firstLine="400" w:firstLineChars="200"/>
              <w:jc w:val="center"/>
              <w:rPr>
                <w:kern w:val="2"/>
                <w:sz w:val="21"/>
                <w:szCs w:val="21"/>
              </w:rPr>
            </w:pPr>
            <w:r>
              <w:rPr>
                <w:kern w:val="0"/>
                <w:sz w:val="20"/>
              </w:rPr>
              <w:t>Ultra pure water preparation machine</w:t>
            </w:r>
          </w:p>
        </w:tc>
        <w:tc>
          <w:tcPr>
            <w:tcW w:w="1940" w:type="pct"/>
            <w:shd w:val="clear" w:color="auto" w:fill="auto"/>
            <w:vAlign w:val="center"/>
          </w:tcPr>
          <w:p w14:paraId="207E1967">
            <w:pPr>
              <w:spacing w:line="360" w:lineRule="exact"/>
              <w:ind w:firstLine="420" w:firstLineChars="200"/>
              <w:jc w:val="center"/>
              <w:rPr>
                <w:kern w:val="2"/>
                <w:sz w:val="21"/>
                <w:szCs w:val="21"/>
              </w:rPr>
            </w:pPr>
            <w:r>
              <w:rPr>
                <w:kern w:val="0"/>
                <w:sz w:val="21"/>
              </w:rPr>
              <w:t>YTUP60S</w:t>
            </w:r>
          </w:p>
        </w:tc>
        <w:tc>
          <w:tcPr>
            <w:tcW w:w="1586" w:type="pct"/>
            <w:shd w:val="clear" w:color="auto" w:fill="auto"/>
            <w:vAlign w:val="center"/>
          </w:tcPr>
          <w:p w14:paraId="20A15245">
            <w:pPr>
              <w:spacing w:line="360" w:lineRule="exact"/>
              <w:ind w:firstLine="420" w:firstLineChars="200"/>
              <w:jc w:val="center"/>
              <w:rPr>
                <w:kern w:val="2"/>
                <w:sz w:val="21"/>
                <w:szCs w:val="21"/>
              </w:rPr>
            </w:pPr>
            <w:r>
              <w:rPr>
                <w:kern w:val="0"/>
                <w:sz w:val="21"/>
              </w:rPr>
              <w:t>Preparation of pure water</w:t>
            </w:r>
          </w:p>
        </w:tc>
      </w:tr>
    </w:tbl>
    <w:p w14:paraId="3A10EAA8">
      <w:pPr>
        <w:rPr>
          <w:rFonts w:hint="eastAsia"/>
        </w:rPr>
      </w:pPr>
    </w:p>
    <w:sectPr>
      <w:pgSz w:w="11906" w:h="16838"/>
      <w:pgMar w:top="1440" w:right="1800" w:bottom="1440" w:left="1800" w:header="851" w:footer="992" w:gutter="0"/>
      <w:lnNumType w:countBy="1"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28F8E159">
      <w:pPr>
        <w:pStyle w:val="2"/>
        <w:ind w:firstLine="90" w:firstLineChars="50"/>
      </w:pPr>
      <w:r>
        <w:rPr>
          <w:rStyle w:val="7"/>
        </w:rPr>
        <w:footnoteRef/>
      </w:r>
      <w:r>
        <w:t xml:space="preserve"> </w:t>
      </w:r>
      <w:r>
        <w:rPr>
          <w:rFonts w:ascii="Times New Roman" w:hAnsi="Times New Roman" w:cs="Times New Roman"/>
          <w:i w:val="0"/>
          <w:iCs/>
        </w:rPr>
        <w:t>Corresponding Author</w:t>
      </w:r>
      <w:r>
        <w:rPr>
          <w:rFonts w:hint="eastAsia" w:ascii="Times New Roman" w:hAnsi="Times New Roman" w:cs="Times New Roman"/>
          <w:i w:val="0"/>
          <w:iCs/>
          <w:lang w:val="en-US" w:eastAsia="zh-CN"/>
        </w:rPr>
        <w:t xml:space="preserve">: </w:t>
      </w:r>
      <w:r>
        <w:rPr>
          <w:rFonts w:ascii="Times New Roman" w:hAnsi="Times New Roman" w:cs="Times New Roman"/>
          <w:i w:val="0"/>
          <w:iCs/>
        </w:rPr>
        <w:t>E</w:t>
      </w:r>
      <w:r>
        <w:rPr>
          <w:i w:val="0"/>
          <w:iCs/>
        </w:rPr>
        <w:t xml:space="preserve">-mail address: </w:t>
      </w:r>
      <w:r>
        <w:rPr>
          <w:rFonts w:hint="eastAsia"/>
          <w:i w:val="0"/>
          <w:iCs/>
          <w:lang w:val="en-US" w:eastAsia="zh-CN"/>
        </w:rPr>
        <w:fldChar w:fldCharType="begin"/>
      </w:r>
      <w:r>
        <w:rPr>
          <w:rFonts w:hint="eastAsia"/>
          <w:i w:val="0"/>
          <w:iCs/>
          <w:lang w:val="en-US" w:eastAsia="zh-CN"/>
        </w:rPr>
        <w:instrText xml:space="preserve"> HYPERLINK "mailto:qinronggao@126.com(R,Qin)," </w:instrText>
      </w:r>
      <w:r>
        <w:rPr>
          <w:rFonts w:hint="eastAsia"/>
          <w:i w:val="0"/>
          <w:iCs/>
          <w:lang w:val="en-US" w:eastAsia="zh-CN"/>
        </w:rPr>
        <w:fldChar w:fldCharType="separate"/>
      </w:r>
      <w:r>
        <w:rPr>
          <w:rStyle w:val="6"/>
          <w:rFonts w:hint="eastAsia"/>
          <w:i w:val="0"/>
          <w:iCs/>
          <w:lang w:val="en-US" w:eastAsia="zh-CN"/>
        </w:rPr>
        <w:t>qinronggao@126.com(R,Qin),</w:t>
      </w:r>
      <w:r>
        <w:rPr>
          <w:rFonts w:hint="eastAsia"/>
          <w:i w:val="0"/>
          <w:iCs/>
          <w:lang w:val="en-US" w:eastAsia="zh-CN"/>
        </w:rPr>
        <w:fldChar w:fldCharType="end"/>
      </w:r>
      <w:r>
        <w:rPr>
          <w:rFonts w:hint="eastAsia"/>
          <w:i w:val="0"/>
          <w:iCs/>
          <w:lang w:val="en-US" w:eastAsia="zh-CN"/>
        </w:rPr>
        <w:t xml:space="preserve"> </w:t>
      </w:r>
      <w:r>
        <w:rPr>
          <w:rFonts w:hint="eastAsia"/>
          <w:i w:val="0"/>
          <w:iCs/>
        </w:rPr>
        <w:t>cgzhu@163.com</w:t>
      </w:r>
      <w:r>
        <w:rPr>
          <w:i w:val="0"/>
          <w:iCs/>
        </w:rPr>
        <w:t xml:space="preserve"> (</w:t>
      </w:r>
      <w:r>
        <w:rPr>
          <w:rFonts w:hint="eastAsia"/>
          <w:i w:val="0"/>
          <w:iCs/>
          <w:lang w:val="en-US" w:eastAsia="zh-CN"/>
        </w:rPr>
        <w:t>G</w:t>
      </w:r>
      <w:r>
        <w:rPr>
          <w:i w:val="0"/>
          <w:iCs/>
        </w:rPr>
        <w:t xml:space="preserve">, </w:t>
      </w:r>
      <w:r>
        <w:rPr>
          <w:rFonts w:hint="eastAsia"/>
          <w:i w:val="0"/>
          <w:iCs/>
          <w:lang w:val="en-US" w:eastAsia="zh-CN"/>
        </w:rPr>
        <w:t>Cao</w:t>
      </w:r>
      <w:r>
        <w:rPr>
          <w:i w:val="0"/>
          <w:iCs/>
        </w:rPr>
        <w:t>)</w:t>
      </w:r>
      <w:r>
        <w:rPr>
          <w:rFonts w:hint="eastAsia"/>
          <w:i w:val="0"/>
          <w:iCs/>
          <w:lang w:val="en-US" w:eastAsia="zh-CN"/>
        </w:rPr>
        <w:t xml:space="preserve">, </w:t>
      </w:r>
      <w:r>
        <w:rPr>
          <w:rFonts w:hint="eastAsia"/>
          <w:i w:val="0"/>
          <w:iCs/>
          <w:lang w:val="en-US" w:eastAsia="zh-CN"/>
        </w:rPr>
        <w:fldChar w:fldCharType="begin"/>
      </w:r>
      <w:r>
        <w:rPr>
          <w:rFonts w:hint="eastAsia"/>
          <w:i w:val="0"/>
          <w:iCs/>
          <w:lang w:val="en-US" w:eastAsia="zh-CN"/>
        </w:rPr>
        <w:instrText xml:space="preserve"> HYPERLINK "mailto:1035417670@qq.com(C,kong" </w:instrText>
      </w:r>
      <w:r>
        <w:rPr>
          <w:rFonts w:hint="eastAsia"/>
          <w:i w:val="0"/>
          <w:iCs/>
          <w:lang w:val="en-US" w:eastAsia="zh-CN"/>
        </w:rPr>
        <w:fldChar w:fldCharType="separate"/>
      </w:r>
      <w:r>
        <w:rPr>
          <w:rStyle w:val="6"/>
          <w:rFonts w:hint="eastAsia"/>
          <w:i w:val="0"/>
          <w:iCs/>
          <w:lang w:val="en-US" w:eastAsia="zh-CN"/>
        </w:rPr>
        <w:t>1035417670@qq.com(C,Kong</w:t>
      </w:r>
      <w:r>
        <w:rPr>
          <w:rFonts w:hint="eastAsia"/>
          <w:i w:val="0"/>
          <w:iCs/>
          <w:lang w:val="en-US" w:eastAsia="zh-CN"/>
        </w:rPr>
        <w:fldChar w:fldCharType="end"/>
      </w:r>
      <w:r>
        <w:rPr>
          <w:rFonts w:hint="eastAsia"/>
          <w:i w:val="0"/>
          <w:iCs/>
          <w:lang w:val="en-US" w:eastAsia="zh-CN"/>
        </w:rPr>
        <w:t>)</w:t>
      </w:r>
      <w:r>
        <w:rPr>
          <w:i w:val="0"/>
          <w:iCs/>
        </w:rPr>
        <w:t>.</w:t>
      </w:r>
    </w:p>
    <w:p w14:paraId="2FFA2955">
      <w:pPr>
        <w:pStyle w:val="2"/>
        <w:snapToGrid w:val="0"/>
        <w:rPr>
          <w:rFonts w:hint="default" w:eastAsia="宋体"/>
          <w:lang w:val="en-US" w:eastAsia="zh-C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CE3409"/>
    <w:multiLevelType w:val="singleLevel"/>
    <w:tmpl w:val="D2CE3409"/>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CFE"/>
    <w:rsid w:val="00131CFE"/>
    <w:rsid w:val="02C40969"/>
    <w:rsid w:val="065F10D4"/>
    <w:rsid w:val="0854278F"/>
    <w:rsid w:val="09420839"/>
    <w:rsid w:val="12F6327D"/>
    <w:rsid w:val="15F936B3"/>
    <w:rsid w:val="17C0399D"/>
    <w:rsid w:val="17F43647"/>
    <w:rsid w:val="1BA710FC"/>
    <w:rsid w:val="1F1F284B"/>
    <w:rsid w:val="24D022B7"/>
    <w:rsid w:val="26ED00E1"/>
    <w:rsid w:val="2B285689"/>
    <w:rsid w:val="2D082876"/>
    <w:rsid w:val="2DC853CB"/>
    <w:rsid w:val="35AD5109"/>
    <w:rsid w:val="36D72020"/>
    <w:rsid w:val="3B381919"/>
    <w:rsid w:val="3CCF1E09"/>
    <w:rsid w:val="453B7521"/>
    <w:rsid w:val="47B468C0"/>
    <w:rsid w:val="4B666C14"/>
    <w:rsid w:val="4D97427D"/>
    <w:rsid w:val="590C66C1"/>
    <w:rsid w:val="612776D1"/>
    <w:rsid w:val="614256C4"/>
    <w:rsid w:val="61AB557E"/>
    <w:rsid w:val="624C78D4"/>
    <w:rsid w:val="6748602A"/>
    <w:rsid w:val="67D90BE8"/>
    <w:rsid w:val="6A0E30F7"/>
    <w:rsid w:val="6A617F58"/>
    <w:rsid w:val="70B51F60"/>
    <w:rsid w:val="72073230"/>
    <w:rsid w:val="76F5658F"/>
    <w:rsid w:val="77E77E36"/>
    <w:rsid w:val="79D73A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footnote text"/>
    <w:basedOn w:val="1"/>
    <w:semiHidden/>
    <w:unhideWhenUsed/>
    <w:uiPriority w:val="99"/>
    <w:pPr>
      <w:snapToGrid w:val="0"/>
      <w:jc w:val="left"/>
    </w:pPr>
    <w:rPr>
      <w:sz w:val="18"/>
    </w:rPr>
  </w:style>
  <w:style w:type="table" w:styleId="4">
    <w:name w:val="Table Grid"/>
    <w:basedOn w:val="3"/>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Hyperlink"/>
    <w:qFormat/>
    <w:uiPriority w:val="0"/>
    <w:rPr>
      <w:color w:val="0156AA"/>
      <w:u w:val="none"/>
    </w:rPr>
  </w:style>
  <w:style w:type="character" w:styleId="7">
    <w:name w:val="footnote reference"/>
    <w:basedOn w:val="5"/>
    <w:semiHidden/>
    <w:unhideWhenUsed/>
    <w:uiPriority w:val="99"/>
    <w:rPr>
      <w:vertAlign w:val="superscript"/>
    </w:rPr>
  </w:style>
  <w:style w:type="paragraph" w:customStyle="1" w:styleId="8">
    <w:name w:val="图名"/>
    <w:basedOn w:val="1"/>
    <w:link w:val="9"/>
    <w:autoRedefine/>
    <w:qFormat/>
    <w:uiPriority w:val="0"/>
    <w:pPr>
      <w:adjustRightInd w:val="0"/>
      <w:snapToGrid w:val="0"/>
      <w:spacing w:before="120" w:after="120"/>
      <w:jc w:val="center"/>
    </w:pPr>
    <w:rPr>
      <w:rFonts w:cstheme="minorBidi"/>
      <w:szCs w:val="22"/>
    </w:rPr>
  </w:style>
  <w:style w:type="character" w:customStyle="1" w:styleId="9">
    <w:name w:val="图名 字符"/>
    <w:basedOn w:val="5"/>
    <w:link w:val="8"/>
    <w:autoRedefine/>
    <w:qFormat/>
    <w:uiPriority w:val="0"/>
    <w:rPr>
      <w:rFonts w:ascii="Times New Roman" w:hAnsi="Times New Roman" w:eastAsia="宋体"/>
    </w:rPr>
  </w:style>
  <w:style w:type="table" w:customStyle="1" w:styleId="10">
    <w:name w:val="三线表"/>
    <w:basedOn w:val="3"/>
    <w:autoRedefine/>
    <w:qFormat/>
    <w:uiPriority w:val="99"/>
    <w:rPr>
      <w:rFonts w:ascii="等线" w:hAnsi="等线" w:eastAsia="Times New Roman" w:cs="等线"/>
      <w:kern w:val="0"/>
      <w:sz w:val="20"/>
      <w:szCs w:val="20"/>
    </w:rPr>
    <w:tblPr>
      <w:tblBorders>
        <w:top w:val="single" w:color="auto" w:sz="12" w:space="0"/>
        <w:bottom w:val="single" w:color="auto" w:sz="12" w:space="0"/>
      </w:tblBorders>
    </w:tblPr>
    <w:tblStylePr w:type="firstRow">
      <w:tcPr>
        <w:tcBorders>
          <w:bottom w:val="single" w:color="auto" w:sz="6" w:space="0"/>
        </w:tcBorders>
      </w:tcPr>
    </w:tblStylePr>
  </w:style>
  <w:style w:type="table" w:customStyle="1" w:styleId="11">
    <w:name w:val="古典型 11"/>
    <w:basedOn w:val="3"/>
    <w:autoRedefine/>
    <w:qFormat/>
    <w:uiPriority w:val="0"/>
    <w:pPr>
      <w:widowControl w:val="0"/>
      <w:spacing w:line="400" w:lineRule="exact"/>
      <w:ind w:firstLine="200" w:firstLineChars="200"/>
    </w:pPr>
    <w:rPr>
      <w:rFonts w:ascii="Times New Roman" w:hAnsi="Times New Roman" w:eastAsia="宋体" w:cs="Times New Roman"/>
      <w:kern w:val="0"/>
      <w:sz w:val="20"/>
      <w:szCs w:val="20"/>
    </w:rPr>
    <w:tblPr>
      <w:tblBorders>
        <w:top w:val="single" w:color="000000" w:sz="12" w:space="0"/>
        <w:bottom w:val="single" w:color="000000" w:sz="12" w:space="0"/>
      </w:tblBorders>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2746</Words>
  <Characters>15282</Characters>
  <Lines>3</Lines>
  <Paragraphs>1</Paragraphs>
  <TotalTime>0</TotalTime>
  <ScaleCrop>false</ScaleCrop>
  <LinksUpToDate>false</LinksUpToDate>
  <CharactersWithSpaces>17795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2024-09-26T00:33:00Z</dcterms:created>
  <dc:creator>ronggao qin</dc:creator>
  <cp:lastModifiedBy>覃荣高</cp:lastModifiedBy>
  <dcterms:modified xsi:type="dcterms:W3CDTF">2025-11-21T02:38:04Z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eyJoZGlkIjoiMDdkZGMwNzJhZDVkMTliODA0ZDhmMjY5Y2JmMDViMTkiLCJ1c2VySWQiOiIxNzA5OTc0NzgyIn0=</vt:lpwstr>
  </property>
  <property fmtid="{D5CDD505-2E9C-101B-9397-08002B2CF9AE}" pid="3" name="KSOProductBuildVer">
    <vt:lpwstr>2052-12.1.0.23542</vt:lpwstr>
  </property>
  <property fmtid="{D5CDD505-2E9C-101B-9397-08002B2CF9AE}" pid="4" name="ICV">
    <vt:lpwstr>6B0836415F3342509ED4E7673E1FF201_13</vt:lpwstr>
  </property>
</Properties>
</file>