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14DF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ascii="Times New Roman" w:hAnsi="Times New Roman" w:eastAsia="Times New Roman" w:cs="Times New Roman"/>
          <w:b/>
          <w:sz w:val="22"/>
        </w:rPr>
      </w:pPr>
      <w:r>
        <w:rPr>
          <w:rFonts w:ascii="Times New Roman" w:hAnsi="Times New Roman" w:eastAsia="Times New Roman" w:cs="Times New Roman"/>
          <w:b/>
          <w:sz w:val="22"/>
        </w:rPr>
        <w:t xml:space="preserve"> Table 4. Laboratory and auxiliary examination results for 13 pediatric patients with ISOD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40" w:type="dxa"/>
          <w:left w:w="64" w:type="dxa"/>
          <w:bottom w:w="40" w:type="dxa"/>
          <w:right w:w="64" w:type="dxa"/>
        </w:tblCellMar>
      </w:tblPr>
      <w:tblGrid>
        <w:gridCol w:w="954"/>
        <w:gridCol w:w="954"/>
        <w:gridCol w:w="954"/>
        <w:gridCol w:w="954"/>
        <w:gridCol w:w="954"/>
        <w:gridCol w:w="954"/>
        <w:gridCol w:w="954"/>
        <w:gridCol w:w="954"/>
        <w:gridCol w:w="954"/>
        <w:gridCol w:w="954"/>
        <w:gridCol w:w="954"/>
        <w:gridCol w:w="954"/>
        <w:gridCol w:w="954"/>
        <w:gridCol w:w="964"/>
      </w:tblGrid>
      <w:tr w14:paraId="637CFA1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8DCD3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AA47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Case 8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vertAlign w:val="superscript"/>
              </w:rPr>
              <w:t>[10]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18EB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Case 9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vertAlign w:val="superscript"/>
              </w:rPr>
              <w:t>[11]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AC7A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Case 10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vertAlign w:val="superscript"/>
              </w:rPr>
              <w:t>[12]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86EE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Case 11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vertAlign w:val="superscript"/>
              </w:rPr>
              <w:t>[13]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14B7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Case 12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7AAB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Case 13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vertAlign w:val="superscript"/>
              </w:rPr>
              <w:t>[15]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AB8A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Case 14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vertAlign w:val="superscript"/>
              </w:rPr>
              <w:t>[16]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8B81D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Case 15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vertAlign w:val="superscript"/>
              </w:rPr>
              <w:t>[17]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A4757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Case 16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vertAlign w:val="superscript"/>
              </w:rPr>
              <w:t>[18]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DE735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Case 17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vertAlign w:val="superscript"/>
              </w:rPr>
              <w:t xml:space="preserve"> [19]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9F8A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Case 18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vertAlign w:val="superscript"/>
              </w:rPr>
              <w:t>[20]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22431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Case 19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vertAlign w:val="superscript"/>
              </w:rPr>
              <w:t xml:space="preserve"> [21]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19A9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Case 20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vertAlign w:val="superscript"/>
              </w:rPr>
              <w:t>[22]</w:t>
            </w:r>
          </w:p>
        </w:tc>
      </w:tr>
      <w:tr w14:paraId="7C698F4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jc w:val="center"/>
        </w:trPr>
        <w:tc>
          <w:tcPr>
            <w:tcW w:w="9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C937B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Complete blood count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0EF35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3D452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3634E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White blood cells, platelets ↓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3CBCB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C3E7E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  <w:bookmarkStart w:id="0" w:name="_GoBack"/>
            <w:bookmarkEnd w:id="0"/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4749B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86FB4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07CB8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BC196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CA54D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CAD5B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1AD0A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67BF4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</w:tr>
      <w:tr w14:paraId="47007ED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A06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Liver and kidney function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7DF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2F2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AD0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ECD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2BE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ALT/AST↑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765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D91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475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52D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E95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6DA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C15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CBE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</w:tr>
      <w:tr w14:paraId="6AE39F1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EB2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Electrolytes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A90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430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DAE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944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003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C89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31E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162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32A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1AC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08D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2B0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71D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</w:tr>
      <w:tr w14:paraId="0E1ECDF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B4E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Blood glucose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716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48C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FCC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981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6A4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069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C5B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F18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E56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884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D18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065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030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</w:tr>
      <w:tr w14:paraId="73CC48D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06D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Urinary organic Acid Analysis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449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466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4F9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C1C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1BA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D4A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CFA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3-hydroxypropanoic acid, 4-hydroxyphenylbutanoic acid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BB1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8E8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FB0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557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FBB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948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</w:tr>
      <w:tr w14:paraId="367C424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46C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Urea sulfite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6DA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+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CFC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C8D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45A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+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677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A45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D7A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17F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+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70A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93E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+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313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+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2DD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+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1BF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+</w:t>
            </w:r>
          </w:p>
        </w:tc>
      </w:tr>
      <w:tr w14:paraId="4E9556F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65E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Homocysteine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298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↓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230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539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EDC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763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2D4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AD4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↓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E9E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↓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C65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↓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617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0B8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CBE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↓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252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</w:tr>
      <w:tr w14:paraId="06DB172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5B6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Liver and gallbladd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-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er ultrasound findings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6D0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CFE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933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9AA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022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3C9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850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983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973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359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E4B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2EB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364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</w:tr>
      <w:tr w14:paraId="5CA4796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2CF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Cranial imaging findings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EFA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Cranial MRI reveals symmetrical abnormal signal intensity in bilateral basal ganglia regions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4BC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Blurred corticospinal boundary; patchy T1- and T2-hyperintense lesions in bilateral frontal-parietal white matter; no significant hyperintense signal on DWI. Slightly widened cerebellar-medullary cisterns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332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Minor hemorrhage in the right caudate nucleus head, subarachnoid hemorrhage, cerebral edema, widening of the foramen magnum cistern and bilateral occipital subarachnoid spaces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669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Multiple patchy T1- and T2-hyperintense lesions in bilateral cerebral hemispheres, basal ganglia, and brainstem; diffusion-weighted imaging (DWI) demonstrates restricted diffusion.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36B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Multiple low-density lesions in bilateral frontal and parietal cortical regions; symmetrical hyperdense lesions in bilateral basal ganglia; hypoplasia of corpus callosum; minimal subarachnoid hemorrhage; enlarged cisterns; cerebral oedema.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B5F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Diffuse cortical oedema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BF9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Diffuse signal abnormalities in bilateral cerebral hemispheres, basal ganglia, and thalamus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B7D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Reduced cerebral white matter, hypoplasia of the corpus callosum, mild enlargement of bilateral ventricles, widening of bilateral frontal-parietal subarachnoid spaces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AAD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Ventricular enlargement, cystic lesions in the left frontotemporal region, diffuse marked T2 hyperintensity in bilateral cerebral cortex, increased T2 signal in globus pallidus (multicystic leukomalacia)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1E3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Extensive frontal and parietal white matter cystic encephalomalacia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BA4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2D8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Multiple small areas of cystic encephalomalacia in the frontal lobe, diffuse cytotoxic edema, particularly in the occipital subcortical white matter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9E1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Diffuse low signal intensity throughout the brain</w:t>
            </w:r>
          </w:p>
        </w:tc>
      </w:tr>
      <w:tr w14:paraId="6534847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140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Electroencephalogram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BF1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Background activity shows numerous low-to-medium amplitude 3–4 Hz theta- -rhythm slow waves, with sporadic spikes and sharp waves in bilateral parietal and central leads.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46A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DD4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Severely abnormal neonatal electroencephalogram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9A7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Multifocal and widespread spike and sharp wave discharges, with frequent discharges detected during monitoring.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60E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B02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Frequent spikes and sharp waves in the right parietal region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0AA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Moderate Abnormality: Focal sharp waves and frequent discharges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63A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Mildly abnormal neonatal electroencephalogram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1C2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Diffuse low-amplitude activity during background activity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69A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095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8B3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628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Paroxysmal sharp waves ( ) with high-voltage attenuation in the centroparietal region</w:t>
            </w:r>
          </w:p>
        </w:tc>
      </w:tr>
      <w:tr w14:paraId="588A892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jc w:val="center"/>
        </w:trPr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ACB6E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0"/>
                <w:szCs w:val="20"/>
              </w:rPr>
              <w:t>SUOX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mutation sites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95DDB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c.68C&gt;G (p.Ser23Ter)\c.650G&gt;A (p.Arg217Gln)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0CC4F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c.1200C&gt;G\c.188G&gt;A(p.Gly63Asp)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90161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c.1200C&gt;G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50C9C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c.475G&gt;T (p.E159X), c.1201A&gt;G (p.K401E)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FE006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c.1227G&gt;A (p.Trp409)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05404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c.1200C&gt;G\c.1574_1575ins26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24600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c.1201A&gt;G (p.Lys401Glu)\c.475G&gt;T (p.Glu159)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28674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c.1200C &gt; G (p.Y400*) c.1549_1574dup (p.I525 Mfs*102)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B36B7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c.1200C&gt;G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D1C8C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c.1200C&gt;G</w:t>
            </w:r>
          </w:p>
          <w:p w14:paraId="6B4A2C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c.1355C&gt;A (p.G452D)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791C5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c.1200C&gt;G paternal uniparental disomy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E53EA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c.1200C&gt;G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458AA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c.1029C&gt;G (Y343 X)\479G&gt;A(R160Q)</w:t>
            </w:r>
          </w:p>
        </w:tc>
      </w:tr>
    </w:tbl>
    <w:p w14:paraId="55BD02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ascii="Times New Roman" w:hAnsi="Times New Roman" w:eastAsia="Times New Roman" w:cs="Times New Roman"/>
          <w:sz w:val="22"/>
        </w:rPr>
      </w:pPr>
      <w:r>
        <w:rPr>
          <w:rFonts w:ascii="Times New Roman" w:hAnsi="Times New Roman" w:eastAsia="Times New Roman" w:cs="Times New Roman"/>
          <w:sz w:val="22"/>
        </w:rPr>
        <w:t xml:space="preserve"> Note: Positive: +; Negative: -; Elevated: ↑; Not performed: /; c.1200C</w:t>
      </w:r>
      <w:r>
        <w:rPr>
          <w:rFonts w:ascii="仿宋" w:hAnsi="仿宋" w:eastAsia="仿宋" w:cs="仿宋"/>
          <w:sz w:val="22"/>
        </w:rPr>
        <w:t>＞</w:t>
      </w:r>
      <w:r>
        <w:rPr>
          <w:rFonts w:ascii="Times New Roman" w:hAnsi="Times New Roman" w:eastAsia="Times New Roman" w:cs="Times New Roman"/>
          <w:sz w:val="22"/>
        </w:rPr>
        <w:t>G: c.1200C</w:t>
      </w:r>
      <w:r>
        <w:rPr>
          <w:rFonts w:ascii="仿宋" w:hAnsi="仿宋" w:eastAsia="仿宋" w:cs="仿宋"/>
          <w:sz w:val="22"/>
        </w:rPr>
        <w:t>＞</w:t>
      </w:r>
      <w:r>
        <w:rPr>
          <w:rFonts w:ascii="Times New Roman" w:hAnsi="Times New Roman" w:eastAsia="Times New Roman" w:cs="Times New Roman"/>
          <w:sz w:val="22"/>
        </w:rPr>
        <w:t>G (p.Tyr400Ter)</w:t>
      </w:r>
    </w:p>
    <w:p w14:paraId="2C5347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ascii="Times New Roman" w:hAnsi="Times New Roman" w:eastAsia="Times New Roman" w:cs="Times New Roman"/>
          <w:sz w:val="22"/>
        </w:rPr>
      </w:pPr>
      <w:r>
        <w:rPr>
          <w:rFonts w:ascii="Times New Roman" w:hAnsi="Times New Roman" w:eastAsia="Times New Roman" w:cs="Times New Roman"/>
          <w:sz w:val="22"/>
        </w:rPr>
        <w:t>ISOD, isolated sulfite oxidase deficiency; ALT, alanine aminotransferase; AST, aspartate aminotransferase; MRI, magnetic resonance imaging; DWI, diffusion-weighted imaging</w:t>
      </w:r>
    </w:p>
    <w:p w14:paraId="6C93CF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9622A3"/>
    <w:rsid w:val="024D6952"/>
    <w:rsid w:val="219622A3"/>
    <w:rsid w:val="322701D4"/>
    <w:rsid w:val="77DA64AE"/>
    <w:rsid w:val="7F204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网格型1"/>
    <w:basedOn w:val="2"/>
    <w:qFormat/>
    <w:uiPriority w:val="0"/>
    <w:pPr>
      <w:widowControl w:val="0"/>
      <w:jc w:val="both"/>
    </w:pPr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2025-11-03T06:43:00Z</dcterms:created>
  <dc:creator>楊鴻源</dc:creator>
  <cp:lastModifiedBy>楊鴻源</cp:lastModifiedBy>
  <dcterms:modified xsi:type="dcterms:W3CDTF">2025-11-03T07:01:24Z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9C3B3566DA314381B16313D91513B41E_13</vt:lpwstr>
  </property>
  <property fmtid="{D5CDD505-2E9C-101B-9397-08002B2CF9AE}" pid="4" name="KSOTemplateDocerSaveRecord">
    <vt:lpwstr>eyJoZGlkIjoiMWJjYzQ3YWViNzNiNTFkMWE3ZWQ1ZmNkZjE0YTlkMjQiLCJ1c2VySWQiOiIzNDE5NzI1NzIifQ==</vt:lpwstr>
  </property>
</Properties>
</file>