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84DC3">
      <w:pPr>
        <w:widowControl/>
        <w:jc w:val="left"/>
        <w:rPr>
          <w:rFonts w:ascii="Times New Roman" w:hAnsi="Times New Roman" w:cs="Times New Roman"/>
          <w:sz w:val="30"/>
          <w:szCs w:val="30"/>
        </w:rPr>
      </w:pPr>
      <w:r>
        <w:rPr>
          <w:rFonts w:ascii="Times New Roman" w:hAnsi="Times New Roman" w:cs="Times New Roman"/>
          <w:sz w:val="30"/>
          <w:szCs w:val="30"/>
        </w:rPr>
        <w:t>Supplementary Materials for</w:t>
      </w:r>
    </w:p>
    <w:p w14:paraId="5DBFA79E">
      <w:pPr>
        <w:spacing w:line="360" w:lineRule="auto"/>
        <w:jc w:val="left"/>
        <w:rPr>
          <w:rFonts w:hint="default" w:ascii="Arial" w:hAnsi="Arial" w:cs="Arial"/>
          <w:b/>
          <w:bCs/>
          <w:sz w:val="30"/>
          <w:szCs w:val="30"/>
          <w:lang w:val="en-US"/>
        </w:rPr>
      </w:pPr>
      <w:bookmarkStart w:id="1" w:name="_GoBack"/>
      <w:bookmarkEnd w:id="1"/>
      <w:r>
        <w:rPr>
          <w:rFonts w:hint="default" w:ascii="Arial" w:hAnsi="Arial" w:cs="Arial"/>
          <w:b/>
          <w:bCs/>
          <w:sz w:val="30"/>
          <w:szCs w:val="30"/>
          <w:lang w:val="en-US" w:eastAsia="zh-CN"/>
        </w:rPr>
        <w:t>Epigenetic estimate</w:t>
      </w:r>
      <w:r>
        <w:rPr>
          <w:rFonts w:hint="eastAsia" w:ascii="Arial" w:hAnsi="Arial" w:cs="Arial"/>
          <w:b/>
          <w:bCs/>
          <w:sz w:val="30"/>
          <w:szCs w:val="30"/>
          <w:lang w:val="en-US" w:eastAsia="zh-CN"/>
        </w:rPr>
        <w:t>s</w:t>
      </w:r>
      <w:r>
        <w:rPr>
          <w:rFonts w:hint="default" w:ascii="Arial" w:hAnsi="Arial" w:cs="Arial"/>
          <w:b/>
          <w:bCs/>
          <w:sz w:val="30"/>
          <w:szCs w:val="30"/>
          <w:lang w:val="en-US" w:eastAsia="zh-CN"/>
        </w:rPr>
        <w:t xml:space="preserve"> reveal a</w:t>
      </w:r>
      <w:r>
        <w:rPr>
          <w:rFonts w:hint="eastAsia" w:ascii="Arial" w:hAnsi="Arial" w:cs="Arial"/>
          <w:b/>
          <w:bCs/>
          <w:sz w:val="30"/>
          <w:szCs w:val="30"/>
          <w:lang w:val="en-US" w:eastAsia="zh-CN"/>
        </w:rPr>
        <w:t xml:space="preserve"> species-specific extension of lifespan in modern humans</w:t>
      </w:r>
    </w:p>
    <w:p w14:paraId="6C3267E1">
      <w:pPr>
        <w:spacing w:line="360" w:lineRule="auto"/>
        <w:jc w:val="left"/>
        <w:rPr>
          <w:rFonts w:hint="default" w:ascii="Arial" w:hAnsi="Arial" w:cs="Arial"/>
          <w:b w:val="0"/>
          <w:bCs w:val="0"/>
          <w:sz w:val="30"/>
          <w:szCs w:val="30"/>
          <w:lang w:val="en-US"/>
        </w:rPr>
      </w:pPr>
    </w:p>
    <w:p w14:paraId="59A52C8F">
      <w:pPr>
        <w:widowControl/>
        <w:jc w:val="left"/>
        <w:rPr>
          <w:rFonts w:ascii="Times New Roman" w:hAnsi="Times New Roman" w:cs="Times New Roman"/>
          <w:b/>
          <w:bCs/>
          <w:sz w:val="30"/>
          <w:szCs w:val="30"/>
        </w:rPr>
      </w:pPr>
    </w:p>
    <w:p w14:paraId="47406227">
      <w:pPr>
        <w:widowControl/>
        <w:jc w:val="left"/>
        <w:rPr>
          <w:rFonts w:ascii="Arial" w:hAnsi="Arial" w:cs="Arial"/>
        </w:rPr>
      </w:pPr>
    </w:p>
    <w:p w14:paraId="2B3A6AA9">
      <w:pPr>
        <w:widowControl/>
        <w:jc w:val="left"/>
        <w:rPr>
          <w:rFonts w:ascii="Arial" w:hAnsi="Arial" w:cs="Arial"/>
        </w:rPr>
      </w:pPr>
    </w:p>
    <w:p w14:paraId="44CDBB80">
      <w:pPr>
        <w:widowControl/>
        <w:rPr>
          <w:rFonts w:ascii="Arial" w:hAnsi="Arial" w:eastAsia="等线" w:cs="Arial"/>
        </w:rPr>
      </w:pPr>
      <w:r>
        <w:rPr>
          <w:rFonts w:ascii="Arial" w:hAnsi="Arial" w:eastAsia="等线" w:cs="Arial"/>
        </w:rPr>
        <w:t>Xiangye Liu, Pingfen Zhu,</w:t>
      </w:r>
      <w:r>
        <w:rPr>
          <w:rFonts w:hint="eastAsia" w:ascii="Arial" w:hAnsi="Arial" w:eastAsia="等线" w:cs="Arial"/>
        </w:rPr>
        <w:t xml:space="preserve"> Chunyan Hu, Qi Pan, Zhan Zhang, Weixiao Chen, Zixiang Xiong, Yang Yu, Xiaoxiao Zhang, Juan Du,</w:t>
      </w:r>
      <w:r>
        <w:rPr>
          <w:rFonts w:ascii="Arial" w:hAnsi="Arial" w:eastAsia="等线" w:cs="Arial"/>
        </w:rPr>
        <w:t xml:space="preserve"> Meng Li, Gaoming Liu, Xuming Zhou</w:t>
      </w:r>
    </w:p>
    <w:p w14:paraId="3F6AC00A">
      <w:pPr>
        <w:rPr>
          <w:rFonts w:ascii="Arial" w:hAnsi="Arial" w:cs="Arial"/>
        </w:rPr>
      </w:pPr>
    </w:p>
    <w:p w14:paraId="7D562648">
      <w:pPr>
        <w:numPr>
          <w:ilvl w:val="255"/>
          <w:numId w:val="0"/>
        </w:numPr>
        <w:rPr>
          <w:rFonts w:ascii="Arial" w:hAnsi="Arial" w:eastAsia="等线" w:cs="Arial"/>
        </w:rPr>
      </w:pPr>
    </w:p>
    <w:p w14:paraId="5908EB2D">
      <w:pPr>
        <w:widowControl/>
        <w:rPr>
          <w:rFonts w:ascii="Arial" w:hAnsi="Arial" w:cs="Arial"/>
        </w:rPr>
      </w:pPr>
      <w:r>
        <w:rPr>
          <w:rFonts w:ascii="Arial" w:hAnsi="Arial" w:cs="Arial"/>
        </w:rPr>
        <w:t>Correspondence and requests for materials should be addressed to</w:t>
      </w:r>
      <w:r>
        <w:rPr>
          <w:rFonts w:ascii="Arial" w:hAnsi="Arial" w:eastAsia="宋体" w:cs="Arial"/>
        </w:rPr>
        <w:t xml:space="preserve"> Xuming Zhou</w:t>
      </w:r>
      <w:r>
        <w:rPr>
          <w:rFonts w:ascii="Arial" w:hAnsi="Arial" w:cs="Arial"/>
        </w:rPr>
        <w:t xml:space="preserve"> (E-mail: zhouxuming@ioz.ac.cn).</w:t>
      </w:r>
    </w:p>
    <w:p w14:paraId="7E242E9C">
      <w:pPr>
        <w:widowControl/>
        <w:jc w:val="left"/>
        <w:rPr>
          <w:rFonts w:ascii="Arial" w:hAnsi="Arial" w:cs="Arial"/>
        </w:rPr>
      </w:pPr>
    </w:p>
    <w:p w14:paraId="49294AA2">
      <w:pPr>
        <w:widowControl/>
        <w:jc w:val="left"/>
        <w:rPr>
          <w:rFonts w:ascii="Arial" w:hAnsi="Arial" w:cs="Arial"/>
        </w:rPr>
      </w:pPr>
    </w:p>
    <w:p w14:paraId="1D5CF2E1">
      <w:pPr>
        <w:widowControl/>
        <w:jc w:val="left"/>
        <w:rPr>
          <w:rFonts w:ascii="Arial" w:hAnsi="Arial" w:cs="Arial"/>
        </w:rPr>
      </w:pPr>
    </w:p>
    <w:p w14:paraId="14679A87">
      <w:pPr>
        <w:widowControl/>
        <w:jc w:val="left"/>
        <w:rPr>
          <w:rFonts w:ascii="Arial" w:hAnsi="Arial" w:cs="Arial"/>
        </w:rPr>
      </w:pPr>
    </w:p>
    <w:p w14:paraId="408F2A56">
      <w:pPr>
        <w:widowControl/>
        <w:rPr>
          <w:rFonts w:ascii="Arial" w:hAnsi="Arial" w:cs="Arial"/>
        </w:rPr>
      </w:pPr>
      <w:r>
        <w:rPr>
          <w:rFonts w:hint="eastAsia" w:ascii="Arial" w:hAnsi="Arial" w:cs="Arial"/>
          <w:b/>
          <w:bCs/>
        </w:rPr>
        <w:t>The file includes:</w:t>
      </w:r>
    </w:p>
    <w:p w14:paraId="774F68D9">
      <w:pPr>
        <w:widowControl/>
        <w:rPr>
          <w:rFonts w:ascii="Arial" w:hAnsi="Arial" w:cs="Arial"/>
        </w:rPr>
      </w:pPr>
      <w:r>
        <w:rPr>
          <w:rFonts w:hint="eastAsia" w:ascii="Arial" w:hAnsi="Arial" w:cs="Arial"/>
        </w:rPr>
        <w:t>Table S1 to S3</w:t>
      </w:r>
    </w:p>
    <w:p w14:paraId="294579D0">
      <w:pPr>
        <w:widowControl/>
        <w:rPr>
          <w:rFonts w:ascii="Arial" w:hAnsi="Arial" w:cs="Arial"/>
        </w:rPr>
      </w:pPr>
      <w:r>
        <w:rPr>
          <w:rFonts w:hint="eastAsia" w:ascii="Arial" w:hAnsi="Arial" w:cs="Arial"/>
        </w:rPr>
        <w:t>Titles and legends for Table S4 to S6</w:t>
      </w:r>
    </w:p>
    <w:p w14:paraId="59E0C774">
      <w:pPr>
        <w:widowControl/>
        <w:rPr>
          <w:rFonts w:ascii="Arial" w:hAnsi="Arial" w:cs="Arial"/>
        </w:rPr>
      </w:pPr>
      <w:r>
        <w:rPr>
          <w:rFonts w:hint="eastAsia" w:ascii="Arial" w:hAnsi="Arial" w:cs="Arial"/>
        </w:rPr>
        <w:t>Fig. S1 to S12</w:t>
      </w:r>
    </w:p>
    <w:p w14:paraId="5B8BB466">
      <w:pPr>
        <w:widowControl/>
        <w:rPr>
          <w:rFonts w:ascii="Arial" w:hAnsi="Arial" w:cs="Arial"/>
        </w:rPr>
      </w:pPr>
      <w:r>
        <w:rPr>
          <w:rFonts w:hint="eastAsia" w:ascii="Arial" w:hAnsi="Arial" w:cs="Arial"/>
        </w:rPr>
        <w:t>Reference</w:t>
      </w:r>
    </w:p>
    <w:p w14:paraId="40A3A4A7">
      <w:pPr>
        <w:widowControl/>
        <w:jc w:val="left"/>
        <w:rPr>
          <w:rFonts w:ascii="Arial" w:hAnsi="Arial" w:cs="Arial"/>
        </w:rPr>
      </w:pPr>
    </w:p>
    <w:p w14:paraId="5AEEDAA4">
      <w:pPr>
        <w:widowControl/>
        <w:rPr>
          <w:rFonts w:ascii="Arial" w:hAnsi="Arial" w:cs="Arial"/>
          <w:b/>
          <w:bCs/>
        </w:rPr>
      </w:pPr>
      <w:r>
        <w:rPr>
          <w:rFonts w:hint="eastAsia" w:ascii="Arial" w:hAnsi="Arial" w:cs="Arial"/>
          <w:b/>
          <w:bCs/>
        </w:rPr>
        <w:t>The following supplementary materials are provided by independent files:</w:t>
      </w:r>
    </w:p>
    <w:p w14:paraId="73151841">
      <w:pPr>
        <w:widowControl/>
        <w:rPr>
          <w:rFonts w:ascii="Arial" w:hAnsi="Arial" w:cs="Arial"/>
        </w:rPr>
      </w:pPr>
      <w:r>
        <w:rPr>
          <w:rFonts w:hint="eastAsia" w:ascii="Arial" w:hAnsi="Arial" w:cs="Arial"/>
        </w:rPr>
        <w:t>Table S4 to S6</w:t>
      </w:r>
    </w:p>
    <w:p w14:paraId="0158B58D">
      <w:pPr>
        <w:widowControl/>
        <w:jc w:val="left"/>
        <w:rPr>
          <w:rFonts w:ascii="Arial" w:hAnsi="Arial" w:cs="Arial"/>
        </w:rPr>
      </w:pPr>
      <w:r>
        <w:rPr>
          <w:rFonts w:ascii="Arial" w:hAnsi="Arial" w:cs="Arial"/>
          <w:b/>
          <w:bCs/>
        </w:rPr>
        <w:br w:type="page"/>
      </w:r>
    </w:p>
    <w:p w14:paraId="1B87CEF6">
      <w:pPr>
        <w:rPr>
          <w:rFonts w:ascii="Arial" w:hAnsi="Arial" w:cs="Arial"/>
          <w:b/>
          <w:bCs/>
        </w:rPr>
      </w:pPr>
      <w:r>
        <w:rPr>
          <w:rFonts w:ascii="Arial" w:hAnsi="Arial" w:cs="Arial"/>
          <w:b/>
          <w:bCs/>
        </w:rPr>
        <w:t xml:space="preserve">Table </w:t>
      </w:r>
      <w:r>
        <w:rPr>
          <w:rFonts w:hint="eastAsia" w:ascii="Arial" w:hAnsi="Arial" w:cs="Arial"/>
          <w:b/>
          <w:bCs/>
        </w:rPr>
        <w:t>S</w:t>
      </w:r>
      <w:r>
        <w:rPr>
          <w:rFonts w:ascii="Arial" w:hAnsi="Arial" w:cs="Arial"/>
          <w:b/>
          <w:bCs/>
        </w:rPr>
        <w:t>1: A summary of well-established first-generation methylation clocks for age prediction</w:t>
      </w:r>
    </w:p>
    <w:p w14:paraId="6BFEF368">
      <w:pPr>
        <w:jc w:val="left"/>
        <w:rPr>
          <w:rFonts w:ascii="Arial" w:hAnsi="Arial" w:cs="Aria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5"/>
        <w:gridCol w:w="1098"/>
        <w:gridCol w:w="1103"/>
        <w:gridCol w:w="2020"/>
        <w:gridCol w:w="1486"/>
      </w:tblGrid>
      <w:tr w14:paraId="3AA8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single" w:color="auto" w:sz="8" w:space="0"/>
              <w:left w:val="nil"/>
              <w:bottom w:val="single" w:color="auto" w:sz="8" w:space="0"/>
              <w:right w:val="nil"/>
            </w:tcBorders>
            <w:vAlign w:val="center"/>
          </w:tcPr>
          <w:p w14:paraId="0B7B9D32">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Clock</w:t>
            </w:r>
            <w:r>
              <w:rPr>
                <w:rFonts w:hint="eastAsia" w:ascii="Arial" w:hAnsi="Arial" w:eastAsia="宋体" w:cs="Arial"/>
                <w:b/>
                <w:bCs/>
                <w:kern w:val="0"/>
                <w:sz w:val="22"/>
                <w:szCs w:val="22"/>
                <w14:ligatures w14:val="none"/>
              </w:rPr>
              <w:t xml:space="preserve"> Reference</w:t>
            </w:r>
          </w:p>
        </w:tc>
        <w:tc>
          <w:tcPr>
            <w:tcW w:w="644" w:type="pct"/>
            <w:tcBorders>
              <w:top w:val="single" w:color="auto" w:sz="8" w:space="0"/>
              <w:left w:val="nil"/>
              <w:bottom w:val="single" w:color="auto" w:sz="8" w:space="0"/>
              <w:right w:val="nil"/>
            </w:tcBorders>
            <w:vAlign w:val="center"/>
          </w:tcPr>
          <w:p w14:paraId="204A3446">
            <w:pPr>
              <w:jc w:val="center"/>
              <w:rPr>
                <w:rFonts w:ascii="Arial" w:hAnsi="Arial" w:eastAsia="宋体" w:cs="Arial"/>
                <w:kern w:val="0"/>
                <w:sz w:val="22"/>
                <w:szCs w:val="22"/>
                <w14:ligatures w14:val="none"/>
              </w:rPr>
            </w:pPr>
            <w:r>
              <w:rPr>
                <w:rFonts w:ascii="Arial" w:hAnsi="Arial" w:eastAsia="宋体" w:cs="Arial"/>
                <w:b/>
                <w:bCs/>
                <w:kern w:val="0"/>
                <w:sz w:val="22"/>
                <w:szCs w:val="22"/>
                <w14:ligatures w14:val="none"/>
              </w:rPr>
              <w:t>CpGs</w:t>
            </w:r>
          </w:p>
        </w:tc>
        <w:tc>
          <w:tcPr>
            <w:tcW w:w="647" w:type="pct"/>
            <w:tcBorders>
              <w:top w:val="single" w:color="auto" w:sz="8" w:space="0"/>
              <w:left w:val="nil"/>
              <w:bottom w:val="single" w:color="auto" w:sz="8" w:space="0"/>
              <w:right w:val="nil"/>
            </w:tcBorders>
            <w:vAlign w:val="center"/>
          </w:tcPr>
          <w:p w14:paraId="59C4223E">
            <w:pPr>
              <w:jc w:val="center"/>
              <w:rPr>
                <w:rFonts w:ascii="Arial" w:hAnsi="Arial" w:eastAsia="宋体" w:cs="Arial"/>
                <w:kern w:val="0"/>
                <w:sz w:val="22"/>
                <w:szCs w:val="22"/>
                <w14:ligatures w14:val="none"/>
              </w:rPr>
            </w:pPr>
            <w:r>
              <w:rPr>
                <w:rFonts w:ascii="Arial" w:hAnsi="Arial" w:eastAsia="宋体" w:cs="Arial"/>
                <w:b/>
                <w:bCs/>
                <w:kern w:val="0"/>
                <w:sz w:val="22"/>
                <w:szCs w:val="22"/>
                <w14:ligatures w14:val="none"/>
              </w:rPr>
              <w:t>Sample</w:t>
            </w:r>
          </w:p>
        </w:tc>
        <w:tc>
          <w:tcPr>
            <w:tcW w:w="1185" w:type="pct"/>
            <w:tcBorders>
              <w:top w:val="single" w:color="auto" w:sz="8" w:space="0"/>
              <w:left w:val="nil"/>
              <w:bottom w:val="single" w:color="auto" w:sz="8" w:space="0"/>
              <w:right w:val="nil"/>
            </w:tcBorders>
            <w:vAlign w:val="center"/>
          </w:tcPr>
          <w:p w14:paraId="546282EF">
            <w:pPr>
              <w:jc w:val="center"/>
              <w:rPr>
                <w:rFonts w:ascii="Arial" w:hAnsi="Arial" w:eastAsia="宋体" w:cs="Arial"/>
                <w:kern w:val="0"/>
                <w:sz w:val="22"/>
                <w:szCs w:val="22"/>
                <w14:ligatures w14:val="none"/>
              </w:rPr>
            </w:pPr>
            <w:r>
              <w:rPr>
                <w:rFonts w:ascii="Arial" w:hAnsi="Arial" w:eastAsia="宋体" w:cs="Arial"/>
                <w:b/>
                <w:bCs/>
                <w:kern w:val="0"/>
                <w:sz w:val="22"/>
                <w:szCs w:val="22"/>
                <w14:ligatures w14:val="none"/>
              </w:rPr>
              <w:t>Tissue</w:t>
            </w:r>
          </w:p>
        </w:tc>
        <w:tc>
          <w:tcPr>
            <w:tcW w:w="872" w:type="pct"/>
            <w:tcBorders>
              <w:top w:val="single" w:color="auto" w:sz="8" w:space="0"/>
              <w:left w:val="nil"/>
              <w:bottom w:val="single" w:color="auto" w:sz="8" w:space="0"/>
              <w:right w:val="nil"/>
            </w:tcBorders>
            <w:vAlign w:val="center"/>
          </w:tcPr>
          <w:p w14:paraId="6245DF91">
            <w:pPr>
              <w:jc w:val="center"/>
              <w:rPr>
                <w:rFonts w:ascii="Arial" w:hAnsi="Arial" w:eastAsia="宋体" w:cs="Arial"/>
                <w:kern w:val="0"/>
                <w:sz w:val="22"/>
                <w:szCs w:val="22"/>
                <w14:ligatures w14:val="none"/>
              </w:rPr>
            </w:pPr>
            <w:r>
              <w:rPr>
                <w:rFonts w:ascii="Arial" w:hAnsi="Arial" w:eastAsia="宋体" w:cs="Arial"/>
                <w:b/>
                <w:bCs/>
                <w:kern w:val="0"/>
                <w:sz w:val="22"/>
                <w:szCs w:val="22"/>
                <w14:ligatures w14:val="none"/>
              </w:rPr>
              <w:t>MAE</w:t>
            </w:r>
          </w:p>
        </w:tc>
      </w:tr>
      <w:tr w14:paraId="5710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single" w:color="auto" w:sz="8" w:space="0"/>
              <w:left w:val="nil"/>
              <w:bottom w:val="nil"/>
              <w:right w:val="nil"/>
            </w:tcBorders>
            <w:vAlign w:val="center"/>
          </w:tcPr>
          <w:p w14:paraId="6C08352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Bocklandt,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2011</w:t>
            </w:r>
          </w:p>
        </w:tc>
        <w:tc>
          <w:tcPr>
            <w:tcW w:w="644" w:type="pct"/>
            <w:tcBorders>
              <w:top w:val="single" w:color="auto" w:sz="8" w:space="0"/>
              <w:left w:val="nil"/>
              <w:bottom w:val="nil"/>
              <w:right w:val="nil"/>
            </w:tcBorders>
            <w:vAlign w:val="center"/>
          </w:tcPr>
          <w:p w14:paraId="11EB2E6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2</w:t>
            </w:r>
          </w:p>
        </w:tc>
        <w:tc>
          <w:tcPr>
            <w:tcW w:w="647" w:type="pct"/>
            <w:tcBorders>
              <w:top w:val="single" w:color="auto" w:sz="8" w:space="0"/>
              <w:left w:val="nil"/>
              <w:bottom w:val="nil"/>
              <w:right w:val="nil"/>
            </w:tcBorders>
            <w:vAlign w:val="center"/>
          </w:tcPr>
          <w:p w14:paraId="065FB8D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62</w:t>
            </w:r>
          </w:p>
        </w:tc>
        <w:tc>
          <w:tcPr>
            <w:tcW w:w="1185" w:type="pct"/>
            <w:tcBorders>
              <w:top w:val="single" w:color="auto" w:sz="8" w:space="0"/>
              <w:left w:val="nil"/>
              <w:bottom w:val="nil"/>
              <w:right w:val="nil"/>
            </w:tcBorders>
            <w:vAlign w:val="center"/>
          </w:tcPr>
          <w:p w14:paraId="2142523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Saliva</w:t>
            </w:r>
          </w:p>
        </w:tc>
        <w:tc>
          <w:tcPr>
            <w:tcW w:w="872" w:type="pct"/>
            <w:tcBorders>
              <w:top w:val="single" w:color="auto" w:sz="8" w:space="0"/>
              <w:left w:val="nil"/>
              <w:bottom w:val="nil"/>
              <w:right w:val="nil"/>
            </w:tcBorders>
            <w:vAlign w:val="center"/>
          </w:tcPr>
          <w:p w14:paraId="0858E07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5.2</w:t>
            </w:r>
          </w:p>
        </w:tc>
      </w:tr>
      <w:tr w14:paraId="55AA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2D0E110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Koch &amp; Wagner. 2011</w:t>
            </w:r>
          </w:p>
        </w:tc>
        <w:tc>
          <w:tcPr>
            <w:tcW w:w="644" w:type="pct"/>
            <w:tcBorders>
              <w:top w:val="nil"/>
              <w:left w:val="nil"/>
              <w:bottom w:val="nil"/>
              <w:right w:val="nil"/>
            </w:tcBorders>
            <w:vAlign w:val="center"/>
          </w:tcPr>
          <w:p w14:paraId="0FB1048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5</w:t>
            </w:r>
          </w:p>
        </w:tc>
        <w:tc>
          <w:tcPr>
            <w:tcW w:w="647" w:type="pct"/>
            <w:tcBorders>
              <w:top w:val="nil"/>
              <w:left w:val="nil"/>
              <w:bottom w:val="nil"/>
              <w:right w:val="nil"/>
            </w:tcBorders>
            <w:vAlign w:val="center"/>
          </w:tcPr>
          <w:p w14:paraId="1506881B">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130</w:t>
            </w:r>
          </w:p>
        </w:tc>
        <w:tc>
          <w:tcPr>
            <w:tcW w:w="1185" w:type="pct"/>
            <w:tcBorders>
              <w:top w:val="nil"/>
              <w:left w:val="nil"/>
              <w:bottom w:val="nil"/>
              <w:right w:val="nil"/>
            </w:tcBorders>
            <w:vAlign w:val="center"/>
          </w:tcPr>
          <w:p w14:paraId="36A032F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Multiple Tissues</w:t>
            </w:r>
          </w:p>
        </w:tc>
        <w:tc>
          <w:tcPr>
            <w:tcW w:w="872" w:type="pct"/>
            <w:tcBorders>
              <w:top w:val="nil"/>
              <w:left w:val="nil"/>
              <w:bottom w:val="nil"/>
              <w:right w:val="nil"/>
            </w:tcBorders>
            <w:vAlign w:val="center"/>
          </w:tcPr>
          <w:p w14:paraId="3AD0590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12.7</w:t>
            </w:r>
          </w:p>
        </w:tc>
      </w:tr>
      <w:tr w14:paraId="2F3F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1885FDD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Hannum,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2013</w:t>
            </w:r>
          </w:p>
        </w:tc>
        <w:tc>
          <w:tcPr>
            <w:tcW w:w="644" w:type="pct"/>
            <w:tcBorders>
              <w:top w:val="nil"/>
              <w:left w:val="nil"/>
              <w:bottom w:val="nil"/>
              <w:right w:val="nil"/>
            </w:tcBorders>
            <w:vAlign w:val="center"/>
          </w:tcPr>
          <w:p w14:paraId="6768B4F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71</w:t>
            </w:r>
          </w:p>
        </w:tc>
        <w:tc>
          <w:tcPr>
            <w:tcW w:w="647" w:type="pct"/>
            <w:tcBorders>
              <w:top w:val="nil"/>
              <w:left w:val="nil"/>
              <w:bottom w:val="nil"/>
              <w:right w:val="nil"/>
            </w:tcBorders>
            <w:vAlign w:val="center"/>
          </w:tcPr>
          <w:p w14:paraId="36F4467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482</w:t>
            </w:r>
          </w:p>
        </w:tc>
        <w:tc>
          <w:tcPr>
            <w:tcW w:w="1185" w:type="pct"/>
            <w:tcBorders>
              <w:top w:val="nil"/>
              <w:left w:val="nil"/>
              <w:bottom w:val="nil"/>
              <w:right w:val="nil"/>
            </w:tcBorders>
            <w:vAlign w:val="center"/>
          </w:tcPr>
          <w:p w14:paraId="54404D6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872" w:type="pct"/>
            <w:tcBorders>
              <w:top w:val="nil"/>
              <w:left w:val="nil"/>
              <w:bottom w:val="nil"/>
              <w:right w:val="nil"/>
            </w:tcBorders>
            <w:vAlign w:val="center"/>
          </w:tcPr>
          <w:p w14:paraId="41E619CC">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4.9</w:t>
            </w:r>
          </w:p>
        </w:tc>
      </w:tr>
      <w:tr w14:paraId="2B96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42DCE96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Horvath. 2013</w:t>
            </w:r>
          </w:p>
        </w:tc>
        <w:tc>
          <w:tcPr>
            <w:tcW w:w="644" w:type="pct"/>
            <w:tcBorders>
              <w:top w:val="nil"/>
              <w:left w:val="nil"/>
              <w:bottom w:val="nil"/>
              <w:right w:val="nil"/>
            </w:tcBorders>
            <w:vAlign w:val="center"/>
          </w:tcPr>
          <w:p w14:paraId="2FF2A953">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353</w:t>
            </w:r>
          </w:p>
        </w:tc>
        <w:tc>
          <w:tcPr>
            <w:tcW w:w="647" w:type="pct"/>
            <w:tcBorders>
              <w:top w:val="nil"/>
              <w:left w:val="nil"/>
              <w:bottom w:val="nil"/>
              <w:right w:val="nil"/>
            </w:tcBorders>
            <w:vAlign w:val="center"/>
          </w:tcPr>
          <w:p w14:paraId="0B56A2A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8,000</w:t>
            </w:r>
          </w:p>
        </w:tc>
        <w:tc>
          <w:tcPr>
            <w:tcW w:w="1185" w:type="pct"/>
            <w:tcBorders>
              <w:top w:val="nil"/>
              <w:left w:val="nil"/>
              <w:bottom w:val="nil"/>
              <w:right w:val="nil"/>
            </w:tcBorders>
            <w:vAlign w:val="center"/>
          </w:tcPr>
          <w:p w14:paraId="15A9CD4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Multiple Tissues</w:t>
            </w:r>
          </w:p>
        </w:tc>
        <w:tc>
          <w:tcPr>
            <w:tcW w:w="872" w:type="pct"/>
            <w:tcBorders>
              <w:top w:val="nil"/>
              <w:left w:val="nil"/>
              <w:bottom w:val="nil"/>
              <w:right w:val="nil"/>
            </w:tcBorders>
            <w:vAlign w:val="center"/>
          </w:tcPr>
          <w:p w14:paraId="2E35385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3.6</w:t>
            </w:r>
          </w:p>
        </w:tc>
      </w:tr>
      <w:tr w14:paraId="2CDC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49D95E9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Weidner,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2014</w:t>
            </w:r>
          </w:p>
        </w:tc>
        <w:tc>
          <w:tcPr>
            <w:tcW w:w="644" w:type="pct"/>
            <w:tcBorders>
              <w:top w:val="nil"/>
              <w:left w:val="nil"/>
              <w:bottom w:val="nil"/>
              <w:right w:val="nil"/>
            </w:tcBorders>
            <w:vAlign w:val="center"/>
          </w:tcPr>
          <w:p w14:paraId="330EA59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102 / 3</w:t>
            </w:r>
          </w:p>
        </w:tc>
        <w:tc>
          <w:tcPr>
            <w:tcW w:w="647" w:type="pct"/>
            <w:tcBorders>
              <w:top w:val="nil"/>
              <w:left w:val="nil"/>
              <w:bottom w:val="nil"/>
              <w:right w:val="nil"/>
            </w:tcBorders>
            <w:vAlign w:val="center"/>
          </w:tcPr>
          <w:p w14:paraId="53F275E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575</w:t>
            </w:r>
          </w:p>
        </w:tc>
        <w:tc>
          <w:tcPr>
            <w:tcW w:w="1185" w:type="pct"/>
            <w:tcBorders>
              <w:top w:val="nil"/>
              <w:left w:val="nil"/>
              <w:bottom w:val="nil"/>
              <w:right w:val="nil"/>
            </w:tcBorders>
            <w:vAlign w:val="center"/>
          </w:tcPr>
          <w:p w14:paraId="17A3058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872" w:type="pct"/>
            <w:tcBorders>
              <w:top w:val="nil"/>
              <w:left w:val="nil"/>
              <w:bottom w:val="nil"/>
              <w:right w:val="nil"/>
            </w:tcBorders>
            <w:vAlign w:val="center"/>
          </w:tcPr>
          <w:p w14:paraId="6417CC4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3.34 / 5.43</w:t>
            </w:r>
          </w:p>
        </w:tc>
      </w:tr>
      <w:tr w14:paraId="53C9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1F9023AC">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Lin,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2016</w:t>
            </w:r>
          </w:p>
        </w:tc>
        <w:tc>
          <w:tcPr>
            <w:tcW w:w="644" w:type="pct"/>
            <w:tcBorders>
              <w:top w:val="nil"/>
              <w:left w:val="nil"/>
              <w:bottom w:val="nil"/>
              <w:right w:val="nil"/>
            </w:tcBorders>
            <w:vAlign w:val="center"/>
          </w:tcPr>
          <w:p w14:paraId="77B53FD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99 / 3</w:t>
            </w:r>
          </w:p>
        </w:tc>
        <w:tc>
          <w:tcPr>
            <w:tcW w:w="647" w:type="pct"/>
            <w:tcBorders>
              <w:top w:val="nil"/>
              <w:left w:val="nil"/>
              <w:bottom w:val="nil"/>
              <w:right w:val="nil"/>
            </w:tcBorders>
            <w:vAlign w:val="center"/>
          </w:tcPr>
          <w:p w14:paraId="7F5EB55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1,659</w:t>
            </w:r>
          </w:p>
        </w:tc>
        <w:tc>
          <w:tcPr>
            <w:tcW w:w="1185" w:type="pct"/>
            <w:tcBorders>
              <w:top w:val="nil"/>
              <w:left w:val="nil"/>
              <w:bottom w:val="nil"/>
              <w:right w:val="nil"/>
            </w:tcBorders>
            <w:vAlign w:val="center"/>
          </w:tcPr>
          <w:p w14:paraId="6F60B76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872" w:type="pct"/>
            <w:tcBorders>
              <w:top w:val="nil"/>
              <w:left w:val="nil"/>
              <w:bottom w:val="nil"/>
              <w:right w:val="nil"/>
            </w:tcBorders>
            <w:vAlign w:val="center"/>
          </w:tcPr>
          <w:p w14:paraId="6C69E08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3.45 / 10.9</w:t>
            </w:r>
          </w:p>
        </w:tc>
      </w:tr>
      <w:tr w14:paraId="7DAD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77388BF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Horvath,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2018</w:t>
            </w:r>
          </w:p>
        </w:tc>
        <w:tc>
          <w:tcPr>
            <w:tcW w:w="644" w:type="pct"/>
            <w:tcBorders>
              <w:top w:val="nil"/>
              <w:left w:val="nil"/>
              <w:bottom w:val="nil"/>
              <w:right w:val="nil"/>
            </w:tcBorders>
            <w:vAlign w:val="center"/>
          </w:tcPr>
          <w:p w14:paraId="4F5DA6A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391</w:t>
            </w:r>
          </w:p>
        </w:tc>
        <w:tc>
          <w:tcPr>
            <w:tcW w:w="647" w:type="pct"/>
            <w:tcBorders>
              <w:top w:val="nil"/>
              <w:left w:val="nil"/>
              <w:bottom w:val="nil"/>
              <w:right w:val="nil"/>
            </w:tcBorders>
            <w:vAlign w:val="center"/>
          </w:tcPr>
          <w:p w14:paraId="56CED8C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896</w:t>
            </w:r>
          </w:p>
        </w:tc>
        <w:tc>
          <w:tcPr>
            <w:tcW w:w="1185" w:type="pct"/>
            <w:tcBorders>
              <w:top w:val="nil"/>
              <w:left w:val="nil"/>
              <w:bottom w:val="nil"/>
              <w:right w:val="nil"/>
            </w:tcBorders>
            <w:vAlign w:val="center"/>
          </w:tcPr>
          <w:p w14:paraId="585F96D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Multiple Tissues</w:t>
            </w:r>
          </w:p>
        </w:tc>
        <w:tc>
          <w:tcPr>
            <w:tcW w:w="872" w:type="pct"/>
            <w:tcBorders>
              <w:top w:val="nil"/>
              <w:left w:val="nil"/>
              <w:bottom w:val="nil"/>
              <w:right w:val="nil"/>
            </w:tcBorders>
            <w:vAlign w:val="center"/>
          </w:tcPr>
          <w:p w14:paraId="662AD80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Different</w:t>
            </w:r>
          </w:p>
        </w:tc>
      </w:tr>
      <w:tr w14:paraId="34A8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nil"/>
              <w:right w:val="nil"/>
            </w:tcBorders>
            <w:vAlign w:val="center"/>
          </w:tcPr>
          <w:p w14:paraId="76B27E63">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Zhang,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2019</w:t>
            </w:r>
          </w:p>
        </w:tc>
        <w:tc>
          <w:tcPr>
            <w:tcW w:w="644" w:type="pct"/>
            <w:tcBorders>
              <w:top w:val="nil"/>
              <w:left w:val="nil"/>
              <w:bottom w:val="nil"/>
              <w:right w:val="nil"/>
            </w:tcBorders>
            <w:vAlign w:val="center"/>
          </w:tcPr>
          <w:p w14:paraId="38A7826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514</w:t>
            </w:r>
          </w:p>
        </w:tc>
        <w:tc>
          <w:tcPr>
            <w:tcW w:w="647" w:type="pct"/>
            <w:tcBorders>
              <w:top w:val="nil"/>
              <w:left w:val="nil"/>
              <w:bottom w:val="nil"/>
              <w:right w:val="nil"/>
            </w:tcBorders>
            <w:vAlign w:val="center"/>
          </w:tcPr>
          <w:p w14:paraId="0D421BDC">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13,661</w:t>
            </w:r>
          </w:p>
        </w:tc>
        <w:tc>
          <w:tcPr>
            <w:tcW w:w="1185" w:type="pct"/>
            <w:tcBorders>
              <w:top w:val="nil"/>
              <w:left w:val="nil"/>
              <w:bottom w:val="nil"/>
              <w:right w:val="nil"/>
            </w:tcBorders>
            <w:vAlign w:val="center"/>
          </w:tcPr>
          <w:p w14:paraId="3C337F1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 &amp; Saliva</w:t>
            </w:r>
          </w:p>
        </w:tc>
        <w:tc>
          <w:tcPr>
            <w:tcW w:w="872" w:type="pct"/>
            <w:tcBorders>
              <w:top w:val="nil"/>
              <w:left w:val="nil"/>
              <w:bottom w:val="nil"/>
              <w:right w:val="nil"/>
            </w:tcBorders>
            <w:vAlign w:val="center"/>
          </w:tcPr>
          <w:p w14:paraId="1EA0849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2.04</w:t>
            </w:r>
          </w:p>
        </w:tc>
      </w:tr>
      <w:tr w14:paraId="2722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op w:val="nil"/>
              <w:left w:val="nil"/>
              <w:bottom w:val="single" w:color="auto" w:sz="8" w:space="0"/>
              <w:right w:val="nil"/>
            </w:tcBorders>
            <w:vAlign w:val="center"/>
          </w:tcPr>
          <w:p w14:paraId="2DEF463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 xml:space="preserve">McEwen, </w:t>
            </w:r>
            <w:r>
              <w:rPr>
                <w:rFonts w:ascii="Arial" w:hAnsi="Arial" w:eastAsia="宋体" w:cs="Arial"/>
                <w:i/>
                <w:iCs/>
                <w:kern w:val="0"/>
                <w:sz w:val="22"/>
                <w:szCs w:val="22"/>
                <w14:ligatures w14:val="none"/>
              </w:rPr>
              <w:t>et al</w:t>
            </w:r>
            <w:r>
              <w:rPr>
                <w:rFonts w:ascii="Arial" w:hAnsi="Arial" w:eastAsia="宋体" w:cs="Arial"/>
                <w:kern w:val="0"/>
                <w:sz w:val="22"/>
                <w:szCs w:val="22"/>
                <w14:ligatures w14:val="none"/>
              </w:rPr>
              <w:t>. 2019</w:t>
            </w:r>
          </w:p>
        </w:tc>
        <w:tc>
          <w:tcPr>
            <w:tcW w:w="644" w:type="pct"/>
            <w:tcBorders>
              <w:top w:val="nil"/>
              <w:left w:val="nil"/>
              <w:bottom w:val="single" w:color="auto" w:sz="8" w:space="0"/>
              <w:right w:val="nil"/>
            </w:tcBorders>
            <w:vAlign w:val="center"/>
          </w:tcPr>
          <w:p w14:paraId="4F65A48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94</w:t>
            </w:r>
          </w:p>
        </w:tc>
        <w:tc>
          <w:tcPr>
            <w:tcW w:w="647" w:type="pct"/>
            <w:tcBorders>
              <w:top w:val="nil"/>
              <w:left w:val="nil"/>
              <w:bottom w:val="single" w:color="auto" w:sz="8" w:space="0"/>
              <w:right w:val="nil"/>
            </w:tcBorders>
            <w:vAlign w:val="center"/>
          </w:tcPr>
          <w:p w14:paraId="096625F1">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1,032</w:t>
            </w:r>
          </w:p>
        </w:tc>
        <w:tc>
          <w:tcPr>
            <w:tcW w:w="1185" w:type="pct"/>
            <w:tcBorders>
              <w:top w:val="nil"/>
              <w:left w:val="nil"/>
              <w:bottom w:val="single" w:color="auto" w:sz="8" w:space="0"/>
              <w:right w:val="nil"/>
            </w:tcBorders>
            <w:vAlign w:val="center"/>
          </w:tcPr>
          <w:p w14:paraId="2ECA3FE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Buccal Cell</w:t>
            </w:r>
          </w:p>
        </w:tc>
        <w:tc>
          <w:tcPr>
            <w:tcW w:w="872" w:type="pct"/>
            <w:tcBorders>
              <w:top w:val="nil"/>
              <w:left w:val="nil"/>
              <w:bottom w:val="single" w:color="auto" w:sz="8" w:space="0"/>
              <w:right w:val="nil"/>
            </w:tcBorders>
            <w:vAlign w:val="center"/>
          </w:tcPr>
          <w:p w14:paraId="20035BD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0.35</w:t>
            </w:r>
          </w:p>
        </w:tc>
      </w:tr>
    </w:tbl>
    <w:p w14:paraId="3B2ED179">
      <w:pPr>
        <w:rPr>
          <w:rFonts w:ascii="Arial" w:hAnsi="Arial" w:cs="Arial"/>
        </w:rPr>
      </w:pPr>
    </w:p>
    <w:p w14:paraId="2010DD2D">
      <w:pPr>
        <w:rPr>
          <w:rFonts w:ascii="Arial" w:hAnsi="Arial" w:cs="Arial"/>
        </w:rPr>
      </w:pPr>
      <w:r>
        <w:rPr>
          <w:rFonts w:ascii="Arial" w:hAnsi="Arial" w:cs="Arial"/>
        </w:rPr>
        <w:t xml:space="preserve">MAE: Mean absolute error (years). </w:t>
      </w:r>
      <w:r>
        <w:rPr>
          <w:rFonts w:hint="eastAsia" w:ascii="Arial" w:hAnsi="Arial" w:cs="Arial"/>
        </w:rPr>
        <w:t xml:space="preserve">The </w:t>
      </w:r>
      <w:r>
        <w:rPr>
          <w:rFonts w:ascii="Arial" w:hAnsi="Arial" w:cs="Arial"/>
        </w:rPr>
        <w:t xml:space="preserve">first author (or both authors connected by </w:t>
      </w:r>
      <w:r>
        <w:rPr>
          <w:rFonts w:hint="eastAsia" w:ascii="Arial" w:hAnsi="Arial" w:cs="Arial"/>
        </w:rPr>
        <w:t>an ampersand</w:t>
      </w:r>
      <w:r>
        <w:rPr>
          <w:rFonts w:ascii="Arial" w:hAnsi="Arial" w:cs="Arial"/>
        </w:rPr>
        <w:t xml:space="preserve"> if there were only two) and year of publication </w:t>
      </w:r>
      <w:r>
        <w:rPr>
          <w:rFonts w:hint="eastAsia" w:ascii="Arial" w:hAnsi="Arial" w:cs="Arial"/>
        </w:rPr>
        <w:t xml:space="preserve">are used to represent </w:t>
      </w:r>
      <w:r>
        <w:rPr>
          <w:rFonts w:ascii="Arial" w:hAnsi="Arial" w:cs="Arial"/>
        </w:rPr>
        <w:t>th</w:t>
      </w:r>
      <w:r>
        <w:rPr>
          <w:rFonts w:hint="eastAsia" w:ascii="Arial" w:hAnsi="Arial" w:cs="Arial"/>
        </w:rPr>
        <w:t xml:space="preserve">e </w:t>
      </w:r>
      <w:r>
        <w:rPr>
          <w:rFonts w:ascii="Arial" w:hAnsi="Arial" w:cs="Arial"/>
        </w:rPr>
        <w:t xml:space="preserve">corresponding references. “Different” in “MAE” column represents that MAE is different among tissues. Certain references have described more than one methylation clocks, whose CpGs and MAE are distinguished using </w:t>
      </w:r>
      <w:r>
        <w:rPr>
          <w:rFonts w:hint="eastAsia" w:ascii="Arial" w:hAnsi="Arial" w:cs="Arial"/>
        </w:rPr>
        <w:t>slashes</w:t>
      </w:r>
      <w:r>
        <w:rPr>
          <w:rFonts w:ascii="Arial" w:hAnsi="Arial" w:cs="Arial"/>
        </w:rPr>
        <w:t>.</w:t>
      </w:r>
    </w:p>
    <w:p w14:paraId="7AC9302E">
      <w:pPr>
        <w:widowControl/>
        <w:jc w:val="left"/>
        <w:rPr>
          <w:rFonts w:ascii="Arial" w:hAnsi="Arial" w:cs="Arial"/>
        </w:rPr>
      </w:pPr>
      <w:r>
        <w:rPr>
          <w:rFonts w:ascii="Arial" w:hAnsi="Arial" w:cs="Arial"/>
        </w:rPr>
        <w:br w:type="page"/>
      </w:r>
    </w:p>
    <w:p w14:paraId="2930318C">
      <w:pPr>
        <w:widowControl/>
        <w:rPr>
          <w:rFonts w:ascii="Arial" w:hAnsi="Arial" w:cs="Arial"/>
        </w:rPr>
      </w:pPr>
      <w:r>
        <w:rPr>
          <w:rFonts w:ascii="Arial" w:hAnsi="Arial" w:cs="Arial"/>
          <w:b/>
          <w:bCs/>
        </w:rPr>
        <w:t>Table S2: A summary of several novel epigenetic biomarkers combining second-generation methylation clocks and other measures</w:t>
      </w:r>
    </w:p>
    <w:p w14:paraId="0FE6D9CA">
      <w:pPr>
        <w:widowControl/>
        <w:jc w:val="left"/>
        <w:rPr>
          <w:rFonts w:ascii="Arial" w:hAnsi="Arial" w:cs="Aria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866"/>
        <w:gridCol w:w="1075"/>
        <w:gridCol w:w="1176"/>
        <w:gridCol w:w="3215"/>
      </w:tblGrid>
      <w:tr w14:paraId="2193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Borders>
              <w:top w:val="single" w:color="auto" w:sz="8" w:space="0"/>
              <w:left w:val="nil"/>
              <w:bottom w:val="single" w:color="auto" w:sz="8" w:space="0"/>
              <w:right w:val="nil"/>
            </w:tcBorders>
            <w:vAlign w:val="center"/>
          </w:tcPr>
          <w:p w14:paraId="620EA3AB">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Biomarker</w:t>
            </w:r>
          </w:p>
        </w:tc>
        <w:tc>
          <w:tcPr>
            <w:tcW w:w="508" w:type="pct"/>
            <w:tcBorders>
              <w:top w:val="single" w:color="auto" w:sz="8" w:space="0"/>
              <w:left w:val="nil"/>
              <w:bottom w:val="single" w:color="auto" w:sz="8" w:space="0"/>
              <w:right w:val="nil"/>
            </w:tcBorders>
            <w:vAlign w:val="center"/>
          </w:tcPr>
          <w:p w14:paraId="66A9B814">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CpGs</w:t>
            </w:r>
          </w:p>
        </w:tc>
        <w:tc>
          <w:tcPr>
            <w:tcW w:w="631" w:type="pct"/>
            <w:tcBorders>
              <w:top w:val="single" w:color="auto" w:sz="8" w:space="0"/>
              <w:left w:val="nil"/>
              <w:bottom w:val="single" w:color="auto" w:sz="8" w:space="0"/>
              <w:right w:val="nil"/>
            </w:tcBorders>
            <w:vAlign w:val="center"/>
          </w:tcPr>
          <w:p w14:paraId="1807B2C1">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Sample</w:t>
            </w:r>
          </w:p>
        </w:tc>
        <w:tc>
          <w:tcPr>
            <w:tcW w:w="690" w:type="pct"/>
            <w:tcBorders>
              <w:top w:val="single" w:color="auto" w:sz="8" w:space="0"/>
              <w:left w:val="nil"/>
              <w:bottom w:val="single" w:color="auto" w:sz="8" w:space="0"/>
              <w:right w:val="nil"/>
            </w:tcBorders>
            <w:vAlign w:val="center"/>
          </w:tcPr>
          <w:p w14:paraId="7A6167A2">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Tissue</w:t>
            </w:r>
          </w:p>
        </w:tc>
        <w:tc>
          <w:tcPr>
            <w:tcW w:w="1887" w:type="pct"/>
            <w:tcBorders>
              <w:top w:val="single" w:color="auto" w:sz="8" w:space="0"/>
              <w:left w:val="nil"/>
              <w:bottom w:val="single" w:color="auto" w:sz="8" w:space="0"/>
              <w:right w:val="nil"/>
            </w:tcBorders>
            <w:vAlign w:val="center"/>
          </w:tcPr>
          <w:p w14:paraId="05D1A3AC">
            <w:pPr>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Combination</w:t>
            </w:r>
          </w:p>
        </w:tc>
      </w:tr>
      <w:tr w14:paraId="09D8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85" w:type="pct"/>
            <w:tcBorders>
              <w:top w:val="single" w:color="auto" w:sz="8" w:space="0"/>
              <w:left w:val="nil"/>
              <w:bottom w:val="nil"/>
              <w:right w:val="nil"/>
            </w:tcBorders>
            <w:vAlign w:val="center"/>
          </w:tcPr>
          <w:p w14:paraId="24F4E8D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DNAm PhenoAge</w:t>
            </w:r>
          </w:p>
        </w:tc>
        <w:tc>
          <w:tcPr>
            <w:tcW w:w="508" w:type="pct"/>
            <w:tcBorders>
              <w:top w:val="single" w:color="auto" w:sz="8" w:space="0"/>
              <w:left w:val="nil"/>
              <w:bottom w:val="nil"/>
              <w:right w:val="nil"/>
            </w:tcBorders>
            <w:vAlign w:val="center"/>
          </w:tcPr>
          <w:p w14:paraId="6295177B">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513</w:t>
            </w:r>
          </w:p>
        </w:tc>
        <w:tc>
          <w:tcPr>
            <w:tcW w:w="631" w:type="pct"/>
            <w:tcBorders>
              <w:top w:val="single" w:color="auto" w:sz="8" w:space="0"/>
              <w:left w:val="nil"/>
              <w:bottom w:val="nil"/>
              <w:right w:val="nil"/>
            </w:tcBorders>
            <w:vAlign w:val="center"/>
          </w:tcPr>
          <w:p w14:paraId="0CB2BD4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456</w:t>
            </w:r>
          </w:p>
        </w:tc>
        <w:tc>
          <w:tcPr>
            <w:tcW w:w="690" w:type="pct"/>
            <w:tcBorders>
              <w:top w:val="single" w:color="auto" w:sz="8" w:space="0"/>
              <w:left w:val="nil"/>
              <w:bottom w:val="nil"/>
              <w:right w:val="nil"/>
            </w:tcBorders>
            <w:vAlign w:val="center"/>
          </w:tcPr>
          <w:p w14:paraId="4014F0D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1887" w:type="pct"/>
            <w:tcBorders>
              <w:top w:val="single" w:color="auto" w:sz="8" w:space="0"/>
              <w:left w:val="nil"/>
              <w:bottom w:val="nil"/>
              <w:right w:val="nil"/>
            </w:tcBorders>
            <w:vAlign w:val="center"/>
          </w:tcPr>
          <w:p w14:paraId="7E69297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9 Clinical Measures &amp; Chronological Age</w:t>
            </w:r>
          </w:p>
        </w:tc>
      </w:tr>
      <w:tr w14:paraId="4E24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85" w:type="pct"/>
            <w:tcBorders>
              <w:top w:val="nil"/>
              <w:left w:val="nil"/>
              <w:bottom w:val="nil"/>
              <w:right w:val="nil"/>
            </w:tcBorders>
            <w:vAlign w:val="center"/>
          </w:tcPr>
          <w:p w14:paraId="4351A7E0">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DNAm GrimAge</w:t>
            </w:r>
          </w:p>
        </w:tc>
        <w:tc>
          <w:tcPr>
            <w:tcW w:w="508" w:type="pct"/>
            <w:tcBorders>
              <w:top w:val="nil"/>
              <w:left w:val="nil"/>
              <w:bottom w:val="nil"/>
              <w:right w:val="nil"/>
            </w:tcBorders>
            <w:vAlign w:val="center"/>
          </w:tcPr>
          <w:p w14:paraId="2EA2157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1,030</w:t>
            </w:r>
          </w:p>
        </w:tc>
        <w:tc>
          <w:tcPr>
            <w:tcW w:w="631" w:type="pct"/>
            <w:tcBorders>
              <w:top w:val="nil"/>
              <w:left w:val="nil"/>
              <w:bottom w:val="nil"/>
              <w:right w:val="nil"/>
            </w:tcBorders>
            <w:vAlign w:val="center"/>
          </w:tcPr>
          <w:p w14:paraId="1B1E4EF3">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1,731</w:t>
            </w:r>
          </w:p>
        </w:tc>
        <w:tc>
          <w:tcPr>
            <w:tcW w:w="690" w:type="pct"/>
            <w:tcBorders>
              <w:top w:val="nil"/>
              <w:left w:val="nil"/>
              <w:bottom w:val="nil"/>
              <w:right w:val="nil"/>
            </w:tcBorders>
            <w:vAlign w:val="center"/>
          </w:tcPr>
          <w:p w14:paraId="74C7762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1887" w:type="pct"/>
            <w:tcBorders>
              <w:top w:val="nil"/>
              <w:left w:val="nil"/>
              <w:bottom w:val="nil"/>
              <w:right w:val="nil"/>
            </w:tcBorders>
            <w:vAlign w:val="center"/>
          </w:tcPr>
          <w:p w14:paraId="230C80A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12 Plasma Protein Levels &amp;</w:t>
            </w:r>
            <w:r>
              <w:rPr>
                <w:rFonts w:hint="eastAsia" w:ascii="Arial" w:hAnsi="Arial" w:eastAsia="宋体" w:cs="Arial"/>
                <w:kern w:val="0"/>
                <w:sz w:val="22"/>
                <w:szCs w:val="22"/>
                <w14:ligatures w14:val="none"/>
              </w:rPr>
              <w:t xml:space="preserve"> </w:t>
            </w:r>
            <w:r>
              <w:rPr>
                <w:rFonts w:ascii="Arial" w:hAnsi="Arial" w:eastAsia="宋体" w:cs="Arial"/>
                <w:kern w:val="0"/>
                <w:sz w:val="22"/>
                <w:szCs w:val="22"/>
                <w14:ligatures w14:val="none"/>
              </w:rPr>
              <w:t>Smoking Pack Year</w:t>
            </w:r>
          </w:p>
        </w:tc>
      </w:tr>
      <w:tr w14:paraId="5FC6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pct"/>
            <w:tcBorders>
              <w:top w:val="nil"/>
              <w:left w:val="nil"/>
              <w:bottom w:val="nil"/>
              <w:right w:val="nil"/>
            </w:tcBorders>
            <w:vAlign w:val="center"/>
          </w:tcPr>
          <w:p w14:paraId="580435D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DNAm TL</w:t>
            </w:r>
          </w:p>
        </w:tc>
        <w:tc>
          <w:tcPr>
            <w:tcW w:w="508" w:type="pct"/>
            <w:tcBorders>
              <w:top w:val="nil"/>
              <w:left w:val="nil"/>
              <w:bottom w:val="nil"/>
              <w:right w:val="nil"/>
            </w:tcBorders>
            <w:vAlign w:val="center"/>
          </w:tcPr>
          <w:p w14:paraId="3492D81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140</w:t>
            </w:r>
          </w:p>
        </w:tc>
        <w:tc>
          <w:tcPr>
            <w:tcW w:w="631" w:type="pct"/>
            <w:tcBorders>
              <w:top w:val="nil"/>
              <w:left w:val="nil"/>
              <w:bottom w:val="nil"/>
              <w:right w:val="nil"/>
            </w:tcBorders>
            <w:vAlign w:val="center"/>
          </w:tcPr>
          <w:p w14:paraId="0078D9C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2,256</w:t>
            </w:r>
          </w:p>
        </w:tc>
        <w:tc>
          <w:tcPr>
            <w:tcW w:w="690" w:type="pct"/>
            <w:tcBorders>
              <w:top w:val="nil"/>
              <w:left w:val="nil"/>
              <w:bottom w:val="nil"/>
              <w:right w:val="nil"/>
            </w:tcBorders>
            <w:vAlign w:val="center"/>
          </w:tcPr>
          <w:p w14:paraId="37475E9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1887" w:type="pct"/>
            <w:tcBorders>
              <w:top w:val="nil"/>
              <w:left w:val="nil"/>
              <w:bottom w:val="nil"/>
              <w:right w:val="nil"/>
            </w:tcBorders>
            <w:vAlign w:val="center"/>
          </w:tcPr>
          <w:p w14:paraId="4804A2A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Leukocyte Telomere Length</w:t>
            </w:r>
          </w:p>
        </w:tc>
      </w:tr>
      <w:tr w14:paraId="5AC8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285" w:type="pct"/>
            <w:tcBorders>
              <w:top w:val="nil"/>
              <w:left w:val="nil"/>
              <w:bottom w:val="single" w:color="auto" w:sz="8" w:space="0"/>
              <w:right w:val="nil"/>
            </w:tcBorders>
            <w:vAlign w:val="center"/>
          </w:tcPr>
          <w:p w14:paraId="645ADD9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DunedinPoAm</w:t>
            </w:r>
          </w:p>
        </w:tc>
        <w:tc>
          <w:tcPr>
            <w:tcW w:w="508" w:type="pct"/>
            <w:tcBorders>
              <w:top w:val="nil"/>
              <w:left w:val="nil"/>
              <w:bottom w:val="single" w:color="auto" w:sz="8" w:space="0"/>
              <w:right w:val="nil"/>
            </w:tcBorders>
            <w:vAlign w:val="center"/>
          </w:tcPr>
          <w:p w14:paraId="0CF4ECA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46</w:t>
            </w:r>
          </w:p>
        </w:tc>
        <w:tc>
          <w:tcPr>
            <w:tcW w:w="631" w:type="pct"/>
            <w:tcBorders>
              <w:top w:val="nil"/>
              <w:left w:val="nil"/>
              <w:bottom w:val="single" w:color="auto" w:sz="8" w:space="0"/>
              <w:right w:val="nil"/>
            </w:tcBorders>
            <w:vAlign w:val="center"/>
          </w:tcPr>
          <w:p w14:paraId="2B26F4D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810</w:t>
            </w:r>
          </w:p>
        </w:tc>
        <w:tc>
          <w:tcPr>
            <w:tcW w:w="690" w:type="pct"/>
            <w:tcBorders>
              <w:top w:val="nil"/>
              <w:left w:val="nil"/>
              <w:bottom w:val="single" w:color="auto" w:sz="8" w:space="0"/>
              <w:right w:val="nil"/>
            </w:tcBorders>
            <w:vAlign w:val="center"/>
          </w:tcPr>
          <w:p w14:paraId="108ADA5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Blood</w:t>
            </w:r>
          </w:p>
        </w:tc>
        <w:tc>
          <w:tcPr>
            <w:tcW w:w="1887" w:type="pct"/>
            <w:tcBorders>
              <w:top w:val="nil"/>
              <w:left w:val="nil"/>
              <w:bottom w:val="single" w:color="auto" w:sz="8" w:space="0"/>
              <w:right w:val="nil"/>
            </w:tcBorders>
            <w:vAlign w:val="center"/>
          </w:tcPr>
          <w:p w14:paraId="39E6B1A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18 Biomarkers Tracking Organ-System Integrity</w:t>
            </w:r>
          </w:p>
        </w:tc>
      </w:tr>
    </w:tbl>
    <w:p w14:paraId="2D7F320B">
      <w:pPr>
        <w:widowControl/>
        <w:jc w:val="left"/>
        <w:rPr>
          <w:rFonts w:ascii="Arial" w:hAnsi="Arial" w:cs="Arial"/>
        </w:rPr>
      </w:pPr>
    </w:p>
    <w:p w14:paraId="6DD6CFE0">
      <w:pPr>
        <w:widowControl/>
        <w:rPr>
          <w:rFonts w:ascii="Arial" w:hAnsi="Arial" w:cs="Arial"/>
        </w:rPr>
      </w:pPr>
      <w:r>
        <w:rPr>
          <w:rFonts w:hint="eastAsia" w:ascii="Arial" w:hAnsi="Arial" w:cs="Arial"/>
        </w:rPr>
        <w:t>Names designed for the novel epigenetic biomarkers in the corresponding references are kept. Different epigenetic biomarkers used distinct second-generation methylation clocks and other measures.</w:t>
      </w:r>
    </w:p>
    <w:p w14:paraId="44F010A3">
      <w:pPr>
        <w:widowControl/>
        <w:jc w:val="left"/>
        <w:rPr>
          <w:rFonts w:ascii="Arial" w:hAnsi="Arial" w:cs="Arial"/>
        </w:rPr>
      </w:pPr>
      <w:r>
        <w:rPr>
          <w:rFonts w:ascii="Times New Roman" w:hAnsi="Times New Roman" w:cs="Times New Roman"/>
          <w:sz w:val="28"/>
          <w:szCs w:val="28"/>
        </w:rPr>
        <w:br w:type="page"/>
      </w:r>
    </w:p>
    <w:p w14:paraId="730073D3">
      <w:pPr>
        <w:widowControl/>
        <w:rPr>
          <w:rFonts w:ascii="Arial" w:hAnsi="Arial" w:cs="Arial"/>
          <w:b/>
          <w:bCs/>
        </w:rPr>
      </w:pPr>
      <w:r>
        <w:rPr>
          <w:rFonts w:ascii="Arial" w:hAnsi="Arial" w:cs="Arial"/>
          <w:b/>
          <w:bCs/>
        </w:rPr>
        <w:t xml:space="preserve">Table </w:t>
      </w:r>
      <w:r>
        <w:rPr>
          <w:rFonts w:hint="eastAsia" w:ascii="Arial" w:hAnsi="Arial" w:cs="Arial"/>
          <w:b/>
          <w:bCs/>
        </w:rPr>
        <w:t>S</w:t>
      </w:r>
      <w:r>
        <w:rPr>
          <w:rFonts w:ascii="Arial" w:hAnsi="Arial" w:cs="Arial"/>
          <w:b/>
          <w:bCs/>
        </w:rPr>
        <w:t>3: A summary of original clocks and their corresponding PC</w:t>
      </w:r>
      <w:r>
        <w:rPr>
          <w:rFonts w:hint="eastAsia" w:ascii="Arial" w:hAnsi="Arial" w:cs="Arial"/>
          <w:b/>
          <w:bCs/>
        </w:rPr>
        <w:t>-guided</w:t>
      </w:r>
      <w:r>
        <w:rPr>
          <w:rFonts w:ascii="Arial" w:hAnsi="Arial" w:cs="Arial"/>
          <w:b/>
          <w:bCs/>
        </w:rPr>
        <w:t xml:space="preserve"> clocks utilized in this study</w:t>
      </w:r>
    </w:p>
    <w:p w14:paraId="0FD42BB7">
      <w:pPr>
        <w:widowControl/>
        <w:jc w:val="left"/>
        <w:rPr>
          <w:rFonts w:ascii="Arial" w:hAnsi="Arial" w:cs="Aria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1"/>
        <w:gridCol w:w="2071"/>
        <w:gridCol w:w="1399"/>
        <w:gridCol w:w="2071"/>
      </w:tblGrid>
      <w:tr w14:paraId="6F40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single" w:color="auto" w:sz="8" w:space="0"/>
              <w:left w:val="nil"/>
              <w:bottom w:val="single" w:color="auto" w:sz="8" w:space="0"/>
              <w:right w:val="nil"/>
            </w:tcBorders>
            <w:vAlign w:val="center"/>
          </w:tcPr>
          <w:p w14:paraId="4FEF6796">
            <w:pPr>
              <w:spacing w:line="360" w:lineRule="auto"/>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Original Clock</w:t>
            </w:r>
          </w:p>
        </w:tc>
        <w:tc>
          <w:tcPr>
            <w:tcW w:w="1215" w:type="pct"/>
            <w:tcBorders>
              <w:top w:val="single" w:color="auto" w:sz="8" w:space="0"/>
              <w:left w:val="nil"/>
              <w:bottom w:val="single" w:color="auto" w:sz="8" w:space="0"/>
              <w:right w:val="nil"/>
            </w:tcBorders>
            <w:vAlign w:val="center"/>
          </w:tcPr>
          <w:p w14:paraId="2E65C540">
            <w:pPr>
              <w:spacing w:line="360" w:lineRule="auto"/>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PC</w:t>
            </w:r>
            <w:r>
              <w:rPr>
                <w:rFonts w:hint="eastAsia" w:ascii="Arial" w:hAnsi="Arial" w:eastAsia="宋体" w:cs="Arial"/>
                <w:b/>
                <w:bCs/>
                <w:kern w:val="0"/>
                <w:sz w:val="22"/>
                <w:szCs w:val="22"/>
                <w14:ligatures w14:val="none"/>
              </w:rPr>
              <w:t>-guided</w:t>
            </w:r>
            <w:r>
              <w:rPr>
                <w:rFonts w:ascii="Arial" w:hAnsi="Arial" w:eastAsia="宋体" w:cs="Arial"/>
                <w:b/>
                <w:bCs/>
                <w:kern w:val="0"/>
                <w:sz w:val="22"/>
                <w:szCs w:val="22"/>
                <w14:ligatures w14:val="none"/>
              </w:rPr>
              <w:t xml:space="preserve"> Clock</w:t>
            </w:r>
          </w:p>
        </w:tc>
        <w:tc>
          <w:tcPr>
            <w:tcW w:w="821" w:type="pct"/>
            <w:tcBorders>
              <w:top w:val="single" w:color="auto" w:sz="8" w:space="0"/>
              <w:left w:val="nil"/>
              <w:bottom w:val="single" w:color="auto" w:sz="8" w:space="0"/>
              <w:right w:val="nil"/>
            </w:tcBorders>
            <w:vAlign w:val="center"/>
          </w:tcPr>
          <w:p w14:paraId="114D0756">
            <w:pPr>
              <w:spacing w:line="360" w:lineRule="auto"/>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PC Used</w:t>
            </w:r>
          </w:p>
        </w:tc>
        <w:tc>
          <w:tcPr>
            <w:tcW w:w="1215" w:type="pct"/>
            <w:tcBorders>
              <w:top w:val="single" w:color="auto" w:sz="8" w:space="0"/>
              <w:left w:val="nil"/>
              <w:bottom w:val="single" w:color="auto" w:sz="8" w:space="0"/>
              <w:right w:val="nil"/>
            </w:tcBorders>
            <w:vAlign w:val="center"/>
          </w:tcPr>
          <w:p w14:paraId="531F34F9">
            <w:pPr>
              <w:spacing w:line="360" w:lineRule="auto"/>
              <w:jc w:val="center"/>
              <w:rPr>
                <w:rFonts w:ascii="Arial" w:hAnsi="Arial" w:eastAsia="宋体" w:cs="Arial"/>
                <w:b/>
                <w:bCs/>
                <w:kern w:val="0"/>
                <w:sz w:val="22"/>
                <w:szCs w:val="22"/>
                <w14:ligatures w14:val="none"/>
              </w:rPr>
            </w:pPr>
            <w:r>
              <w:rPr>
                <w:rFonts w:ascii="Arial" w:hAnsi="Arial" w:eastAsia="宋体" w:cs="Arial"/>
                <w:b/>
                <w:bCs/>
                <w:kern w:val="0"/>
                <w:sz w:val="22"/>
                <w:szCs w:val="22"/>
                <w14:ligatures w14:val="none"/>
              </w:rPr>
              <w:t>Source</w:t>
            </w:r>
          </w:p>
        </w:tc>
      </w:tr>
      <w:tr w14:paraId="5048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single" w:color="auto" w:sz="8" w:space="0"/>
              <w:left w:val="nil"/>
              <w:bottom w:val="nil"/>
              <w:right w:val="nil"/>
            </w:tcBorders>
            <w:vAlign w:val="center"/>
          </w:tcPr>
          <w:p w14:paraId="0A232C3F">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Hannum</w:t>
            </w:r>
            <w:r>
              <w:rPr>
                <w:rFonts w:hint="eastAsia" w:ascii="Arial" w:hAnsi="Arial" w:eastAsia="宋体" w:cs="Arial"/>
                <w:kern w:val="0"/>
                <w:sz w:val="22"/>
                <w:szCs w:val="22"/>
                <w14:ligatures w14:val="none"/>
              </w:rPr>
              <w:t>-</w:t>
            </w:r>
            <w:r>
              <w:rPr>
                <w:rFonts w:ascii="Arial" w:hAnsi="Arial" w:eastAsia="宋体" w:cs="Arial"/>
                <w:kern w:val="0"/>
                <w:sz w:val="22"/>
                <w:szCs w:val="22"/>
                <w14:ligatures w14:val="none"/>
              </w:rPr>
              <w:t>71</w:t>
            </w:r>
            <w:r>
              <w:rPr>
                <w:rFonts w:hint="eastAsia" w:ascii="Arial" w:hAnsi="Arial" w:eastAsia="宋体" w:cs="Arial"/>
                <w:kern w:val="0"/>
                <w:sz w:val="22"/>
                <w:szCs w:val="22"/>
                <w14:ligatures w14:val="none"/>
              </w:rPr>
              <w:t xml:space="preserve"> Clock</w:t>
            </w:r>
          </w:p>
        </w:tc>
        <w:tc>
          <w:tcPr>
            <w:tcW w:w="1215" w:type="pct"/>
            <w:tcBorders>
              <w:top w:val="single" w:color="auto" w:sz="8" w:space="0"/>
              <w:left w:val="nil"/>
              <w:bottom w:val="nil"/>
              <w:right w:val="nil"/>
            </w:tcBorders>
            <w:vAlign w:val="center"/>
          </w:tcPr>
          <w:p w14:paraId="0265287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PCHannum</w:t>
            </w:r>
          </w:p>
        </w:tc>
        <w:tc>
          <w:tcPr>
            <w:tcW w:w="821" w:type="pct"/>
            <w:tcBorders>
              <w:top w:val="single" w:color="auto" w:sz="8" w:space="0"/>
              <w:left w:val="nil"/>
              <w:bottom w:val="nil"/>
              <w:right w:val="nil"/>
            </w:tcBorders>
            <w:vAlign w:val="center"/>
          </w:tcPr>
          <w:p w14:paraId="7DCDD37D">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390</w:t>
            </w:r>
          </w:p>
        </w:tc>
        <w:tc>
          <w:tcPr>
            <w:tcW w:w="1215" w:type="pct"/>
            <w:tcBorders>
              <w:top w:val="single" w:color="auto" w:sz="8" w:space="0"/>
              <w:left w:val="nil"/>
              <w:bottom w:val="nil"/>
              <w:right w:val="nil"/>
            </w:tcBorders>
            <w:vAlign w:val="center"/>
          </w:tcPr>
          <w:p w14:paraId="5C374B1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Study-obtained</w:t>
            </w:r>
          </w:p>
        </w:tc>
      </w:tr>
      <w:tr w14:paraId="601A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065679C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Horvath</w:t>
            </w:r>
            <w:r>
              <w:rPr>
                <w:rFonts w:hint="eastAsia" w:ascii="Arial" w:hAnsi="Arial" w:eastAsia="宋体" w:cs="Arial"/>
                <w:kern w:val="0"/>
                <w:sz w:val="22"/>
                <w:szCs w:val="22"/>
                <w14:ligatures w14:val="none"/>
              </w:rPr>
              <w:t>-353 Clock</w:t>
            </w:r>
          </w:p>
        </w:tc>
        <w:tc>
          <w:tcPr>
            <w:tcW w:w="1215" w:type="pct"/>
            <w:tcBorders>
              <w:top w:val="nil"/>
              <w:left w:val="nil"/>
              <w:bottom w:val="nil"/>
              <w:right w:val="nil"/>
            </w:tcBorders>
            <w:vAlign w:val="center"/>
          </w:tcPr>
          <w:p w14:paraId="3E8A6D6F">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PCHorvath1</w:t>
            </w:r>
          </w:p>
        </w:tc>
        <w:tc>
          <w:tcPr>
            <w:tcW w:w="821" w:type="pct"/>
            <w:tcBorders>
              <w:top w:val="nil"/>
              <w:left w:val="nil"/>
              <w:bottom w:val="nil"/>
              <w:right w:val="nil"/>
            </w:tcBorders>
            <w:vAlign w:val="center"/>
          </w:tcPr>
          <w:p w14:paraId="5F95004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121</w:t>
            </w:r>
          </w:p>
        </w:tc>
        <w:tc>
          <w:tcPr>
            <w:tcW w:w="1215" w:type="pct"/>
            <w:tcBorders>
              <w:top w:val="nil"/>
              <w:left w:val="nil"/>
              <w:bottom w:val="nil"/>
              <w:right w:val="nil"/>
            </w:tcBorders>
            <w:vAlign w:val="center"/>
          </w:tcPr>
          <w:p w14:paraId="7237C20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Study-obtained</w:t>
            </w:r>
          </w:p>
        </w:tc>
      </w:tr>
      <w:tr w14:paraId="1D6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7E120CFF">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Horvath</w:t>
            </w:r>
            <w:r>
              <w:rPr>
                <w:rFonts w:hint="eastAsia" w:ascii="Arial" w:hAnsi="Arial" w:eastAsia="宋体" w:cs="Arial"/>
                <w:kern w:val="0"/>
                <w:sz w:val="22"/>
                <w:szCs w:val="22"/>
                <w14:ligatures w14:val="none"/>
              </w:rPr>
              <w:t>-</w:t>
            </w:r>
            <w:r>
              <w:rPr>
                <w:rFonts w:ascii="Arial" w:hAnsi="Arial" w:eastAsia="宋体" w:cs="Arial"/>
                <w:kern w:val="0"/>
                <w:sz w:val="22"/>
                <w:szCs w:val="22"/>
                <w14:ligatures w14:val="none"/>
              </w:rPr>
              <w:t>391</w:t>
            </w:r>
            <w:r>
              <w:rPr>
                <w:rFonts w:hint="eastAsia" w:ascii="Arial" w:hAnsi="Arial" w:eastAsia="宋体" w:cs="Arial"/>
                <w:kern w:val="0"/>
                <w:sz w:val="22"/>
                <w:szCs w:val="22"/>
                <w14:ligatures w14:val="none"/>
              </w:rPr>
              <w:t xml:space="preserve"> Clock</w:t>
            </w:r>
          </w:p>
        </w:tc>
        <w:tc>
          <w:tcPr>
            <w:tcW w:w="1215" w:type="pct"/>
            <w:tcBorders>
              <w:top w:val="nil"/>
              <w:left w:val="nil"/>
              <w:bottom w:val="nil"/>
              <w:right w:val="nil"/>
            </w:tcBorders>
            <w:vAlign w:val="center"/>
          </w:tcPr>
          <w:p w14:paraId="158983C8">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PCHorvath2</w:t>
            </w:r>
          </w:p>
        </w:tc>
        <w:tc>
          <w:tcPr>
            <w:tcW w:w="821" w:type="pct"/>
            <w:tcBorders>
              <w:top w:val="nil"/>
              <w:left w:val="nil"/>
              <w:bottom w:val="nil"/>
              <w:right w:val="nil"/>
            </w:tcBorders>
            <w:vAlign w:val="center"/>
          </w:tcPr>
          <w:p w14:paraId="57914DEC">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140</w:t>
            </w:r>
          </w:p>
        </w:tc>
        <w:tc>
          <w:tcPr>
            <w:tcW w:w="1215" w:type="pct"/>
            <w:tcBorders>
              <w:top w:val="nil"/>
              <w:left w:val="nil"/>
              <w:bottom w:val="nil"/>
              <w:right w:val="nil"/>
            </w:tcBorders>
            <w:vAlign w:val="center"/>
          </w:tcPr>
          <w:p w14:paraId="7C672E6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Study-obtained</w:t>
            </w:r>
          </w:p>
        </w:tc>
      </w:tr>
      <w:tr w14:paraId="1F07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5069388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Weidner</w:t>
            </w:r>
            <w:r>
              <w:rPr>
                <w:rFonts w:hint="eastAsia" w:ascii="Arial" w:hAnsi="Arial" w:eastAsia="宋体" w:cs="Arial"/>
                <w:kern w:val="0"/>
                <w:sz w:val="22"/>
                <w:szCs w:val="22"/>
                <w14:ligatures w14:val="none"/>
              </w:rPr>
              <w:t>-1</w:t>
            </w:r>
            <w:r>
              <w:rPr>
                <w:rFonts w:ascii="Arial" w:hAnsi="Arial" w:eastAsia="宋体" w:cs="Arial"/>
                <w:kern w:val="0"/>
                <w:sz w:val="22"/>
                <w:szCs w:val="22"/>
                <w14:ligatures w14:val="none"/>
              </w:rPr>
              <w:t>02</w:t>
            </w:r>
            <w:r>
              <w:rPr>
                <w:rFonts w:hint="eastAsia" w:ascii="Arial" w:hAnsi="Arial" w:eastAsia="宋体" w:cs="Arial"/>
                <w:kern w:val="0"/>
                <w:sz w:val="22"/>
                <w:szCs w:val="22"/>
                <w14:ligatures w14:val="none"/>
              </w:rPr>
              <w:t xml:space="preserve"> Clock</w:t>
            </w:r>
          </w:p>
        </w:tc>
        <w:tc>
          <w:tcPr>
            <w:tcW w:w="1215" w:type="pct"/>
            <w:tcBorders>
              <w:top w:val="nil"/>
              <w:left w:val="nil"/>
              <w:bottom w:val="nil"/>
              <w:right w:val="nil"/>
            </w:tcBorders>
            <w:vAlign w:val="center"/>
          </w:tcPr>
          <w:p w14:paraId="6FAAD07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821" w:type="pct"/>
            <w:tcBorders>
              <w:top w:val="nil"/>
              <w:left w:val="nil"/>
              <w:bottom w:val="nil"/>
              <w:right w:val="nil"/>
            </w:tcBorders>
            <w:vAlign w:val="center"/>
          </w:tcPr>
          <w:p w14:paraId="070C1FE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1215" w:type="pct"/>
            <w:tcBorders>
              <w:top w:val="nil"/>
              <w:left w:val="nil"/>
              <w:bottom w:val="nil"/>
              <w:right w:val="nil"/>
            </w:tcBorders>
            <w:vAlign w:val="center"/>
          </w:tcPr>
          <w:p w14:paraId="77309D1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r>
      <w:tr w14:paraId="0BD2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70CA9CA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Weidne</w:t>
            </w:r>
            <w:r>
              <w:rPr>
                <w:rFonts w:hint="eastAsia" w:ascii="Arial" w:hAnsi="Arial" w:eastAsia="宋体" w:cs="Arial"/>
                <w:kern w:val="0"/>
                <w:sz w:val="22"/>
                <w:szCs w:val="22"/>
                <w14:ligatures w14:val="none"/>
              </w:rPr>
              <w:t>r-</w:t>
            </w:r>
            <w:r>
              <w:rPr>
                <w:rFonts w:ascii="Arial" w:hAnsi="Arial" w:eastAsia="宋体" w:cs="Arial"/>
                <w:kern w:val="0"/>
                <w:sz w:val="22"/>
                <w:szCs w:val="22"/>
                <w14:ligatures w14:val="none"/>
              </w:rPr>
              <w:t>3</w:t>
            </w:r>
            <w:r>
              <w:rPr>
                <w:rFonts w:hint="eastAsia" w:ascii="Arial" w:hAnsi="Arial" w:eastAsia="宋体" w:cs="Arial"/>
                <w:kern w:val="0"/>
                <w:sz w:val="22"/>
                <w:szCs w:val="22"/>
                <w14:ligatures w14:val="none"/>
              </w:rPr>
              <w:t xml:space="preserve"> Clock</w:t>
            </w:r>
          </w:p>
        </w:tc>
        <w:tc>
          <w:tcPr>
            <w:tcW w:w="1215" w:type="pct"/>
            <w:tcBorders>
              <w:top w:val="nil"/>
              <w:left w:val="nil"/>
              <w:bottom w:val="nil"/>
              <w:right w:val="nil"/>
            </w:tcBorders>
            <w:vAlign w:val="center"/>
          </w:tcPr>
          <w:p w14:paraId="27E820D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821" w:type="pct"/>
            <w:tcBorders>
              <w:top w:val="nil"/>
              <w:left w:val="nil"/>
              <w:bottom w:val="nil"/>
              <w:right w:val="nil"/>
            </w:tcBorders>
            <w:vAlign w:val="center"/>
          </w:tcPr>
          <w:p w14:paraId="0F4082E5">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1215" w:type="pct"/>
            <w:tcBorders>
              <w:top w:val="nil"/>
              <w:left w:val="nil"/>
              <w:bottom w:val="nil"/>
              <w:right w:val="nil"/>
            </w:tcBorders>
            <w:vAlign w:val="center"/>
          </w:tcPr>
          <w:p w14:paraId="38EA33C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r>
      <w:tr w14:paraId="29B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18B705F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Lin</w:t>
            </w:r>
            <w:r>
              <w:rPr>
                <w:rFonts w:hint="eastAsia" w:ascii="Arial" w:hAnsi="Arial" w:eastAsia="宋体" w:cs="Arial"/>
                <w:kern w:val="0"/>
                <w:sz w:val="22"/>
                <w:szCs w:val="22"/>
                <w14:ligatures w14:val="none"/>
              </w:rPr>
              <w:t>-99 Clock</w:t>
            </w:r>
          </w:p>
        </w:tc>
        <w:tc>
          <w:tcPr>
            <w:tcW w:w="1215" w:type="pct"/>
            <w:tcBorders>
              <w:top w:val="nil"/>
              <w:left w:val="nil"/>
              <w:bottom w:val="nil"/>
              <w:right w:val="nil"/>
            </w:tcBorders>
            <w:vAlign w:val="center"/>
          </w:tcPr>
          <w:p w14:paraId="406D9F8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PCLin</w:t>
            </w:r>
          </w:p>
        </w:tc>
        <w:tc>
          <w:tcPr>
            <w:tcW w:w="821" w:type="pct"/>
            <w:tcBorders>
              <w:top w:val="nil"/>
              <w:left w:val="nil"/>
              <w:bottom w:val="nil"/>
              <w:right w:val="nil"/>
            </w:tcBorders>
            <w:vAlign w:val="center"/>
          </w:tcPr>
          <w:p w14:paraId="488E48CC">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208</w:t>
            </w:r>
          </w:p>
        </w:tc>
        <w:tc>
          <w:tcPr>
            <w:tcW w:w="1215" w:type="pct"/>
            <w:tcBorders>
              <w:top w:val="nil"/>
              <w:left w:val="nil"/>
              <w:bottom w:val="nil"/>
              <w:right w:val="nil"/>
            </w:tcBorders>
            <w:vAlign w:val="center"/>
          </w:tcPr>
          <w:p w14:paraId="158BA7E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Self-trained</w:t>
            </w:r>
          </w:p>
        </w:tc>
      </w:tr>
      <w:tr w14:paraId="16EB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031D249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Lin</w:t>
            </w:r>
            <w:r>
              <w:rPr>
                <w:rFonts w:hint="eastAsia" w:ascii="Arial" w:hAnsi="Arial" w:eastAsia="宋体" w:cs="Arial"/>
                <w:kern w:val="0"/>
                <w:sz w:val="22"/>
                <w:szCs w:val="22"/>
                <w14:ligatures w14:val="none"/>
              </w:rPr>
              <w:t>-3 Clock</w:t>
            </w:r>
          </w:p>
        </w:tc>
        <w:tc>
          <w:tcPr>
            <w:tcW w:w="1215" w:type="pct"/>
            <w:tcBorders>
              <w:top w:val="nil"/>
              <w:left w:val="nil"/>
              <w:bottom w:val="nil"/>
              <w:right w:val="nil"/>
            </w:tcBorders>
            <w:vAlign w:val="center"/>
          </w:tcPr>
          <w:p w14:paraId="10114D4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PCLin</w:t>
            </w:r>
          </w:p>
        </w:tc>
        <w:tc>
          <w:tcPr>
            <w:tcW w:w="821" w:type="pct"/>
            <w:tcBorders>
              <w:top w:val="nil"/>
              <w:left w:val="nil"/>
              <w:bottom w:val="nil"/>
              <w:right w:val="nil"/>
            </w:tcBorders>
            <w:vAlign w:val="center"/>
          </w:tcPr>
          <w:p w14:paraId="02CEA53E">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208</w:t>
            </w:r>
          </w:p>
        </w:tc>
        <w:tc>
          <w:tcPr>
            <w:tcW w:w="1215" w:type="pct"/>
            <w:tcBorders>
              <w:top w:val="nil"/>
              <w:left w:val="nil"/>
              <w:bottom w:val="nil"/>
              <w:right w:val="nil"/>
            </w:tcBorders>
            <w:vAlign w:val="center"/>
          </w:tcPr>
          <w:p w14:paraId="4CA5FD1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Self-trained</w:t>
            </w:r>
          </w:p>
        </w:tc>
      </w:tr>
      <w:tr w14:paraId="7B56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52460E5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Zhang</w:t>
            </w:r>
            <w:r>
              <w:rPr>
                <w:rFonts w:hint="eastAsia" w:ascii="Arial" w:hAnsi="Arial" w:eastAsia="宋体" w:cs="Arial"/>
                <w:kern w:val="0"/>
                <w:sz w:val="22"/>
                <w:szCs w:val="22"/>
                <w14:ligatures w14:val="none"/>
              </w:rPr>
              <w:t>-</w:t>
            </w:r>
            <w:r>
              <w:rPr>
                <w:rFonts w:ascii="Arial" w:hAnsi="Arial" w:eastAsia="宋体" w:cs="Arial"/>
                <w:kern w:val="0"/>
                <w:sz w:val="22"/>
                <w:szCs w:val="22"/>
                <w14:ligatures w14:val="none"/>
              </w:rPr>
              <w:t>514</w:t>
            </w:r>
            <w:r>
              <w:rPr>
                <w:rFonts w:hint="eastAsia" w:ascii="Arial" w:hAnsi="Arial" w:eastAsia="宋体" w:cs="Arial"/>
                <w:kern w:val="0"/>
                <w:sz w:val="22"/>
                <w:szCs w:val="22"/>
                <w14:ligatures w14:val="none"/>
              </w:rPr>
              <w:t xml:space="preserve"> Clock</w:t>
            </w:r>
          </w:p>
        </w:tc>
        <w:tc>
          <w:tcPr>
            <w:tcW w:w="1215" w:type="pct"/>
            <w:tcBorders>
              <w:top w:val="nil"/>
              <w:left w:val="nil"/>
              <w:bottom w:val="nil"/>
              <w:right w:val="nil"/>
            </w:tcBorders>
            <w:vAlign w:val="center"/>
          </w:tcPr>
          <w:p w14:paraId="64A0450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PCZhang</w:t>
            </w:r>
          </w:p>
        </w:tc>
        <w:tc>
          <w:tcPr>
            <w:tcW w:w="821" w:type="pct"/>
            <w:tcBorders>
              <w:top w:val="nil"/>
              <w:left w:val="nil"/>
              <w:bottom w:val="nil"/>
              <w:right w:val="nil"/>
            </w:tcBorders>
            <w:vAlign w:val="center"/>
          </w:tcPr>
          <w:p w14:paraId="73849380">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406</w:t>
            </w:r>
          </w:p>
        </w:tc>
        <w:tc>
          <w:tcPr>
            <w:tcW w:w="1215" w:type="pct"/>
            <w:tcBorders>
              <w:top w:val="nil"/>
              <w:left w:val="nil"/>
              <w:bottom w:val="nil"/>
              <w:right w:val="nil"/>
            </w:tcBorders>
            <w:vAlign w:val="center"/>
          </w:tcPr>
          <w:p w14:paraId="401B88A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Self-trained</w:t>
            </w:r>
          </w:p>
        </w:tc>
      </w:tr>
      <w:tr w14:paraId="2EF6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9" w:type="pct"/>
            <w:tcBorders>
              <w:top w:val="nil"/>
              <w:left w:val="nil"/>
              <w:bottom w:val="nil"/>
              <w:right w:val="nil"/>
            </w:tcBorders>
            <w:vAlign w:val="center"/>
          </w:tcPr>
          <w:p w14:paraId="4A75E219">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McEwen</w:t>
            </w:r>
            <w:r>
              <w:rPr>
                <w:rFonts w:hint="eastAsia" w:ascii="Arial" w:hAnsi="Arial" w:eastAsia="宋体" w:cs="Arial"/>
                <w:kern w:val="0"/>
                <w:sz w:val="22"/>
                <w:szCs w:val="22"/>
                <w14:ligatures w14:val="none"/>
              </w:rPr>
              <w:t>-</w:t>
            </w:r>
            <w:r>
              <w:rPr>
                <w:rFonts w:ascii="Arial" w:hAnsi="Arial" w:eastAsia="宋体" w:cs="Arial"/>
                <w:kern w:val="0"/>
                <w:sz w:val="22"/>
                <w:szCs w:val="22"/>
                <w14:ligatures w14:val="none"/>
              </w:rPr>
              <w:t>94</w:t>
            </w:r>
            <w:r>
              <w:rPr>
                <w:rFonts w:hint="eastAsia" w:ascii="Arial" w:hAnsi="Arial" w:eastAsia="宋体" w:cs="Arial"/>
                <w:kern w:val="0"/>
                <w:sz w:val="22"/>
                <w:szCs w:val="22"/>
                <w14:ligatures w14:val="none"/>
              </w:rPr>
              <w:t xml:space="preserve"> Clock</w:t>
            </w:r>
          </w:p>
        </w:tc>
        <w:tc>
          <w:tcPr>
            <w:tcW w:w="1215" w:type="pct"/>
            <w:tcBorders>
              <w:top w:val="nil"/>
              <w:left w:val="nil"/>
              <w:bottom w:val="nil"/>
              <w:right w:val="nil"/>
            </w:tcBorders>
            <w:vAlign w:val="center"/>
          </w:tcPr>
          <w:p w14:paraId="276FAEBA">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821" w:type="pct"/>
            <w:tcBorders>
              <w:top w:val="nil"/>
              <w:left w:val="nil"/>
              <w:bottom w:val="nil"/>
              <w:right w:val="nil"/>
            </w:tcBorders>
            <w:vAlign w:val="center"/>
          </w:tcPr>
          <w:p w14:paraId="028EE0A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c>
          <w:tcPr>
            <w:tcW w:w="1215" w:type="pct"/>
            <w:tcBorders>
              <w:top w:val="nil"/>
              <w:left w:val="nil"/>
              <w:bottom w:val="nil"/>
              <w:right w:val="nil"/>
            </w:tcBorders>
            <w:vAlign w:val="center"/>
          </w:tcPr>
          <w:p w14:paraId="3E4D1A4B">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w:t>
            </w:r>
          </w:p>
        </w:tc>
      </w:tr>
      <w:tr w14:paraId="60DD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49" w:type="pct"/>
            <w:tcBorders>
              <w:top w:val="nil"/>
              <w:left w:val="nil"/>
              <w:bottom w:val="single" w:color="auto" w:sz="8" w:space="0"/>
              <w:right w:val="nil"/>
            </w:tcBorders>
            <w:vAlign w:val="center"/>
          </w:tcPr>
          <w:p w14:paraId="43D34FB6">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DNAm PhenoAge</w:t>
            </w:r>
          </w:p>
        </w:tc>
        <w:tc>
          <w:tcPr>
            <w:tcW w:w="1215" w:type="pct"/>
            <w:tcBorders>
              <w:top w:val="nil"/>
              <w:left w:val="nil"/>
              <w:bottom w:val="single" w:color="auto" w:sz="8" w:space="0"/>
              <w:right w:val="nil"/>
            </w:tcBorders>
            <w:vAlign w:val="center"/>
          </w:tcPr>
          <w:p w14:paraId="1CA5BF07">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PCPhenoAge</w:t>
            </w:r>
          </w:p>
        </w:tc>
        <w:tc>
          <w:tcPr>
            <w:tcW w:w="821" w:type="pct"/>
            <w:tcBorders>
              <w:top w:val="nil"/>
              <w:left w:val="nil"/>
              <w:bottom w:val="single" w:color="auto" w:sz="8" w:space="0"/>
              <w:right w:val="nil"/>
            </w:tcBorders>
            <w:vAlign w:val="center"/>
          </w:tcPr>
          <w:p w14:paraId="1D9E3514">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652</w:t>
            </w:r>
          </w:p>
        </w:tc>
        <w:tc>
          <w:tcPr>
            <w:tcW w:w="1215" w:type="pct"/>
            <w:tcBorders>
              <w:top w:val="nil"/>
              <w:left w:val="nil"/>
              <w:bottom w:val="single" w:color="auto" w:sz="8" w:space="0"/>
              <w:right w:val="nil"/>
            </w:tcBorders>
            <w:vAlign w:val="center"/>
          </w:tcPr>
          <w:p w14:paraId="59670952">
            <w:pPr>
              <w:jc w:val="center"/>
              <w:rPr>
                <w:rFonts w:ascii="Arial" w:hAnsi="Arial" w:eastAsia="宋体" w:cs="Arial"/>
                <w:kern w:val="0"/>
                <w:sz w:val="22"/>
                <w:szCs w:val="22"/>
                <w14:ligatures w14:val="none"/>
              </w:rPr>
            </w:pPr>
            <w:r>
              <w:rPr>
                <w:rFonts w:ascii="Arial" w:hAnsi="Arial" w:eastAsia="宋体" w:cs="Arial"/>
                <w:kern w:val="0"/>
                <w:sz w:val="22"/>
                <w:szCs w:val="22"/>
                <w14:ligatures w14:val="none"/>
              </w:rPr>
              <w:t>Study-obtained</w:t>
            </w:r>
          </w:p>
        </w:tc>
      </w:tr>
    </w:tbl>
    <w:p w14:paraId="1B80D142">
      <w:pPr>
        <w:widowControl/>
        <w:jc w:val="left"/>
        <w:rPr>
          <w:rFonts w:ascii="Arial" w:hAnsi="Arial" w:cs="Arial"/>
        </w:rPr>
      </w:pPr>
    </w:p>
    <w:p w14:paraId="4E7CE3F7">
      <w:pPr>
        <w:widowControl/>
        <w:rPr>
          <w:rFonts w:ascii="Arial" w:hAnsi="Arial" w:cs="Arial"/>
        </w:rPr>
      </w:pPr>
      <w:r>
        <w:rPr>
          <w:rFonts w:hint="eastAsia" w:ascii="Arial" w:hAnsi="Arial" w:cs="Arial"/>
        </w:rPr>
        <w:t xml:space="preserve">The first author of the corresponding references and CpG numbers connected by a hyphen are used as the name of original clocks. Further information on original clocks can be found in </w:t>
      </w:r>
      <w:r>
        <w:rPr>
          <w:rFonts w:hint="eastAsia" w:ascii="Arial" w:hAnsi="Arial" w:cs="Arial"/>
          <w:b/>
          <w:bCs/>
        </w:rPr>
        <w:t>Table S1</w:t>
      </w:r>
      <w:r>
        <w:rPr>
          <w:rFonts w:hint="eastAsia" w:ascii="Arial" w:hAnsi="Arial" w:cs="Arial"/>
        </w:rPr>
        <w:t xml:space="preserve">. All former available PC-guided clocks, along with instructions on training more of them were obtained from the same reference. PC-guided clocks either maintained their names (study-obtained ones) or were named according to the PC and first author </w:t>
      </w:r>
      <w:r>
        <w:rPr>
          <w:rFonts w:ascii="Arial" w:hAnsi="Arial" w:cs="Arial"/>
        </w:rPr>
        <w:t>pattern (</w:t>
      </w:r>
      <w:r>
        <w:rPr>
          <w:rFonts w:hint="eastAsia" w:ascii="Arial" w:hAnsi="Arial" w:cs="Arial"/>
        </w:rPr>
        <w:t>self-trained ones, e.g., PCLin). Overall, four PC-guided clocks are obtained from the reference, while two are newly trained. Number of PCs with nonzero coefficients are distinct in “PC used” column based on the elastic net regression model. Dash means this corresponding PC-guided clock is not available.</w:t>
      </w:r>
    </w:p>
    <w:p w14:paraId="15B9A98A">
      <w:pPr>
        <w:widowControl/>
        <w:jc w:val="left"/>
        <w:rPr>
          <w:rFonts w:ascii="Arial" w:hAnsi="Arial" w:cs="Arial"/>
        </w:rPr>
      </w:pPr>
      <w:r>
        <w:rPr>
          <w:rFonts w:ascii="Times New Roman" w:hAnsi="Times New Roman" w:cs="Times New Roman"/>
          <w:sz w:val="28"/>
          <w:szCs w:val="28"/>
        </w:rPr>
        <w:br w:type="page"/>
      </w:r>
    </w:p>
    <w:p w14:paraId="7634057A">
      <w:pPr>
        <w:widowControl/>
        <w:rPr>
          <w:rFonts w:ascii="Arial" w:hAnsi="Arial" w:cs="Arial"/>
          <w:b/>
          <w:bCs/>
        </w:rPr>
      </w:pPr>
      <w:r>
        <w:rPr>
          <w:rFonts w:hint="eastAsia" w:ascii="Arial" w:hAnsi="Arial" w:cs="Arial"/>
          <w:b/>
          <w:bCs/>
        </w:rPr>
        <w:t>Table S4: Source series information for the study samples</w:t>
      </w:r>
    </w:p>
    <w:p w14:paraId="7BC69B25">
      <w:pPr>
        <w:widowControl/>
        <w:rPr>
          <w:rFonts w:ascii="Arial" w:hAnsi="Arial" w:cs="Arial"/>
        </w:rPr>
      </w:pPr>
    </w:p>
    <w:p w14:paraId="73C51BB5">
      <w:pPr>
        <w:widowControl/>
        <w:jc w:val="left"/>
        <w:rPr>
          <w:rFonts w:ascii="Arial" w:hAnsi="Arial" w:cs="Arial"/>
        </w:rPr>
      </w:pPr>
      <w:r>
        <w:rPr>
          <w:rFonts w:hint="eastAsia" w:ascii="Arial" w:hAnsi="Arial" w:cs="Arial"/>
        </w:rPr>
        <w:t>Table S4.xlsx</w:t>
      </w:r>
    </w:p>
    <w:p w14:paraId="3CF0651E">
      <w:pPr>
        <w:widowControl/>
        <w:jc w:val="left"/>
        <w:rPr>
          <w:rFonts w:ascii="Arial" w:hAnsi="Arial" w:cs="Arial"/>
        </w:rPr>
      </w:pPr>
    </w:p>
    <w:p w14:paraId="260AFBE1">
      <w:pPr>
        <w:widowControl/>
        <w:rPr>
          <w:rFonts w:ascii="Arial" w:hAnsi="Arial" w:cs="Arial"/>
        </w:rPr>
      </w:pPr>
      <w:r>
        <w:rPr>
          <w:rFonts w:hint="eastAsia" w:ascii="Arial" w:hAnsi="Arial" w:cs="Arial"/>
        </w:rPr>
        <w:t>Series with heterogeneous sample origins are startified into smaller, labelled subseries. The sample size of each series indicates the number utilized in the study instead of the total. For analysis, histologically similar tissues/organs are pooled, and ethnic background are unified into categories. Consequently, information presented may not match the original series annotations.</w:t>
      </w:r>
    </w:p>
    <w:p w14:paraId="34FA01D1">
      <w:pPr>
        <w:widowControl/>
        <w:rPr>
          <w:rFonts w:ascii="Arial" w:hAnsi="Arial" w:cs="Arial"/>
        </w:rPr>
      </w:pPr>
    </w:p>
    <w:p w14:paraId="544ECEF4">
      <w:pPr>
        <w:widowControl/>
        <w:rPr>
          <w:rFonts w:ascii="Arial" w:hAnsi="Arial" w:cs="Arial"/>
        </w:rPr>
      </w:pPr>
    </w:p>
    <w:p w14:paraId="7E4C3085">
      <w:pPr>
        <w:widowControl/>
        <w:rPr>
          <w:rFonts w:ascii="Arial" w:hAnsi="Arial" w:cs="Arial"/>
          <w:b/>
          <w:bCs/>
        </w:rPr>
      </w:pPr>
      <w:r>
        <w:rPr>
          <w:rFonts w:hint="eastAsia" w:ascii="Arial" w:hAnsi="Arial" w:cs="Arial"/>
          <w:b/>
          <w:bCs/>
        </w:rPr>
        <w:t>Table S5: Methylation sites and respective coefficients/weights for methylation clocks</w:t>
      </w:r>
    </w:p>
    <w:p w14:paraId="709FEFE4">
      <w:pPr>
        <w:widowControl/>
        <w:rPr>
          <w:rFonts w:ascii="Arial" w:hAnsi="Arial" w:cs="Arial"/>
        </w:rPr>
      </w:pPr>
    </w:p>
    <w:p w14:paraId="7B80BB9D">
      <w:pPr>
        <w:widowControl/>
        <w:rPr>
          <w:rFonts w:ascii="Arial" w:hAnsi="Arial" w:cs="Arial"/>
        </w:rPr>
      </w:pPr>
      <w:r>
        <w:rPr>
          <w:rFonts w:hint="eastAsia" w:ascii="Arial" w:hAnsi="Arial" w:cs="Arial"/>
        </w:rPr>
        <w:t>Table S5.xlsx</w:t>
      </w:r>
    </w:p>
    <w:p w14:paraId="4E394369">
      <w:pPr>
        <w:widowControl/>
        <w:rPr>
          <w:rFonts w:ascii="Arial" w:hAnsi="Arial" w:cs="Arial"/>
        </w:rPr>
      </w:pPr>
    </w:p>
    <w:p w14:paraId="62026700">
      <w:pPr>
        <w:widowControl/>
        <w:rPr>
          <w:rFonts w:ascii="Arial" w:hAnsi="Arial" w:cs="Arial"/>
        </w:rPr>
      </w:pPr>
      <w:r>
        <w:rPr>
          <w:rFonts w:hint="eastAsia" w:ascii="Arial" w:hAnsi="Arial" w:cs="Arial"/>
        </w:rPr>
        <w:t>This table comprises 16 subtables, each listing the methylation sites with their corresponding coefficients (original clocks) or weights (PC-guided clocks) used in a methylation clock and labelled by its name. For PC-guided clocks, the weights are derived from PCs and their respective nonzero coefficients (</w:t>
      </w:r>
      <w:r>
        <w:rPr>
          <w:rFonts w:hint="eastAsia" w:ascii="Arial" w:hAnsi="Arial" w:cs="Arial"/>
          <w:b/>
          <w:bCs/>
        </w:rPr>
        <w:t>Methods</w:t>
      </w:r>
      <w:r>
        <w:rPr>
          <w:rFonts w:hint="eastAsia" w:ascii="Arial" w:hAnsi="Arial" w:cs="Arial"/>
        </w:rPr>
        <w:t>).</w:t>
      </w:r>
    </w:p>
    <w:p w14:paraId="683F4E15">
      <w:pPr>
        <w:widowControl/>
        <w:rPr>
          <w:rFonts w:ascii="Arial" w:hAnsi="Arial" w:cs="Arial"/>
        </w:rPr>
      </w:pPr>
    </w:p>
    <w:p w14:paraId="4D01FFEC">
      <w:pPr>
        <w:widowControl/>
        <w:rPr>
          <w:rFonts w:ascii="Arial" w:hAnsi="Arial" w:cs="Arial"/>
        </w:rPr>
      </w:pPr>
    </w:p>
    <w:p w14:paraId="1CA499A2">
      <w:pPr>
        <w:widowControl/>
        <w:rPr>
          <w:rFonts w:ascii="Arial" w:hAnsi="Arial" w:cs="Arial"/>
          <w:b/>
          <w:bCs/>
        </w:rPr>
      </w:pPr>
      <w:r>
        <w:rPr>
          <w:rFonts w:hint="eastAsia" w:ascii="Arial" w:hAnsi="Arial" w:cs="Arial"/>
          <w:b/>
          <w:bCs/>
        </w:rPr>
        <w:t>Table S6: Methylation values of target sites extracted from archaic hominin DNAm maps</w:t>
      </w:r>
    </w:p>
    <w:p w14:paraId="3A6CDA88">
      <w:pPr>
        <w:widowControl/>
        <w:rPr>
          <w:rFonts w:ascii="Arial" w:hAnsi="Arial" w:cs="Arial"/>
        </w:rPr>
      </w:pPr>
    </w:p>
    <w:p w14:paraId="566C0111">
      <w:pPr>
        <w:widowControl/>
        <w:rPr>
          <w:rFonts w:ascii="Arial" w:hAnsi="Arial" w:cs="Arial"/>
        </w:rPr>
      </w:pPr>
      <w:r>
        <w:rPr>
          <w:rFonts w:hint="eastAsia" w:ascii="Arial" w:hAnsi="Arial" w:cs="Arial"/>
        </w:rPr>
        <w:t>Table S6.xlsx</w:t>
      </w:r>
    </w:p>
    <w:p w14:paraId="4656E6F0">
      <w:pPr>
        <w:widowControl/>
        <w:rPr>
          <w:rFonts w:ascii="Arial" w:hAnsi="Arial" w:cs="Arial"/>
        </w:rPr>
      </w:pPr>
    </w:p>
    <w:p w14:paraId="3967C3BB">
      <w:pPr>
        <w:widowControl/>
        <w:rPr>
          <w:rFonts w:ascii="Arial" w:hAnsi="Arial" w:cs="Arial"/>
        </w:rPr>
      </w:pPr>
      <w:r>
        <w:rPr>
          <w:rFonts w:hint="eastAsia" w:ascii="Arial" w:hAnsi="Arial" w:cs="Arial"/>
        </w:rPr>
        <w:t>This table comprises 4 subtables, each listing methylation values for target sites derived from either original clocks or PC-guided clocks, based on DNAm maps from Neandertals or Denisovans. Chromosomal location of each methylation site is presented. Note that the beta value of a site failed to match is set to zero, reflecting the perspective that the site could not be matched due to the absence of methylation in Neandertals or Denisovans.</w:t>
      </w:r>
    </w:p>
    <w:p w14:paraId="25FA16A9">
      <w:pPr>
        <w:widowControl/>
        <w:jc w:val="left"/>
        <w:rPr>
          <w:rFonts w:ascii="Arial" w:hAnsi="Arial" w:cs="Arial"/>
        </w:rPr>
      </w:pPr>
      <w:r>
        <w:rPr>
          <w:rFonts w:ascii="Arial" w:hAnsi="Arial" w:cs="Arial"/>
          <w:b/>
          <w:bCs/>
        </w:rPr>
        <w:br w:type="page"/>
      </w:r>
    </w:p>
    <w:p w14:paraId="2414A289">
      <w:pPr>
        <w:pStyle w:val="33"/>
        <w:numPr>
          <w:ilvl w:val="0"/>
          <w:numId w:val="1"/>
        </w:numPr>
        <w:ind w:left="442" w:hanging="442"/>
        <w:rPr>
          <w:rFonts w:ascii="Arial" w:hAnsi="Arial" w:cs="Arial"/>
          <w:b/>
          <w:bCs/>
        </w:rPr>
      </w:pPr>
      <w:r>
        <w:rPr>
          <w:rFonts w:ascii="Arial" w:hAnsi="Arial" w:cs="Arial"/>
          <w:b/>
          <w:bCs/>
        </w:rPr>
        <w:t>New PC</w:t>
      </w:r>
      <w:r>
        <w:rPr>
          <w:rFonts w:hint="eastAsia" w:ascii="Arial" w:hAnsi="Arial" w:cs="Arial"/>
          <w:b/>
          <w:bCs/>
        </w:rPr>
        <w:t>-guided</w:t>
      </w:r>
      <w:r>
        <w:rPr>
          <w:rFonts w:ascii="Arial" w:hAnsi="Arial" w:cs="Arial"/>
          <w:b/>
          <w:bCs/>
        </w:rPr>
        <w:t xml:space="preserve"> clocks trained</w:t>
      </w:r>
    </w:p>
    <w:p w14:paraId="0E7D5707">
      <w:pPr>
        <w:pStyle w:val="14"/>
        <w:jc w:val="center"/>
        <w:rPr>
          <w:rFonts w:hint="eastAsia"/>
        </w:rPr>
      </w:pPr>
      <w:r>
        <w:rPr>
          <w:rFonts w:hint="eastAsia"/>
        </w:rPr>
        <w:drawing>
          <wp:inline distT="0" distB="0" distL="0" distR="0">
            <wp:extent cx="5399405" cy="1786890"/>
            <wp:effectExtent l="0" t="0" r="0" b="3810"/>
            <wp:docPr id="2097217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7820"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00000" cy="1787128"/>
                    </a:xfrm>
                    <a:prstGeom prst="rect">
                      <a:avLst/>
                    </a:prstGeom>
                    <a:noFill/>
                    <a:ln>
                      <a:noFill/>
                    </a:ln>
                  </pic:spPr>
                </pic:pic>
              </a:graphicData>
            </a:graphic>
          </wp:inline>
        </w:drawing>
      </w:r>
    </w:p>
    <w:p w14:paraId="7F94FCF2">
      <w:pPr>
        <w:rPr>
          <w:rFonts w:ascii="Arial" w:hAnsi="Arial" w:cs="Arial"/>
        </w:rPr>
      </w:pPr>
      <w:r>
        <w:rPr>
          <w:rFonts w:ascii="Arial" w:hAnsi="Arial" w:cs="Arial"/>
          <w:b/>
          <w:bCs/>
        </w:rPr>
        <w:t xml:space="preserve">Fig. S1 | Age-correlation of estimation results using </w:t>
      </w:r>
      <w:r>
        <w:rPr>
          <w:rFonts w:hint="eastAsia" w:ascii="Arial" w:hAnsi="Arial" w:cs="Arial"/>
          <w:b/>
          <w:bCs/>
        </w:rPr>
        <w:t>three newly trained PC-guided clocks</w:t>
      </w:r>
      <w:r>
        <w:rPr>
          <w:rFonts w:ascii="Arial" w:hAnsi="Arial" w:cs="Arial"/>
          <w:b/>
          <w:bCs/>
        </w:rPr>
        <w:t xml:space="preserve"> within the training dataset</w:t>
      </w:r>
      <w:r>
        <w:rPr>
          <w:rFonts w:hint="eastAsia" w:ascii="Arial" w:hAnsi="Arial" w:cs="Arial"/>
          <w:b/>
          <w:bCs/>
        </w:rPr>
        <w:t>.</w:t>
      </w:r>
      <w:r>
        <w:rPr>
          <w:rFonts w:ascii="Arial" w:hAnsi="Arial" w:cs="Arial"/>
        </w:rPr>
        <w:t xml:space="preserve"> Individual points represent training samples, with</w:t>
      </w:r>
      <w:r>
        <w:rPr>
          <w:rFonts w:hint="eastAsia" w:ascii="Arial" w:hAnsi="Arial" w:cs="Arial"/>
        </w:rPr>
        <w:t xml:space="preserve"> the</w:t>
      </w:r>
      <w:r>
        <w:rPr>
          <w:rFonts w:ascii="Arial" w:hAnsi="Arial" w:cs="Arial"/>
        </w:rPr>
        <w:t xml:space="preserve"> </w:t>
      </w:r>
      <w:r>
        <w:rPr>
          <w:rFonts w:hint="eastAsia" w:ascii="Arial" w:hAnsi="Arial" w:cs="Arial"/>
        </w:rPr>
        <w:t>clock</w:t>
      </w:r>
      <w:r>
        <w:rPr>
          <w:rFonts w:ascii="Arial" w:hAnsi="Arial" w:cs="Arial"/>
        </w:rPr>
        <w:t>’</w:t>
      </w:r>
      <w:r>
        <w:rPr>
          <w:rFonts w:hint="eastAsia" w:ascii="Arial" w:hAnsi="Arial" w:cs="Arial"/>
        </w:rPr>
        <w:t xml:space="preserve">s name and </w:t>
      </w:r>
      <w:r>
        <w:rPr>
          <w:rFonts w:ascii="Arial" w:hAnsi="Arial" w:cs="Arial"/>
        </w:rPr>
        <w:t xml:space="preserve">Pearson’s correlation coefficient between chronological age and predicted age displayed </w:t>
      </w:r>
      <w:r>
        <w:rPr>
          <w:rFonts w:hint="eastAsia" w:ascii="Arial" w:hAnsi="Arial" w:cs="Arial"/>
        </w:rPr>
        <w:t>at</w:t>
      </w:r>
      <w:r>
        <w:rPr>
          <w:rFonts w:ascii="Arial" w:hAnsi="Arial" w:cs="Arial"/>
        </w:rPr>
        <w:t xml:space="preserve"> the upper left corner. The dashed line shows the linear relationship between predicted age and chronological age.</w:t>
      </w:r>
      <w:r>
        <w:rPr>
          <w:rFonts w:hint="eastAsia" w:ascii="Arial" w:hAnsi="Arial" w:cs="Arial"/>
        </w:rPr>
        <w:t xml:space="preserve"> Note that PCWeidner substantially underperforms PCLin and PCZhang, rendering it unsuitable to be a PC-guided clock. </w:t>
      </w:r>
    </w:p>
    <w:p w14:paraId="47280373">
      <w:pPr>
        <w:spacing w:line="360" w:lineRule="auto"/>
        <w:rPr>
          <w:rFonts w:ascii="Arial" w:hAnsi="Arial" w:cs="Arial"/>
        </w:rPr>
      </w:pPr>
      <w:r>
        <w:rPr>
          <w:rFonts w:ascii="Times New Roman" w:hAnsi="Times New Roman" w:cs="Times New Roman"/>
          <w:sz w:val="24"/>
          <w:szCs w:val="24"/>
        </w:rPr>
        <w:br w:type="page"/>
      </w:r>
    </w:p>
    <w:p w14:paraId="6ABF5F36">
      <w:pPr>
        <w:pStyle w:val="33"/>
        <w:widowControl/>
        <w:numPr>
          <w:ilvl w:val="0"/>
          <w:numId w:val="1"/>
        </w:numPr>
        <w:jc w:val="left"/>
        <w:rPr>
          <w:rFonts w:ascii="Arial" w:hAnsi="Arial" w:cs="Arial"/>
          <w:b/>
          <w:bCs/>
        </w:rPr>
      </w:pPr>
      <w:r>
        <w:rPr>
          <w:rFonts w:hint="eastAsia" w:ascii="Arial" w:hAnsi="Arial" w:cs="Arial"/>
          <w:b/>
          <w:bCs/>
        </w:rPr>
        <w:t>Genomic analysis of methylation clocks</w:t>
      </w:r>
    </w:p>
    <w:p w14:paraId="54DD70D3">
      <w:pPr>
        <w:pStyle w:val="14"/>
        <w:rPr>
          <w:rFonts w:hint="eastAsia"/>
        </w:rPr>
      </w:pPr>
      <w:r>
        <w:rPr>
          <w:rFonts w:hint="eastAsia"/>
        </w:rPr>
        <w:drawing>
          <wp:inline distT="0" distB="0" distL="0" distR="0">
            <wp:extent cx="5273675" cy="4986655"/>
            <wp:effectExtent l="0" t="0" r="317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000" cy="4987074"/>
                    </a:xfrm>
                    <a:prstGeom prst="rect">
                      <a:avLst/>
                    </a:prstGeom>
                    <a:noFill/>
                    <a:ln>
                      <a:noFill/>
                    </a:ln>
                  </pic:spPr>
                </pic:pic>
              </a:graphicData>
            </a:graphic>
          </wp:inline>
        </w:drawing>
      </w:r>
    </w:p>
    <w:p w14:paraId="4492D94E">
      <w:pPr>
        <w:widowControl/>
        <w:rPr>
          <w:rFonts w:ascii="Arial" w:hAnsi="Arial" w:cs="Arial"/>
        </w:rPr>
      </w:pPr>
      <w:r>
        <w:rPr>
          <w:rFonts w:hint="eastAsia" w:ascii="Arial" w:hAnsi="Arial" w:cs="Arial"/>
          <w:b/>
          <w:bCs/>
        </w:rPr>
        <w:t xml:space="preserve">Fig. S2 | Chromosomal distributions of methylation sites in methylation clocks. </w:t>
      </w:r>
      <w:r>
        <w:rPr>
          <w:rFonts w:hint="eastAsia" w:ascii="Arial" w:hAnsi="Arial" w:cs="Arial"/>
        </w:rPr>
        <w:t xml:space="preserve">The upper and lower panels show the distribution of methylation sites along the chromosomes in original clocks and PC-guided clocks, labelled at the top center. Each bar in a panel represents the number of target methylation sites derived from methylation clocks located on a </w:t>
      </w:r>
      <w:r>
        <w:rPr>
          <w:rFonts w:ascii="Arial" w:hAnsi="Arial" w:cs="Arial"/>
        </w:rPr>
        <w:t>specific</w:t>
      </w:r>
      <w:r>
        <w:rPr>
          <w:rFonts w:hint="eastAsia" w:ascii="Arial" w:hAnsi="Arial" w:cs="Arial"/>
        </w:rPr>
        <w:t xml:space="preserve"> chromosome. In the upper panel, values are shown for all 22 autosomes and the X chromosome (the Y chromosome excluded), confirming each contains at least one site from methylation clocks. In the lower panel, values are shown for only 22 autosomes, while sex chromosomes are excluded due to the absence of any target sites.</w:t>
      </w:r>
    </w:p>
    <w:p w14:paraId="7FF71F2D">
      <w:pPr>
        <w:rPr>
          <w:rFonts w:ascii="Arial" w:hAnsi="Arial" w:cs="Arial"/>
        </w:rPr>
      </w:pPr>
      <w:r>
        <w:br w:type="page"/>
      </w:r>
    </w:p>
    <w:p w14:paraId="60D39FBF">
      <w:pPr>
        <w:pStyle w:val="14"/>
        <w:jc w:val="center"/>
        <w:rPr>
          <w:rFonts w:hint="eastAsia"/>
        </w:rPr>
      </w:pPr>
      <w:r>
        <w:rPr>
          <w:rFonts w:hint="eastAsia"/>
        </w:rPr>
        <w:drawing>
          <wp:inline distT="0" distB="0" distL="0" distR="0">
            <wp:extent cx="5273675" cy="6696075"/>
            <wp:effectExtent l="0" t="0" r="3175" b="0"/>
            <wp:docPr id="1621368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68147"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000" cy="6696180"/>
                    </a:xfrm>
                    <a:prstGeom prst="rect">
                      <a:avLst/>
                    </a:prstGeom>
                    <a:noFill/>
                    <a:ln>
                      <a:noFill/>
                    </a:ln>
                  </pic:spPr>
                </pic:pic>
              </a:graphicData>
            </a:graphic>
          </wp:inline>
        </w:drawing>
      </w:r>
    </w:p>
    <w:p w14:paraId="13469852">
      <w:pPr>
        <w:widowControl/>
        <w:rPr>
          <w:rFonts w:ascii="Arial" w:hAnsi="Arial" w:cs="Arial"/>
        </w:rPr>
      </w:pPr>
      <w:r>
        <w:rPr>
          <w:rFonts w:hint="eastAsia" w:ascii="Arial" w:hAnsi="Arial" w:cs="Arial"/>
          <w:b/>
          <w:bCs/>
        </w:rPr>
        <w:t xml:space="preserve">Fig. S3 | Chromosomal position distributions of methylation sites in each original clock. </w:t>
      </w:r>
      <w:r>
        <w:rPr>
          <w:rFonts w:hint="eastAsia" w:ascii="Arial" w:hAnsi="Arial" w:cs="Arial"/>
        </w:rPr>
        <w:t>Each panel corresponds to a distinct original clock, labeled at the top. Within a panel, each bar represents the number of target methylation sites derived from an original clock, categorized by chromosomal positions according to 27K and 450K Beadchip annotations. This includes six genomic regions plus an additional category for sites not associated with any nearby genes. Values are shown for all seven groups. Note that some sites belong to different positions for more than one gene.</w:t>
      </w:r>
    </w:p>
    <w:p w14:paraId="1A508FB9">
      <w:pPr>
        <w:widowControl/>
        <w:jc w:val="left"/>
        <w:rPr>
          <w:rFonts w:ascii="Arial" w:hAnsi="Arial" w:cs="Arial"/>
        </w:rPr>
      </w:pPr>
      <w:r>
        <w:rPr>
          <w:rFonts w:ascii="Arial" w:hAnsi="Arial" w:cs="Arial"/>
          <w:b/>
          <w:bCs/>
        </w:rPr>
        <w:br w:type="page"/>
      </w:r>
    </w:p>
    <w:p w14:paraId="0516F2CC">
      <w:pPr>
        <w:pStyle w:val="14"/>
        <w:jc w:val="center"/>
        <w:rPr>
          <w:rFonts w:hint="eastAsia"/>
        </w:rPr>
      </w:pPr>
      <w:r>
        <w:rPr>
          <w:rFonts w:hint="eastAsia"/>
        </w:rPr>
        <w:drawing>
          <wp:inline distT="0" distB="0" distL="0" distR="0">
            <wp:extent cx="5273675" cy="5323205"/>
            <wp:effectExtent l="0" t="0" r="317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000" cy="5323831"/>
                    </a:xfrm>
                    <a:prstGeom prst="rect">
                      <a:avLst/>
                    </a:prstGeom>
                    <a:noFill/>
                    <a:ln>
                      <a:noFill/>
                    </a:ln>
                  </pic:spPr>
                </pic:pic>
              </a:graphicData>
            </a:graphic>
          </wp:inline>
        </w:drawing>
      </w:r>
    </w:p>
    <w:p w14:paraId="0DFC5F78">
      <w:pPr>
        <w:widowControl/>
        <w:rPr>
          <w:rFonts w:ascii="Arial" w:hAnsi="Arial" w:cs="Arial"/>
        </w:rPr>
      </w:pPr>
      <w:r>
        <w:rPr>
          <w:rFonts w:hint="eastAsia" w:ascii="Arial" w:hAnsi="Arial" w:cs="Arial"/>
          <w:b/>
          <w:bCs/>
        </w:rPr>
        <w:t xml:space="preserve">Fig. S4 | Chromosomal position distributions of methylation sites derived from PC-guided clocks. </w:t>
      </w:r>
      <w:r>
        <w:rPr>
          <w:rFonts w:hint="eastAsia" w:ascii="Arial" w:hAnsi="Arial" w:cs="Arial"/>
        </w:rPr>
        <w:t>Each bar represents the number of target methylation sites derived from PC-guided clocks, categorized by chromosomal positions according to 27K and 450K Beadchip annotations. This includes six genomic regions plus an additional category for sites not associated with any nearby genes. Values are shown for all seven groups. Note that some sites belong to different positions for more than one gene. Since all PC-guided clocks used identical methylation sites, a single panel is sufficient.</w:t>
      </w:r>
    </w:p>
    <w:p w14:paraId="535D164D">
      <w:pPr>
        <w:widowControl/>
        <w:jc w:val="left"/>
        <w:rPr>
          <w:rFonts w:ascii="Arial" w:hAnsi="Arial" w:cs="Arial"/>
        </w:rPr>
      </w:pPr>
      <w:r>
        <w:rPr>
          <w:rFonts w:ascii="Arial" w:hAnsi="Arial" w:cs="Arial"/>
          <w:b/>
          <w:bCs/>
        </w:rPr>
        <w:br w:type="page"/>
      </w:r>
    </w:p>
    <w:p w14:paraId="7A51D5F3">
      <w:pPr>
        <w:pStyle w:val="33"/>
        <w:widowControl/>
        <w:numPr>
          <w:ilvl w:val="0"/>
          <w:numId w:val="1"/>
        </w:numPr>
        <w:jc w:val="left"/>
        <w:rPr>
          <w:rFonts w:ascii="Arial" w:hAnsi="Arial" w:cs="Arial"/>
          <w:b/>
          <w:bCs/>
        </w:rPr>
      </w:pPr>
      <w:r>
        <w:rPr>
          <w:rFonts w:hint="eastAsia" w:ascii="Arial" w:hAnsi="Arial" w:cs="Arial"/>
          <w:b/>
          <w:bCs/>
        </w:rPr>
        <w:t>Outlier detection methods comparison for methylation sites</w:t>
      </w:r>
    </w:p>
    <w:p w14:paraId="27259639">
      <w:pPr>
        <w:pStyle w:val="14"/>
        <w:jc w:val="center"/>
        <w:rPr>
          <w:rFonts w:hint="eastAsia"/>
        </w:rPr>
      </w:pPr>
      <w:r>
        <w:rPr>
          <w:rFonts w:hint="eastAsia"/>
        </w:rPr>
        <w:drawing>
          <wp:inline distT="0" distB="0" distL="0" distR="0">
            <wp:extent cx="5273675" cy="2805430"/>
            <wp:effectExtent l="0" t="0" r="3175" b="0"/>
            <wp:docPr id="326823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377"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000" cy="2805457"/>
                    </a:xfrm>
                    <a:prstGeom prst="rect">
                      <a:avLst/>
                    </a:prstGeom>
                    <a:noFill/>
                    <a:ln>
                      <a:noFill/>
                    </a:ln>
                  </pic:spPr>
                </pic:pic>
              </a:graphicData>
            </a:graphic>
          </wp:inline>
        </w:drawing>
      </w:r>
    </w:p>
    <w:p w14:paraId="69A13C0B">
      <w:pPr>
        <w:widowControl/>
        <w:rPr>
          <w:rFonts w:ascii="Arial" w:hAnsi="Arial" w:cs="Arial"/>
        </w:rPr>
      </w:pPr>
      <w:r>
        <w:rPr>
          <w:rFonts w:hint="eastAsia" w:ascii="Arial" w:hAnsi="Arial" w:cs="Arial"/>
          <w:b/>
          <w:bCs/>
        </w:rPr>
        <w:t xml:space="preserve">Fig. S5 | Outlier proportions of methylation sites in methylation clocks using different detection methods. </w:t>
      </w:r>
      <w:r>
        <w:rPr>
          <w:rFonts w:hint="eastAsia" w:ascii="Arial" w:hAnsi="Arial" w:cs="Arial"/>
        </w:rPr>
        <w:t>The left and right panels show the proportions of methylation site value outliers in original clocks and PC-guided clocks, labelled at the upper left corner. Three outlier identification methods are used for methylation sites derived from methylation clocks: (i) the interquartile range (IQR) method, (ii) the median absolute deviation (MAD) method adjusted for non-normal distribution, and (iii) a threshold-based approach using the 5</w:t>
      </w:r>
      <w:r>
        <w:rPr>
          <w:rFonts w:hint="eastAsia" w:ascii="Arial" w:hAnsi="Arial" w:cs="Arial"/>
          <w:vertAlign w:val="superscript"/>
        </w:rPr>
        <w:t>th</w:t>
      </w:r>
      <w:r>
        <w:rPr>
          <w:rFonts w:hint="eastAsia" w:ascii="Arial" w:hAnsi="Arial" w:cs="Arial"/>
        </w:rPr>
        <w:t xml:space="preserve"> and 95</w:t>
      </w:r>
      <w:r>
        <w:rPr>
          <w:rFonts w:hint="eastAsia" w:ascii="Arial" w:hAnsi="Arial" w:cs="Arial"/>
          <w:vertAlign w:val="superscript"/>
        </w:rPr>
        <w:t>th</w:t>
      </w:r>
      <w:r>
        <w:rPr>
          <w:rFonts w:hint="eastAsia" w:ascii="Arial" w:hAnsi="Arial" w:cs="Arial"/>
        </w:rPr>
        <w:t xml:space="preserve"> percentiles. Each violin plot uses a unique color scheme to demonstrate the lower or upper outlier proportion distributions using either IQR or MAD method. The dashed horizontal line indicates the 5% outlier proportion level, corresponding to the fixed threshold method.</w:t>
      </w:r>
    </w:p>
    <w:p w14:paraId="1CBCD627">
      <w:pPr>
        <w:widowControl/>
        <w:jc w:val="left"/>
        <w:rPr>
          <w:rFonts w:ascii="Arial" w:hAnsi="Arial" w:cs="Arial"/>
        </w:rPr>
      </w:pPr>
      <w:r>
        <w:rPr>
          <w:rFonts w:ascii="Arial" w:hAnsi="Arial" w:cs="Arial"/>
        </w:rPr>
        <w:br w:type="page"/>
      </w:r>
    </w:p>
    <w:p w14:paraId="3452F4DA">
      <w:pPr>
        <w:pStyle w:val="33"/>
        <w:numPr>
          <w:ilvl w:val="0"/>
          <w:numId w:val="2"/>
        </w:numPr>
        <w:rPr>
          <w:rFonts w:ascii="Arial" w:hAnsi="Arial" w:cs="Arial"/>
          <w:b/>
          <w:bCs/>
        </w:rPr>
      </w:pPr>
      <w:r>
        <w:rPr>
          <w:rFonts w:hint="eastAsia" w:ascii="Arial" w:hAnsi="Arial" w:cs="Arial"/>
          <w:b/>
          <w:bCs/>
        </w:rPr>
        <w:t>Attempts of consistency analysis of CpG weights in PC-guided clocks</w:t>
      </w:r>
    </w:p>
    <w:p w14:paraId="78714980">
      <w:pPr>
        <w:pStyle w:val="14"/>
        <w:jc w:val="center"/>
        <w:rPr>
          <w:rFonts w:hint="eastAsia"/>
        </w:rPr>
      </w:pPr>
      <w:r>
        <w:rPr>
          <w:rFonts w:hint="eastAsia"/>
        </w:rPr>
        <w:drawing>
          <wp:inline distT="0" distB="0" distL="0" distR="0">
            <wp:extent cx="5273675" cy="3342005"/>
            <wp:effectExtent l="0" t="0" r="317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000" cy="3342212"/>
                    </a:xfrm>
                    <a:prstGeom prst="rect">
                      <a:avLst/>
                    </a:prstGeom>
                    <a:noFill/>
                    <a:ln>
                      <a:noFill/>
                    </a:ln>
                  </pic:spPr>
                </pic:pic>
              </a:graphicData>
            </a:graphic>
          </wp:inline>
        </w:drawing>
      </w:r>
    </w:p>
    <w:p w14:paraId="67BCCD72">
      <w:pPr>
        <w:rPr>
          <w:rFonts w:ascii="Arial" w:hAnsi="Arial" w:cs="Arial"/>
        </w:rPr>
      </w:pPr>
      <w:r>
        <w:rPr>
          <w:rFonts w:hint="eastAsia" w:ascii="Arial" w:hAnsi="Arial" w:cs="Arial"/>
          <w:b/>
          <w:bCs/>
        </w:rPr>
        <w:t xml:space="preserve">Fig. S6 | Distribution and fluctuation of methylation site weights in PD-guided clocks. </w:t>
      </w:r>
      <w:bookmarkStart w:id="0" w:name="_Hlk209883382"/>
      <w:r>
        <w:rPr>
          <w:rFonts w:ascii="Arial" w:hAnsi="Arial" w:cs="Arial"/>
        </w:rPr>
        <w:t xml:space="preserve">Each panel with unique color scheme </w:t>
      </w:r>
      <w:r>
        <w:rPr>
          <w:rFonts w:hint="eastAsia" w:ascii="Arial" w:hAnsi="Arial" w:cs="Arial"/>
        </w:rPr>
        <w:t>represents a</w:t>
      </w:r>
      <w:r>
        <w:rPr>
          <w:rFonts w:ascii="Arial" w:hAnsi="Arial" w:cs="Arial"/>
        </w:rPr>
        <w:t xml:space="preserve"> PC</w:t>
      </w:r>
      <w:r>
        <w:rPr>
          <w:rFonts w:hint="eastAsia" w:ascii="Arial" w:hAnsi="Arial" w:cs="Arial"/>
        </w:rPr>
        <w:t>-guided</w:t>
      </w:r>
      <w:r>
        <w:rPr>
          <w:rFonts w:ascii="Arial" w:hAnsi="Arial" w:cs="Arial"/>
        </w:rPr>
        <w:t xml:space="preserve"> clock</w:t>
      </w:r>
      <w:r>
        <w:rPr>
          <w:rFonts w:hint="eastAsia" w:ascii="Arial" w:hAnsi="Arial" w:cs="Arial"/>
        </w:rPr>
        <w:t>, labelled at the top.</w:t>
      </w:r>
      <w:bookmarkEnd w:id="0"/>
      <w:r>
        <w:rPr>
          <w:rFonts w:hint="eastAsia" w:ascii="Arial" w:hAnsi="Arial" w:cs="Arial"/>
        </w:rPr>
        <w:t xml:space="preserve"> The line tracks the weight for each of the 78464 sites, and the intercept of the clock is shown. Note the distinct weight scale for PCHorvath1 and PCHorvath2, resulting from a specific mathematical transformation applied to their estimation results.</w:t>
      </w:r>
    </w:p>
    <w:p w14:paraId="0BEE0D08">
      <w:pPr>
        <w:widowControl/>
        <w:jc w:val="left"/>
        <w:rPr>
          <w:rFonts w:ascii="Arial" w:hAnsi="Arial" w:cs="Arial"/>
        </w:rPr>
      </w:pPr>
      <w:r>
        <w:rPr>
          <w:rFonts w:ascii="Arial" w:hAnsi="Arial" w:cs="Arial"/>
          <w:b/>
          <w:bCs/>
        </w:rPr>
        <w:br w:type="page"/>
      </w:r>
    </w:p>
    <w:p w14:paraId="6E026BC9">
      <w:pPr>
        <w:pStyle w:val="14"/>
        <w:rPr>
          <w:rFonts w:hint="eastAsia"/>
        </w:rPr>
      </w:pPr>
      <w:r>
        <w:rPr>
          <w:rFonts w:hint="eastAsia"/>
        </w:rPr>
        <w:drawing>
          <wp:inline distT="0" distB="0" distL="0" distR="0">
            <wp:extent cx="5273675" cy="3589655"/>
            <wp:effectExtent l="0" t="0" r="317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000" cy="3589659"/>
                    </a:xfrm>
                    <a:prstGeom prst="rect">
                      <a:avLst/>
                    </a:prstGeom>
                    <a:noFill/>
                    <a:ln>
                      <a:noFill/>
                    </a:ln>
                  </pic:spPr>
                </pic:pic>
              </a:graphicData>
            </a:graphic>
          </wp:inline>
        </w:drawing>
      </w:r>
    </w:p>
    <w:p w14:paraId="60A39D7C">
      <w:pPr>
        <w:widowControl/>
        <w:rPr>
          <w:rFonts w:ascii="Arial" w:hAnsi="Arial" w:cs="Arial"/>
        </w:rPr>
      </w:pPr>
      <w:r>
        <w:rPr>
          <w:rFonts w:hint="eastAsia" w:ascii="Arial" w:hAnsi="Arial" w:cs="Arial"/>
          <w:b/>
          <w:bCs/>
        </w:rPr>
        <w:t xml:space="preserve">Fig. S7 | Distribution of the coefficient of variation (CV) for methylation site weights across PC-guided clocks. </w:t>
      </w:r>
      <w:r>
        <w:rPr>
          <w:rFonts w:hint="eastAsia" w:ascii="Arial" w:hAnsi="Arial" w:cs="Arial"/>
        </w:rPr>
        <w:t xml:space="preserve">The upper panel categorized the number of methylation site weights (intercepts included) </w:t>
      </w:r>
      <w:r>
        <w:rPr>
          <w:rFonts w:ascii="Arial" w:hAnsi="Arial" w:cs="Arial"/>
        </w:rPr>
        <w:t>based</w:t>
      </w:r>
      <w:r>
        <w:rPr>
          <w:rFonts w:hint="eastAsia" w:ascii="Arial" w:hAnsi="Arial" w:cs="Arial"/>
        </w:rPr>
        <w:t xml:space="preserve"> on their CV into three ranges: CV </w:t>
      </w:r>
      <w:r>
        <w:rPr>
          <w:rFonts w:ascii="Arial" w:hAnsi="Arial" w:cs="Arial"/>
        </w:rPr>
        <w:t>≤</w:t>
      </w:r>
      <w:r>
        <w:rPr>
          <w:rFonts w:hint="eastAsia" w:ascii="Arial" w:hAnsi="Arial" w:cs="Arial"/>
        </w:rPr>
        <w:t xml:space="preserve"> 10, 10 &lt; CV </w:t>
      </w:r>
      <w:r>
        <w:rPr>
          <w:rFonts w:ascii="Arial" w:hAnsi="Arial" w:cs="Arial"/>
        </w:rPr>
        <w:t>≤</w:t>
      </w:r>
      <w:r>
        <w:rPr>
          <w:rFonts w:hint="eastAsia" w:ascii="Arial" w:hAnsi="Arial" w:cs="Arial"/>
        </w:rPr>
        <w:t xml:space="preserve"> 100, and CV &gt; 100. Three lower panels depict the distribution of CV within each of these groups, as labelled at the top. The maximum mean weight within each group is also provided at the upper left corner. Note that a CV exceeding 0.1 can be considered indicative of substantial divergence.</w:t>
      </w:r>
    </w:p>
    <w:p w14:paraId="173C1E8C">
      <w:pPr>
        <w:widowControl/>
        <w:jc w:val="left"/>
        <w:rPr>
          <w:rFonts w:ascii="Arial" w:hAnsi="Arial" w:cs="Arial"/>
        </w:rPr>
      </w:pPr>
      <w:r>
        <w:rPr>
          <w:rFonts w:ascii="Arial" w:hAnsi="Arial" w:cs="Arial"/>
          <w:b/>
          <w:bCs/>
        </w:rPr>
        <w:br w:type="page"/>
      </w:r>
    </w:p>
    <w:p w14:paraId="266E2F8B">
      <w:pPr>
        <w:pStyle w:val="33"/>
        <w:numPr>
          <w:ilvl w:val="0"/>
          <w:numId w:val="3"/>
        </w:numPr>
        <w:rPr>
          <w:rFonts w:ascii="Arial" w:hAnsi="Arial" w:cs="Arial"/>
          <w:b/>
          <w:bCs/>
        </w:rPr>
      </w:pPr>
      <w:r>
        <w:rPr>
          <w:rFonts w:hint="eastAsia" w:ascii="Arial" w:hAnsi="Arial" w:cs="Arial"/>
          <w:b/>
          <w:bCs/>
        </w:rPr>
        <w:t>Impact of random seed setting strategies in resampling</w:t>
      </w:r>
    </w:p>
    <w:p w14:paraId="3E8CC6C7">
      <w:pPr>
        <w:pStyle w:val="14"/>
        <w:jc w:val="center"/>
        <w:rPr>
          <w:rFonts w:hint="eastAsia"/>
        </w:rPr>
      </w:pPr>
      <w:r>
        <w:rPr>
          <w:rFonts w:hint="eastAsia"/>
        </w:rPr>
        <w:drawing>
          <wp:inline distT="0" distB="0" distL="0" distR="0">
            <wp:extent cx="5273675" cy="5310505"/>
            <wp:effectExtent l="0" t="0" r="31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000" cy="5311135"/>
                    </a:xfrm>
                    <a:prstGeom prst="rect">
                      <a:avLst/>
                    </a:prstGeom>
                    <a:noFill/>
                    <a:ln>
                      <a:noFill/>
                    </a:ln>
                  </pic:spPr>
                </pic:pic>
              </a:graphicData>
            </a:graphic>
          </wp:inline>
        </w:drawing>
      </w:r>
    </w:p>
    <w:p w14:paraId="13572175">
      <w:pPr>
        <w:rPr>
          <w:rFonts w:ascii="Arial" w:hAnsi="Arial" w:cs="Arial"/>
        </w:rPr>
      </w:pPr>
      <w:r>
        <w:rPr>
          <w:rFonts w:hint="eastAsia" w:ascii="Arial" w:hAnsi="Arial" w:cs="Arial"/>
          <w:b/>
          <w:bCs/>
        </w:rPr>
        <w:t>Fig. S8 | Comparison of maximum age prediction between two random seed setting strategies in resampling.</w:t>
      </w:r>
      <w:r>
        <w:rPr>
          <w:rFonts w:hint="eastAsia" w:ascii="Arial" w:hAnsi="Arial" w:cs="Arial"/>
        </w:rPr>
        <w:t xml:space="preserve"> Two seed strategies refer to (i) resetting the random seed before resampling each methylation site, and (ii) setting the random seed only once prior to resampling all methylation sites. Each boxplot summarizes the maximum age predictions obtained from each of six new sample groups (ranging from 10,000 to 200,000 in size) under a given seed strategy. Individual points represent the maximum age prediction within each group. Prediction differences between two seed strategies are assessed using Wilcoxon signed rank test with continuity correction, with p-values labelled.</w:t>
      </w:r>
    </w:p>
    <w:p w14:paraId="1763D6EF">
      <w:pPr>
        <w:widowControl/>
        <w:jc w:val="left"/>
        <w:rPr>
          <w:rFonts w:ascii="Arial" w:hAnsi="Arial" w:cs="Arial"/>
        </w:rPr>
      </w:pPr>
      <w:r>
        <w:rPr>
          <w:rFonts w:ascii="Arial" w:hAnsi="Arial" w:cs="Arial"/>
        </w:rPr>
        <w:br w:type="page"/>
      </w:r>
    </w:p>
    <w:p w14:paraId="6E941468">
      <w:pPr>
        <w:pStyle w:val="14"/>
        <w:jc w:val="center"/>
        <w:rPr>
          <w:rFonts w:hint="eastAsia"/>
        </w:rPr>
      </w:pPr>
      <w:r>
        <w:rPr>
          <w:rFonts w:hint="eastAsia"/>
        </w:rPr>
        <w:drawing>
          <wp:inline distT="0" distB="0" distL="0" distR="0">
            <wp:extent cx="3599815" cy="5885815"/>
            <wp:effectExtent l="0" t="0" r="635" b="635"/>
            <wp:docPr id="1530552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52672"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00000" cy="5886155"/>
                    </a:xfrm>
                    <a:prstGeom prst="rect">
                      <a:avLst/>
                    </a:prstGeom>
                    <a:noFill/>
                    <a:ln>
                      <a:noFill/>
                    </a:ln>
                  </pic:spPr>
                </pic:pic>
              </a:graphicData>
            </a:graphic>
          </wp:inline>
        </w:drawing>
      </w:r>
    </w:p>
    <w:p w14:paraId="1C193450">
      <w:pPr>
        <w:rPr>
          <w:rFonts w:ascii="Arial" w:hAnsi="Arial" w:cs="Arial"/>
        </w:rPr>
      </w:pPr>
      <w:r>
        <w:rPr>
          <w:rFonts w:hint="eastAsia" w:ascii="Arial" w:hAnsi="Arial" w:cs="Arial"/>
          <w:b/>
          <w:bCs/>
        </w:rPr>
        <w:t xml:space="preserve">Fig. S9 | Comparison of outlier proportion between two random seed setting strategies in resampling. </w:t>
      </w:r>
      <w:r>
        <w:rPr>
          <w:rFonts w:hint="eastAsia" w:ascii="Arial" w:hAnsi="Arial" w:cs="Arial"/>
        </w:rPr>
        <w:t>Two seed strategies refer to (i) resetting the random seed before resampling each methylation site, and (ii) setting the random seed only once prior to resampling all methylation sites. Two panel displays the distributions of lower and upper outlier proportions respectively, labelled at the upper left corner. Each boxplot summarizes the outlier proportions for samples with maximum age prediction obtained from each of six groups (ranging from 10,000 to 200,000 in size) under a given seed strategy. Individual points represent the outlier proportions for samples in each group. Prediction differences between two seed strategies are assessed using Wilcoxon signed rank test with continuity correction, with p-values labelled (NA p-value means that all values are identical).</w:t>
      </w:r>
    </w:p>
    <w:p w14:paraId="680ABF64">
      <w:pPr>
        <w:widowControl/>
        <w:jc w:val="left"/>
        <w:rPr>
          <w:rFonts w:ascii="Arial" w:hAnsi="Arial" w:cs="Arial"/>
        </w:rPr>
      </w:pPr>
      <w:r>
        <w:rPr>
          <w:rFonts w:ascii="Arial" w:hAnsi="Arial" w:cs="Arial"/>
        </w:rPr>
        <w:br w:type="page"/>
      </w:r>
    </w:p>
    <w:p w14:paraId="1DC4CD6C">
      <w:pPr>
        <w:pStyle w:val="33"/>
        <w:widowControl/>
        <w:numPr>
          <w:ilvl w:val="0"/>
          <w:numId w:val="4"/>
        </w:numPr>
        <w:jc w:val="left"/>
        <w:rPr>
          <w:rFonts w:ascii="Arial" w:hAnsi="Arial" w:cs="Arial"/>
          <w:b/>
          <w:bCs/>
        </w:rPr>
      </w:pPr>
      <w:r>
        <w:rPr>
          <w:rFonts w:hint="eastAsia" w:ascii="Arial" w:hAnsi="Arial" w:cs="Arial"/>
          <w:b/>
          <w:bCs/>
        </w:rPr>
        <w:t>Impact of sample size on maximum age prediction in resampling</w:t>
      </w:r>
    </w:p>
    <w:p w14:paraId="6B4016A9">
      <w:pPr>
        <w:pStyle w:val="14"/>
        <w:jc w:val="center"/>
        <w:rPr>
          <w:rFonts w:hint="eastAsia"/>
        </w:rPr>
      </w:pPr>
      <w:r>
        <w:rPr>
          <w:rFonts w:hint="eastAsia"/>
        </w:rPr>
        <w:drawing>
          <wp:inline distT="0" distB="0" distL="0" distR="0">
            <wp:extent cx="5273675" cy="6753225"/>
            <wp:effectExtent l="0" t="0" r="3175" b="9525"/>
            <wp:docPr id="2431142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14284"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000" cy="6753777"/>
                    </a:xfrm>
                    <a:prstGeom prst="rect">
                      <a:avLst/>
                    </a:prstGeom>
                    <a:noFill/>
                    <a:ln>
                      <a:noFill/>
                    </a:ln>
                  </pic:spPr>
                </pic:pic>
              </a:graphicData>
            </a:graphic>
          </wp:inline>
        </w:drawing>
      </w:r>
    </w:p>
    <w:p w14:paraId="7A629194">
      <w:pPr>
        <w:widowControl/>
        <w:rPr>
          <w:rFonts w:ascii="Arial" w:hAnsi="Arial" w:cs="Arial"/>
        </w:rPr>
      </w:pPr>
      <w:r>
        <w:rPr>
          <w:rFonts w:hint="eastAsia" w:ascii="Arial" w:hAnsi="Arial" w:cs="Arial"/>
          <w:b/>
          <w:bCs/>
        </w:rPr>
        <w:t xml:space="preserve">Fig. S10 | Relationship between sample size and maximum age prediction in original clocks. </w:t>
      </w:r>
      <w:r>
        <w:rPr>
          <w:rFonts w:ascii="Arial" w:hAnsi="Arial" w:cs="Arial"/>
        </w:rPr>
        <w:t>Each panel with unique color scheme</w:t>
      </w:r>
      <w:r>
        <w:rPr>
          <w:rFonts w:hint="eastAsia" w:ascii="Arial" w:hAnsi="Arial" w:cs="Arial"/>
        </w:rPr>
        <w:t xml:space="preserve"> and label</w:t>
      </w:r>
      <w:r>
        <w:rPr>
          <w:rFonts w:ascii="Arial" w:hAnsi="Arial" w:cs="Arial"/>
        </w:rPr>
        <w:t xml:space="preserve"> </w:t>
      </w:r>
      <w:r>
        <w:rPr>
          <w:rFonts w:hint="eastAsia" w:ascii="Arial" w:hAnsi="Arial" w:cs="Arial"/>
        </w:rPr>
        <w:t>to represent a distinct original</w:t>
      </w:r>
      <w:r>
        <w:rPr>
          <w:rFonts w:ascii="Arial" w:hAnsi="Arial" w:cs="Arial"/>
        </w:rPr>
        <w:t xml:space="preserve"> clock</w:t>
      </w:r>
      <w:r>
        <w:rPr>
          <w:rFonts w:hint="eastAsia" w:ascii="Arial" w:hAnsi="Arial" w:cs="Arial"/>
        </w:rPr>
        <w:t xml:space="preserve"> depicts</w:t>
      </w:r>
      <w:r>
        <w:rPr>
          <w:rFonts w:hint="eastAsia"/>
        </w:rPr>
        <w:t xml:space="preserve"> </w:t>
      </w:r>
      <w:r>
        <w:rPr>
          <w:rFonts w:hint="eastAsia" w:ascii="Arial" w:hAnsi="Arial" w:cs="Arial"/>
        </w:rPr>
        <w:t>the maximum age predictions for six sample groups with varying sizes ranging from 10,000 to 200,000. The solid line shows the linear regression fit, with the shaded area displaying the confidence interval. The associated p-value and regression coefficient k for sample size are annotated in the upper left corner.</w:t>
      </w:r>
    </w:p>
    <w:p w14:paraId="1D3AACF8">
      <w:pPr>
        <w:widowControl/>
        <w:jc w:val="left"/>
        <w:rPr>
          <w:rFonts w:ascii="Arial" w:hAnsi="Arial" w:cs="Arial"/>
        </w:rPr>
      </w:pPr>
      <w:r>
        <w:rPr>
          <w:rFonts w:ascii="Arial" w:hAnsi="Arial" w:cs="Arial"/>
          <w:b/>
          <w:bCs/>
        </w:rPr>
        <w:br w:type="page"/>
      </w:r>
    </w:p>
    <w:p w14:paraId="20873DB7">
      <w:pPr>
        <w:pStyle w:val="14"/>
        <w:jc w:val="center"/>
        <w:rPr>
          <w:rFonts w:hint="eastAsia"/>
        </w:rPr>
      </w:pPr>
      <w:r>
        <w:rPr>
          <w:rFonts w:hint="eastAsia"/>
        </w:rPr>
        <w:drawing>
          <wp:inline distT="0" distB="0" distL="0" distR="0">
            <wp:extent cx="5273675" cy="3391535"/>
            <wp:effectExtent l="0" t="0" r="3175" b="0"/>
            <wp:docPr id="5740927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92725"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000" cy="3391755"/>
                    </a:xfrm>
                    <a:prstGeom prst="rect">
                      <a:avLst/>
                    </a:prstGeom>
                    <a:noFill/>
                    <a:ln>
                      <a:noFill/>
                    </a:ln>
                  </pic:spPr>
                </pic:pic>
              </a:graphicData>
            </a:graphic>
          </wp:inline>
        </w:drawing>
      </w:r>
    </w:p>
    <w:p w14:paraId="7FA73355">
      <w:pPr>
        <w:widowControl/>
        <w:rPr>
          <w:rFonts w:ascii="Arial" w:hAnsi="Arial" w:cs="Arial"/>
        </w:rPr>
      </w:pPr>
      <w:r>
        <w:rPr>
          <w:rFonts w:hint="eastAsia" w:ascii="Arial" w:hAnsi="Arial" w:cs="Arial"/>
          <w:b/>
          <w:bCs/>
        </w:rPr>
        <w:t xml:space="preserve">Fig. S11 | Relationship between sample size and maximum age prediction in PC-guided clocks. </w:t>
      </w:r>
      <w:r>
        <w:rPr>
          <w:rFonts w:hint="eastAsia" w:ascii="Arial" w:hAnsi="Arial" w:cs="Arial"/>
        </w:rPr>
        <w:t>Each panel with unique color scheme and label to represent a distinct PC-guide clock depicts the maximum age predictions for six sample groups with varying sizes ranging from 1,000 to 50,000. The solid line shows the linear regression fit, with the shaded area displaying the confidence interval. The associated p-value and regression coefficient k for sample size are annotated in the upper left corner.</w:t>
      </w:r>
    </w:p>
    <w:p w14:paraId="61F5D183">
      <w:pPr>
        <w:widowControl/>
        <w:jc w:val="left"/>
        <w:rPr>
          <w:rFonts w:ascii="Arial" w:hAnsi="Arial" w:cs="Arial"/>
        </w:rPr>
      </w:pPr>
      <w:r>
        <w:rPr>
          <w:rFonts w:ascii="Arial" w:hAnsi="Arial" w:cs="Arial"/>
          <w:b/>
          <w:bCs/>
        </w:rPr>
        <w:br w:type="page"/>
      </w:r>
    </w:p>
    <w:p w14:paraId="7B8F07A4">
      <w:pPr>
        <w:pStyle w:val="33"/>
        <w:numPr>
          <w:ilvl w:val="0"/>
          <w:numId w:val="5"/>
        </w:numPr>
        <w:rPr>
          <w:rFonts w:ascii="Arial" w:hAnsi="Arial" w:cs="Arial"/>
          <w:b/>
          <w:bCs/>
        </w:rPr>
      </w:pPr>
      <w:r>
        <w:rPr>
          <w:rFonts w:ascii="Arial" w:hAnsi="Arial" w:cs="Arial"/>
          <w:b/>
          <w:bCs/>
        </w:rPr>
        <w:t>Strengthening notions about age underestimation in PC</w:t>
      </w:r>
      <w:r>
        <w:rPr>
          <w:rFonts w:hint="eastAsia" w:ascii="Arial" w:hAnsi="Arial" w:cs="Arial"/>
          <w:b/>
          <w:bCs/>
        </w:rPr>
        <w:t>-guided</w:t>
      </w:r>
      <w:r>
        <w:rPr>
          <w:rFonts w:ascii="Arial" w:hAnsi="Arial" w:cs="Arial"/>
          <w:b/>
          <w:bCs/>
        </w:rPr>
        <w:t xml:space="preserve"> clocks</w:t>
      </w:r>
    </w:p>
    <w:p w14:paraId="57F0B913">
      <w:pPr>
        <w:pStyle w:val="14"/>
        <w:rPr>
          <w:rFonts w:hint="eastAsia"/>
        </w:rPr>
      </w:pPr>
      <w:r>
        <w:rPr>
          <w:rFonts w:hint="eastAsia"/>
        </w:rPr>
        <w:drawing>
          <wp:inline distT="0" distB="0" distL="0" distR="0">
            <wp:extent cx="5399405" cy="3818255"/>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00000" cy="3818586"/>
                    </a:xfrm>
                    <a:prstGeom prst="rect">
                      <a:avLst/>
                    </a:prstGeom>
                    <a:noFill/>
                    <a:ln>
                      <a:noFill/>
                    </a:ln>
                  </pic:spPr>
                </pic:pic>
              </a:graphicData>
            </a:graphic>
          </wp:inline>
        </w:drawing>
      </w:r>
    </w:p>
    <w:p w14:paraId="454FBCB3">
      <w:pPr>
        <w:rPr>
          <w:rFonts w:ascii="Arial" w:hAnsi="Arial" w:cs="Arial"/>
        </w:rPr>
      </w:pPr>
      <w:r>
        <w:rPr>
          <w:rFonts w:ascii="Arial" w:hAnsi="Arial" w:cs="Arial"/>
          <w:b/>
          <w:bCs/>
        </w:rPr>
        <w:t>Fig. S</w:t>
      </w:r>
      <w:r>
        <w:rPr>
          <w:rFonts w:hint="eastAsia" w:ascii="Arial" w:hAnsi="Arial" w:cs="Arial"/>
          <w:b/>
          <w:bCs/>
        </w:rPr>
        <w:t>12</w:t>
      </w:r>
      <w:r>
        <w:rPr>
          <w:rFonts w:ascii="Arial" w:hAnsi="Arial" w:cs="Arial"/>
          <w:b/>
          <w:bCs/>
        </w:rPr>
        <w:t xml:space="preserve"> | Cumulative estimation results for the 12 oldest samples from six PC</w:t>
      </w:r>
      <w:r>
        <w:rPr>
          <w:rFonts w:hint="eastAsia" w:ascii="Arial" w:hAnsi="Arial" w:cs="Arial"/>
          <w:b/>
          <w:bCs/>
        </w:rPr>
        <w:t>-guided</w:t>
      </w:r>
      <w:r>
        <w:rPr>
          <w:rFonts w:ascii="Arial" w:hAnsi="Arial" w:cs="Arial"/>
          <w:b/>
          <w:bCs/>
        </w:rPr>
        <w:t xml:space="preserve"> clocks</w:t>
      </w:r>
      <w:r>
        <w:rPr>
          <w:rFonts w:hint="eastAsia" w:ascii="Arial" w:hAnsi="Arial" w:cs="Arial"/>
          <w:b/>
          <w:bCs/>
        </w:rPr>
        <w:t>.</w:t>
      </w:r>
      <w:r>
        <w:rPr>
          <w:rFonts w:ascii="Arial" w:hAnsi="Arial" w:cs="Arial"/>
        </w:rPr>
        <w:t xml:space="preserve"> Each panel with unique color scheme shows the cumulative estimation results from one PC</w:t>
      </w:r>
      <w:r>
        <w:rPr>
          <w:rFonts w:hint="eastAsia" w:ascii="Arial" w:hAnsi="Arial" w:cs="Arial"/>
        </w:rPr>
        <w:t>-guided</w:t>
      </w:r>
      <w:r>
        <w:rPr>
          <w:rFonts w:ascii="Arial" w:hAnsi="Arial" w:cs="Arial"/>
        </w:rPr>
        <w:t xml:space="preserve"> clock as methylation value-weight products are sequentially added, starting from the fixed baseline until all 78,464 sites are incorporated. Individual trajectories represent distinct samples.</w:t>
      </w:r>
    </w:p>
    <w:p w14:paraId="439500D0">
      <w:pPr>
        <w:widowControl/>
        <w:jc w:val="left"/>
        <w:rPr>
          <w:rFonts w:ascii="Arial" w:hAnsi="Arial" w:cs="Arial"/>
        </w:rPr>
      </w:pPr>
      <w:r>
        <w:rPr>
          <w:rFonts w:ascii="Arial" w:hAnsi="Arial" w:cs="Arial"/>
        </w:rPr>
        <w:br w:type="page"/>
      </w:r>
    </w:p>
    <w:p w14:paraId="0F628BC4">
      <w:pPr>
        <w:rPr>
          <w:rFonts w:ascii="Arial" w:hAnsi="Arial" w:cs="Arial"/>
          <w:b/>
          <w:bCs/>
        </w:rPr>
      </w:pPr>
      <w:r>
        <w:rPr>
          <w:rFonts w:hint="eastAsia" w:ascii="Arial" w:hAnsi="Arial" w:cs="Arial"/>
          <w:b/>
          <w:bCs/>
        </w:rPr>
        <w:t>Reference</w:t>
      </w:r>
    </w:p>
    <w:p w14:paraId="4F000CDE">
      <w:pPr>
        <w:tabs>
          <w:tab w:val="left" w:pos="384"/>
        </w:tabs>
        <w:ind w:left="386" w:hanging="386"/>
        <w:rPr>
          <w:rFonts w:ascii="Arial" w:hAnsi="Arial" w:cs="Arial"/>
        </w:rPr>
      </w:pPr>
      <w:r>
        <w:rPr>
          <w:rFonts w:ascii="Arial" w:hAnsi="Arial" w:cs="Arial"/>
        </w:rPr>
        <w:t>1.</w:t>
      </w:r>
      <w:r>
        <w:rPr>
          <w:rFonts w:ascii="Arial" w:hAnsi="Arial" w:cs="Arial"/>
        </w:rPr>
        <w:tab/>
      </w:r>
      <w:r>
        <w:rPr>
          <w:rFonts w:ascii="Arial" w:hAnsi="Arial" w:cs="Arial"/>
        </w:rPr>
        <w:t xml:space="preserve">Bocklandt, S. </w:t>
      </w:r>
      <w:r>
        <w:rPr>
          <w:rFonts w:ascii="Arial" w:hAnsi="Arial" w:cs="Arial"/>
          <w:i/>
          <w:iCs/>
        </w:rPr>
        <w:t>et al.</w:t>
      </w:r>
      <w:r>
        <w:rPr>
          <w:rFonts w:ascii="Arial" w:hAnsi="Arial" w:cs="Arial"/>
        </w:rPr>
        <w:t xml:space="preserve"> Epigenetic predictor of age. </w:t>
      </w:r>
      <w:r>
        <w:rPr>
          <w:rFonts w:ascii="Arial" w:hAnsi="Arial" w:cs="Arial"/>
          <w:i/>
          <w:iCs/>
        </w:rPr>
        <w:t>PLoS ONE</w:t>
      </w:r>
      <w:r>
        <w:rPr>
          <w:rFonts w:ascii="Arial" w:hAnsi="Arial" w:cs="Arial"/>
        </w:rPr>
        <w:t xml:space="preserve"> </w:t>
      </w:r>
      <w:r>
        <w:rPr>
          <w:rFonts w:ascii="Arial" w:hAnsi="Arial" w:cs="Arial"/>
          <w:b/>
          <w:bCs/>
        </w:rPr>
        <w:t>6</w:t>
      </w:r>
      <w:r>
        <w:rPr>
          <w:rFonts w:ascii="Arial" w:hAnsi="Arial" w:cs="Arial"/>
        </w:rPr>
        <w:t>, e14821 (2011).</w:t>
      </w:r>
    </w:p>
    <w:p w14:paraId="4FFA935D">
      <w:pPr>
        <w:tabs>
          <w:tab w:val="left" w:pos="384"/>
        </w:tabs>
        <w:ind w:left="386" w:hanging="386"/>
        <w:rPr>
          <w:rFonts w:ascii="Arial" w:hAnsi="Arial" w:cs="Arial"/>
        </w:rPr>
      </w:pPr>
      <w:r>
        <w:rPr>
          <w:rFonts w:ascii="Arial" w:hAnsi="Arial" w:cs="Arial"/>
        </w:rPr>
        <w:t>2.</w:t>
      </w:r>
      <w:r>
        <w:rPr>
          <w:rFonts w:ascii="Arial" w:hAnsi="Arial" w:cs="Arial"/>
        </w:rPr>
        <w:tab/>
      </w:r>
      <w:r>
        <w:rPr>
          <w:rFonts w:ascii="Arial" w:hAnsi="Arial" w:cs="Arial"/>
        </w:rPr>
        <w:t xml:space="preserve">Koch, C. M. &amp; Wagner, W. Epigenetic-aging-signature to determine age in different tissues. </w:t>
      </w:r>
      <w:r>
        <w:rPr>
          <w:rFonts w:ascii="Arial" w:hAnsi="Arial" w:cs="Arial"/>
          <w:i/>
          <w:iCs/>
        </w:rPr>
        <w:t>Aging</w:t>
      </w:r>
      <w:r>
        <w:rPr>
          <w:rFonts w:ascii="Arial" w:hAnsi="Arial" w:cs="Arial"/>
        </w:rPr>
        <w:t xml:space="preserve"> </w:t>
      </w:r>
      <w:r>
        <w:rPr>
          <w:rFonts w:ascii="Arial" w:hAnsi="Arial" w:cs="Arial"/>
          <w:b/>
          <w:bCs/>
        </w:rPr>
        <w:t>3</w:t>
      </w:r>
      <w:r>
        <w:rPr>
          <w:rFonts w:ascii="Arial" w:hAnsi="Arial" w:cs="Arial"/>
        </w:rPr>
        <w:t>, 1018–1027 (2011).</w:t>
      </w:r>
    </w:p>
    <w:p w14:paraId="5AF43425">
      <w:pPr>
        <w:tabs>
          <w:tab w:val="left" w:pos="384"/>
        </w:tabs>
        <w:ind w:left="386" w:hanging="386"/>
        <w:rPr>
          <w:rFonts w:ascii="Arial" w:hAnsi="Arial" w:cs="Arial"/>
        </w:rPr>
      </w:pPr>
      <w:r>
        <w:rPr>
          <w:rFonts w:ascii="Arial" w:hAnsi="Arial" w:cs="Arial"/>
        </w:rPr>
        <w:t>3.</w:t>
      </w:r>
      <w:r>
        <w:rPr>
          <w:rFonts w:ascii="Arial" w:hAnsi="Arial" w:cs="Arial"/>
        </w:rPr>
        <w:tab/>
      </w:r>
      <w:r>
        <w:rPr>
          <w:rFonts w:ascii="Arial" w:hAnsi="Arial" w:cs="Arial"/>
        </w:rPr>
        <w:t xml:space="preserve">Hannum, G. </w:t>
      </w:r>
      <w:r>
        <w:rPr>
          <w:rFonts w:ascii="Arial" w:hAnsi="Arial" w:cs="Arial"/>
          <w:i/>
          <w:iCs/>
        </w:rPr>
        <w:t>et al.</w:t>
      </w:r>
      <w:r>
        <w:rPr>
          <w:rFonts w:ascii="Arial" w:hAnsi="Arial" w:cs="Arial"/>
        </w:rPr>
        <w:t xml:space="preserve"> Genome-wide methylation profiles reveal quantitative views of human aging rates. </w:t>
      </w:r>
      <w:r>
        <w:rPr>
          <w:rFonts w:ascii="Arial" w:hAnsi="Arial" w:cs="Arial"/>
          <w:i/>
          <w:iCs/>
        </w:rPr>
        <w:t>Mol. Cell</w:t>
      </w:r>
      <w:r>
        <w:rPr>
          <w:rFonts w:ascii="Arial" w:hAnsi="Arial" w:cs="Arial"/>
        </w:rPr>
        <w:t xml:space="preserve"> </w:t>
      </w:r>
      <w:r>
        <w:rPr>
          <w:rFonts w:ascii="Arial" w:hAnsi="Arial" w:cs="Arial"/>
          <w:b/>
          <w:bCs/>
        </w:rPr>
        <w:t>49</w:t>
      </w:r>
      <w:r>
        <w:rPr>
          <w:rFonts w:ascii="Arial" w:hAnsi="Arial" w:cs="Arial"/>
        </w:rPr>
        <w:t>, 359–367 (2013).</w:t>
      </w:r>
    </w:p>
    <w:p w14:paraId="658155B7">
      <w:pPr>
        <w:tabs>
          <w:tab w:val="left" w:pos="384"/>
        </w:tabs>
        <w:ind w:left="386" w:hanging="386"/>
        <w:rPr>
          <w:rFonts w:ascii="Arial" w:hAnsi="Arial" w:cs="Arial"/>
        </w:rPr>
      </w:pPr>
      <w:r>
        <w:rPr>
          <w:rFonts w:ascii="Arial" w:hAnsi="Arial" w:cs="Arial"/>
        </w:rPr>
        <w:t>4.</w:t>
      </w:r>
      <w:r>
        <w:rPr>
          <w:rFonts w:ascii="Arial" w:hAnsi="Arial" w:cs="Arial"/>
        </w:rPr>
        <w:tab/>
      </w:r>
      <w:r>
        <w:rPr>
          <w:rFonts w:ascii="Arial" w:hAnsi="Arial" w:cs="Arial"/>
        </w:rPr>
        <w:t xml:space="preserve">Horvath, S. DNA methylation age of human tissues and cell types. </w:t>
      </w:r>
      <w:r>
        <w:rPr>
          <w:rFonts w:ascii="Arial" w:hAnsi="Arial" w:cs="Arial"/>
          <w:i/>
          <w:iCs/>
        </w:rPr>
        <w:t>Genome Biol.</w:t>
      </w:r>
      <w:r>
        <w:rPr>
          <w:rFonts w:ascii="Arial" w:hAnsi="Arial" w:cs="Arial"/>
        </w:rPr>
        <w:t xml:space="preserve"> </w:t>
      </w:r>
      <w:r>
        <w:rPr>
          <w:rFonts w:ascii="Arial" w:hAnsi="Arial" w:cs="Arial"/>
          <w:b/>
          <w:bCs/>
        </w:rPr>
        <w:t>14</w:t>
      </w:r>
      <w:r>
        <w:rPr>
          <w:rFonts w:ascii="Arial" w:hAnsi="Arial" w:cs="Arial"/>
        </w:rPr>
        <w:t>, 3156 (2013).</w:t>
      </w:r>
    </w:p>
    <w:p w14:paraId="2DC24B5D">
      <w:pPr>
        <w:tabs>
          <w:tab w:val="left" w:pos="384"/>
        </w:tabs>
        <w:ind w:left="386" w:hanging="386"/>
        <w:rPr>
          <w:rFonts w:ascii="Arial" w:hAnsi="Arial" w:cs="Arial"/>
        </w:rPr>
      </w:pPr>
      <w:r>
        <w:rPr>
          <w:rFonts w:ascii="Arial" w:hAnsi="Arial" w:cs="Arial"/>
        </w:rPr>
        <w:t>5.</w:t>
      </w:r>
      <w:r>
        <w:rPr>
          <w:rFonts w:ascii="Arial" w:hAnsi="Arial" w:cs="Arial"/>
        </w:rPr>
        <w:tab/>
      </w:r>
      <w:r>
        <w:rPr>
          <w:rFonts w:ascii="Arial" w:hAnsi="Arial" w:cs="Arial"/>
        </w:rPr>
        <w:t xml:space="preserve">Weidner, C. I. </w:t>
      </w:r>
      <w:r>
        <w:rPr>
          <w:rFonts w:ascii="Arial" w:hAnsi="Arial" w:cs="Arial"/>
          <w:i/>
          <w:iCs/>
        </w:rPr>
        <w:t>et al.</w:t>
      </w:r>
      <w:r>
        <w:rPr>
          <w:rFonts w:ascii="Arial" w:hAnsi="Arial" w:cs="Arial"/>
        </w:rPr>
        <w:t xml:space="preserve"> Aging of blood can be tracked by DNA methylation changes at just three CpG sites. </w:t>
      </w:r>
      <w:r>
        <w:rPr>
          <w:rFonts w:ascii="Arial" w:hAnsi="Arial" w:cs="Arial"/>
          <w:i/>
          <w:iCs/>
        </w:rPr>
        <w:t>Genome Biol.</w:t>
      </w:r>
      <w:r>
        <w:rPr>
          <w:rFonts w:ascii="Arial" w:hAnsi="Arial" w:cs="Arial"/>
        </w:rPr>
        <w:t xml:space="preserve"> </w:t>
      </w:r>
      <w:r>
        <w:rPr>
          <w:rFonts w:ascii="Arial" w:hAnsi="Arial" w:cs="Arial"/>
          <w:b/>
          <w:bCs/>
        </w:rPr>
        <w:t>15</w:t>
      </w:r>
      <w:r>
        <w:rPr>
          <w:rFonts w:ascii="Arial" w:hAnsi="Arial" w:cs="Arial"/>
        </w:rPr>
        <w:t>, R24 (2014).</w:t>
      </w:r>
    </w:p>
    <w:p w14:paraId="11D1E842">
      <w:pPr>
        <w:tabs>
          <w:tab w:val="left" w:pos="384"/>
        </w:tabs>
        <w:ind w:left="386" w:hanging="386"/>
        <w:rPr>
          <w:rFonts w:ascii="Arial" w:hAnsi="Arial" w:cs="Arial"/>
        </w:rPr>
      </w:pPr>
      <w:r>
        <w:rPr>
          <w:rFonts w:ascii="Arial" w:hAnsi="Arial" w:cs="Arial"/>
        </w:rPr>
        <w:t>6.</w:t>
      </w:r>
      <w:r>
        <w:rPr>
          <w:rFonts w:ascii="Arial" w:hAnsi="Arial" w:cs="Arial"/>
        </w:rPr>
        <w:tab/>
      </w:r>
      <w:r>
        <w:rPr>
          <w:rFonts w:ascii="Arial" w:hAnsi="Arial" w:cs="Arial"/>
        </w:rPr>
        <w:t xml:space="preserve">Lin, Q. </w:t>
      </w:r>
      <w:r>
        <w:rPr>
          <w:rFonts w:ascii="Arial" w:hAnsi="Arial" w:cs="Arial"/>
          <w:i/>
          <w:iCs/>
        </w:rPr>
        <w:t>et al.</w:t>
      </w:r>
      <w:r>
        <w:rPr>
          <w:rFonts w:ascii="Arial" w:hAnsi="Arial" w:cs="Arial"/>
        </w:rPr>
        <w:t xml:space="preserve"> DNA methylation levels at individual age-associated CpG sites can be indicative for life expectancy. </w:t>
      </w:r>
      <w:r>
        <w:rPr>
          <w:rFonts w:ascii="Arial" w:hAnsi="Arial" w:cs="Arial"/>
          <w:i/>
          <w:iCs/>
        </w:rPr>
        <w:t>Aging</w:t>
      </w:r>
      <w:r>
        <w:rPr>
          <w:rFonts w:ascii="Arial" w:hAnsi="Arial" w:cs="Arial"/>
        </w:rPr>
        <w:t xml:space="preserve"> </w:t>
      </w:r>
      <w:r>
        <w:rPr>
          <w:rFonts w:ascii="Arial" w:hAnsi="Arial" w:cs="Arial"/>
          <w:b/>
          <w:bCs/>
        </w:rPr>
        <w:t>8</w:t>
      </w:r>
      <w:r>
        <w:rPr>
          <w:rFonts w:ascii="Arial" w:hAnsi="Arial" w:cs="Arial"/>
        </w:rPr>
        <w:t>, 394–401 (2016).</w:t>
      </w:r>
    </w:p>
    <w:p w14:paraId="3CC7EBAB">
      <w:pPr>
        <w:tabs>
          <w:tab w:val="left" w:pos="384"/>
        </w:tabs>
        <w:ind w:left="386" w:hanging="386"/>
        <w:rPr>
          <w:rFonts w:ascii="Arial" w:hAnsi="Arial" w:cs="Arial"/>
        </w:rPr>
      </w:pPr>
      <w:r>
        <w:rPr>
          <w:rFonts w:ascii="Arial" w:hAnsi="Arial" w:cs="Arial"/>
        </w:rPr>
        <w:t>7.</w:t>
      </w:r>
      <w:r>
        <w:rPr>
          <w:rFonts w:ascii="Arial" w:hAnsi="Arial" w:cs="Arial"/>
        </w:rPr>
        <w:tab/>
      </w:r>
      <w:r>
        <w:rPr>
          <w:rFonts w:ascii="Arial" w:hAnsi="Arial" w:cs="Arial"/>
        </w:rPr>
        <w:t xml:space="preserve">Horvath, S. </w:t>
      </w:r>
      <w:r>
        <w:rPr>
          <w:rFonts w:ascii="Arial" w:hAnsi="Arial" w:cs="Arial"/>
          <w:i/>
          <w:iCs/>
        </w:rPr>
        <w:t>et al.</w:t>
      </w:r>
      <w:r>
        <w:rPr>
          <w:rFonts w:ascii="Arial" w:hAnsi="Arial" w:cs="Arial"/>
        </w:rPr>
        <w:t xml:space="preserve"> Epigenetic clock for skin and blood cells applied to Hutchinson Gilford Progeria Syndrome and </w:t>
      </w:r>
      <w:r>
        <w:rPr>
          <w:rFonts w:ascii="Arial" w:hAnsi="Arial" w:cs="Arial"/>
          <w:i/>
          <w:iCs/>
        </w:rPr>
        <w:t>ex vivo</w:t>
      </w:r>
      <w:r>
        <w:rPr>
          <w:rFonts w:ascii="Arial" w:hAnsi="Arial" w:cs="Arial"/>
        </w:rPr>
        <w:t xml:space="preserve"> studies. </w:t>
      </w:r>
      <w:r>
        <w:rPr>
          <w:rFonts w:ascii="Arial" w:hAnsi="Arial" w:cs="Arial"/>
          <w:i/>
          <w:iCs/>
        </w:rPr>
        <w:t>Aging</w:t>
      </w:r>
      <w:r>
        <w:rPr>
          <w:rFonts w:ascii="Arial" w:hAnsi="Arial" w:cs="Arial"/>
        </w:rPr>
        <w:t xml:space="preserve"> </w:t>
      </w:r>
      <w:r>
        <w:rPr>
          <w:rFonts w:ascii="Arial" w:hAnsi="Arial" w:cs="Arial"/>
          <w:b/>
          <w:bCs/>
        </w:rPr>
        <w:t>10</w:t>
      </w:r>
      <w:r>
        <w:rPr>
          <w:rFonts w:ascii="Arial" w:hAnsi="Arial" w:cs="Arial"/>
        </w:rPr>
        <w:t>, 1758–1775 (2018).</w:t>
      </w:r>
    </w:p>
    <w:p w14:paraId="5CA8C1BB">
      <w:pPr>
        <w:tabs>
          <w:tab w:val="left" w:pos="384"/>
        </w:tabs>
        <w:ind w:left="386" w:hanging="386"/>
        <w:rPr>
          <w:rFonts w:ascii="Arial" w:hAnsi="Arial" w:cs="Arial"/>
        </w:rPr>
      </w:pPr>
      <w:r>
        <w:rPr>
          <w:rFonts w:ascii="Arial" w:hAnsi="Arial" w:cs="Arial"/>
        </w:rPr>
        <w:t>8.</w:t>
      </w:r>
      <w:r>
        <w:rPr>
          <w:rFonts w:ascii="Arial" w:hAnsi="Arial" w:cs="Arial"/>
        </w:rPr>
        <w:tab/>
      </w:r>
      <w:r>
        <w:rPr>
          <w:rFonts w:ascii="Arial" w:hAnsi="Arial" w:cs="Arial"/>
        </w:rPr>
        <w:t xml:space="preserve">Zhang, Q. </w:t>
      </w:r>
      <w:r>
        <w:rPr>
          <w:rFonts w:ascii="Arial" w:hAnsi="Arial" w:cs="Arial"/>
          <w:i/>
          <w:iCs/>
        </w:rPr>
        <w:t>et al.</w:t>
      </w:r>
      <w:r>
        <w:rPr>
          <w:rFonts w:ascii="Arial" w:hAnsi="Arial" w:cs="Arial"/>
        </w:rPr>
        <w:t xml:space="preserve"> Improved precision of epigenetic clock estimates across tissues and its implication for biological ageing. </w:t>
      </w:r>
      <w:r>
        <w:rPr>
          <w:rFonts w:ascii="Arial" w:hAnsi="Arial" w:cs="Arial"/>
          <w:i/>
          <w:iCs/>
        </w:rPr>
        <w:t>Genome Med.</w:t>
      </w:r>
      <w:r>
        <w:rPr>
          <w:rFonts w:ascii="Arial" w:hAnsi="Arial" w:cs="Arial"/>
        </w:rPr>
        <w:t xml:space="preserve"> </w:t>
      </w:r>
      <w:r>
        <w:rPr>
          <w:rFonts w:ascii="Arial" w:hAnsi="Arial" w:cs="Arial"/>
          <w:b/>
          <w:bCs/>
        </w:rPr>
        <w:t>11</w:t>
      </w:r>
      <w:r>
        <w:rPr>
          <w:rFonts w:ascii="Arial" w:hAnsi="Arial" w:cs="Arial"/>
        </w:rPr>
        <w:t>, 54 (2019).</w:t>
      </w:r>
    </w:p>
    <w:p w14:paraId="511D0F21">
      <w:pPr>
        <w:tabs>
          <w:tab w:val="left" w:pos="384"/>
        </w:tabs>
        <w:ind w:left="386" w:hanging="386"/>
        <w:rPr>
          <w:rFonts w:ascii="Arial" w:hAnsi="Arial" w:cs="Arial"/>
        </w:rPr>
      </w:pPr>
      <w:r>
        <w:rPr>
          <w:rFonts w:ascii="Arial" w:hAnsi="Arial" w:cs="Arial"/>
        </w:rPr>
        <w:t>9.</w:t>
      </w:r>
      <w:r>
        <w:rPr>
          <w:rFonts w:ascii="Arial" w:hAnsi="Arial" w:cs="Arial"/>
        </w:rPr>
        <w:tab/>
      </w:r>
      <w:r>
        <w:rPr>
          <w:rFonts w:ascii="Arial" w:hAnsi="Arial" w:cs="Arial"/>
        </w:rPr>
        <w:t xml:space="preserve">McEwen, L. M. </w:t>
      </w:r>
      <w:r>
        <w:rPr>
          <w:rFonts w:ascii="Arial" w:hAnsi="Arial" w:cs="Arial"/>
          <w:i/>
          <w:iCs/>
        </w:rPr>
        <w:t>et al.</w:t>
      </w:r>
      <w:r>
        <w:rPr>
          <w:rFonts w:ascii="Arial" w:hAnsi="Arial" w:cs="Arial"/>
        </w:rPr>
        <w:t xml:space="preserve"> The PedBE clock accurately estimates DNA methylation age in pediatric buccal cells. </w:t>
      </w:r>
      <w:r>
        <w:rPr>
          <w:rFonts w:ascii="Arial" w:hAnsi="Arial" w:cs="Arial"/>
          <w:i/>
          <w:iCs/>
        </w:rPr>
        <w:t>Proc. Natl. Acad. Sci. U. S. A.</w:t>
      </w:r>
      <w:r>
        <w:rPr>
          <w:rFonts w:ascii="Arial" w:hAnsi="Arial" w:cs="Arial"/>
        </w:rPr>
        <w:t xml:space="preserve"> </w:t>
      </w:r>
      <w:r>
        <w:rPr>
          <w:rFonts w:ascii="Arial" w:hAnsi="Arial" w:cs="Arial"/>
          <w:b/>
          <w:bCs/>
        </w:rPr>
        <w:t>117</w:t>
      </w:r>
      <w:r>
        <w:rPr>
          <w:rFonts w:ascii="Arial" w:hAnsi="Arial" w:cs="Arial"/>
        </w:rPr>
        <w:t>, 23329–23335 (2020).</w:t>
      </w:r>
    </w:p>
    <w:p w14:paraId="62DA49EA">
      <w:pPr>
        <w:tabs>
          <w:tab w:val="left" w:pos="384"/>
        </w:tabs>
        <w:ind w:left="386" w:hanging="386"/>
        <w:rPr>
          <w:rFonts w:ascii="Arial" w:hAnsi="Arial" w:cs="Arial"/>
        </w:rPr>
      </w:pPr>
      <w:r>
        <w:rPr>
          <w:rFonts w:ascii="Arial" w:hAnsi="Arial" w:cs="Arial"/>
        </w:rPr>
        <w:t>10.</w:t>
      </w:r>
      <w:r>
        <w:rPr>
          <w:rFonts w:ascii="Arial" w:hAnsi="Arial" w:cs="Arial"/>
        </w:rPr>
        <w:tab/>
      </w:r>
      <w:r>
        <w:rPr>
          <w:rFonts w:ascii="Arial" w:hAnsi="Arial" w:cs="Arial"/>
        </w:rPr>
        <w:t xml:space="preserve">Levine, M. E. </w:t>
      </w:r>
      <w:r>
        <w:rPr>
          <w:rFonts w:ascii="Arial" w:hAnsi="Arial" w:cs="Arial"/>
          <w:i/>
          <w:iCs/>
        </w:rPr>
        <w:t>et al.</w:t>
      </w:r>
      <w:r>
        <w:rPr>
          <w:rFonts w:ascii="Arial" w:hAnsi="Arial" w:cs="Arial"/>
        </w:rPr>
        <w:t xml:space="preserve"> An epigenetic biomarker of aging for lifespan and healthspan. </w:t>
      </w:r>
      <w:r>
        <w:rPr>
          <w:rFonts w:ascii="Arial" w:hAnsi="Arial" w:cs="Arial"/>
          <w:i/>
          <w:iCs/>
        </w:rPr>
        <w:t>Aging</w:t>
      </w:r>
      <w:r>
        <w:rPr>
          <w:rFonts w:ascii="Arial" w:hAnsi="Arial" w:cs="Arial"/>
        </w:rPr>
        <w:t xml:space="preserve"> </w:t>
      </w:r>
      <w:r>
        <w:rPr>
          <w:rFonts w:ascii="Arial" w:hAnsi="Arial" w:cs="Arial"/>
          <w:b/>
          <w:bCs/>
        </w:rPr>
        <w:t>10</w:t>
      </w:r>
      <w:r>
        <w:rPr>
          <w:rFonts w:ascii="Arial" w:hAnsi="Arial" w:cs="Arial"/>
        </w:rPr>
        <w:t>, 573–591 (2018).</w:t>
      </w:r>
    </w:p>
    <w:p w14:paraId="6B52898B">
      <w:pPr>
        <w:tabs>
          <w:tab w:val="left" w:pos="384"/>
        </w:tabs>
        <w:ind w:left="386" w:hanging="386"/>
        <w:rPr>
          <w:rFonts w:ascii="Arial" w:hAnsi="Arial" w:cs="Arial"/>
        </w:rPr>
      </w:pPr>
      <w:r>
        <w:rPr>
          <w:rFonts w:ascii="Arial" w:hAnsi="Arial" w:cs="Arial"/>
        </w:rPr>
        <w:t>11.</w:t>
      </w:r>
      <w:r>
        <w:rPr>
          <w:rFonts w:ascii="Arial" w:hAnsi="Arial" w:cs="Arial"/>
        </w:rPr>
        <w:tab/>
      </w:r>
      <w:r>
        <w:rPr>
          <w:rFonts w:ascii="Arial" w:hAnsi="Arial" w:cs="Arial"/>
        </w:rPr>
        <w:t xml:space="preserve">Lu, A. T. </w:t>
      </w:r>
      <w:r>
        <w:rPr>
          <w:rFonts w:ascii="Arial" w:hAnsi="Arial" w:cs="Arial"/>
          <w:i/>
          <w:iCs/>
        </w:rPr>
        <w:t>et al.</w:t>
      </w:r>
      <w:r>
        <w:rPr>
          <w:rFonts w:ascii="Arial" w:hAnsi="Arial" w:cs="Arial"/>
        </w:rPr>
        <w:t xml:space="preserve"> DNA methylation GrimAge strongly predicts lifespan and healthspan. </w:t>
      </w:r>
      <w:r>
        <w:rPr>
          <w:rFonts w:ascii="Arial" w:hAnsi="Arial" w:cs="Arial"/>
          <w:i/>
          <w:iCs/>
        </w:rPr>
        <w:t>Aging</w:t>
      </w:r>
      <w:r>
        <w:rPr>
          <w:rFonts w:ascii="Arial" w:hAnsi="Arial" w:cs="Arial"/>
        </w:rPr>
        <w:t xml:space="preserve"> </w:t>
      </w:r>
      <w:r>
        <w:rPr>
          <w:rFonts w:ascii="Arial" w:hAnsi="Arial" w:cs="Arial"/>
          <w:b/>
          <w:bCs/>
        </w:rPr>
        <w:t>11</w:t>
      </w:r>
      <w:r>
        <w:rPr>
          <w:rFonts w:ascii="Arial" w:hAnsi="Arial" w:cs="Arial"/>
        </w:rPr>
        <w:t>, 303–327 (2019).</w:t>
      </w:r>
    </w:p>
    <w:p w14:paraId="58739D25">
      <w:pPr>
        <w:tabs>
          <w:tab w:val="left" w:pos="384"/>
        </w:tabs>
        <w:ind w:left="386" w:hanging="386"/>
        <w:rPr>
          <w:rFonts w:ascii="Arial" w:hAnsi="Arial" w:cs="Arial"/>
        </w:rPr>
      </w:pPr>
      <w:r>
        <w:rPr>
          <w:rFonts w:ascii="Arial" w:hAnsi="Arial" w:cs="Arial"/>
        </w:rPr>
        <w:t>12.</w:t>
      </w:r>
      <w:r>
        <w:rPr>
          <w:rFonts w:ascii="Arial" w:hAnsi="Arial" w:cs="Arial"/>
        </w:rPr>
        <w:tab/>
      </w:r>
      <w:r>
        <w:rPr>
          <w:rFonts w:ascii="Arial" w:hAnsi="Arial" w:cs="Arial"/>
        </w:rPr>
        <w:t>Lu, A. T. et al. DNA methylation-based estimator of telomere length. Aging 11, 5895–5923 (2019).</w:t>
      </w:r>
    </w:p>
    <w:p w14:paraId="666073D3">
      <w:pPr>
        <w:tabs>
          <w:tab w:val="left" w:pos="384"/>
        </w:tabs>
        <w:ind w:left="386" w:hanging="386"/>
        <w:rPr>
          <w:rFonts w:ascii="Arial" w:hAnsi="Arial" w:cs="Arial"/>
        </w:rPr>
      </w:pPr>
      <w:r>
        <w:rPr>
          <w:rFonts w:ascii="Arial" w:hAnsi="Arial" w:cs="Arial"/>
        </w:rPr>
        <w:t>13.</w:t>
      </w:r>
      <w:r>
        <w:rPr>
          <w:rFonts w:ascii="Arial" w:hAnsi="Arial" w:cs="Arial"/>
        </w:rPr>
        <w:tab/>
      </w:r>
      <w:r>
        <w:rPr>
          <w:rFonts w:ascii="Arial" w:hAnsi="Arial" w:cs="Arial"/>
        </w:rPr>
        <w:t>Belsky, D. W. et al. Quantification of the pace of biological aging in humans through a blood test, the DunedinPoAm DNA methylation algorithm. eLife 9, e54870 (2020).</w:t>
      </w:r>
    </w:p>
    <w:p w14:paraId="652AD32D">
      <w:pPr>
        <w:tabs>
          <w:tab w:val="left" w:pos="384"/>
        </w:tabs>
        <w:ind w:left="386" w:hanging="386"/>
        <w:rPr>
          <w:rFonts w:ascii="Arial" w:hAnsi="Arial" w:cs="Arial"/>
        </w:rPr>
      </w:pPr>
      <w:r>
        <w:rPr>
          <w:rFonts w:ascii="Arial" w:hAnsi="Arial" w:cs="Arial"/>
        </w:rPr>
        <w:t>14.</w:t>
      </w:r>
      <w:r>
        <w:rPr>
          <w:rFonts w:ascii="Arial" w:hAnsi="Arial" w:cs="Arial"/>
        </w:rPr>
        <w:tab/>
      </w:r>
      <w:r>
        <w:rPr>
          <w:rFonts w:ascii="Arial" w:hAnsi="Arial" w:cs="Arial"/>
        </w:rPr>
        <w:t>Higgins-Chen, A. T. et al. A computational solution for bolstering reliability of epigenetic clocks: implications for clinical trials and longitudinal tracking. Nat. Aging 2, 644–661 (2022).</w:t>
      </w:r>
    </w:p>
    <w:p w14:paraId="54BF83C4">
      <w:pPr>
        <w:rPr>
          <w:rFonts w:ascii="Arial" w:hAnsi="Arial" w:cs="Aria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417F81"/>
    <w:multiLevelType w:val="multilevel"/>
    <w:tmpl w:val="0A417F8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1273807"/>
    <w:multiLevelType w:val="multilevel"/>
    <w:tmpl w:val="11273807"/>
    <w:lvl w:ilvl="0" w:tentative="0">
      <w:start w:val="6"/>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C940D85"/>
    <w:multiLevelType w:val="multilevel"/>
    <w:tmpl w:val="1C940D85"/>
    <w:lvl w:ilvl="0" w:tentative="0">
      <w:start w:val="7"/>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27405FF"/>
    <w:multiLevelType w:val="multilevel"/>
    <w:tmpl w:val="227405FF"/>
    <w:lvl w:ilvl="0" w:tentative="0">
      <w:start w:val="4"/>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EF44EF0"/>
    <w:multiLevelType w:val="multilevel"/>
    <w:tmpl w:val="6EF44EF0"/>
    <w:lvl w:ilvl="0" w:tentative="0">
      <w:start w:val="5"/>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E8"/>
    <w:rsid w:val="00000956"/>
    <w:rsid w:val="00032FA5"/>
    <w:rsid w:val="00050305"/>
    <w:rsid w:val="00053B0E"/>
    <w:rsid w:val="00067FBD"/>
    <w:rsid w:val="00076DB4"/>
    <w:rsid w:val="000860B1"/>
    <w:rsid w:val="00090770"/>
    <w:rsid w:val="000B723F"/>
    <w:rsid w:val="000C2C8E"/>
    <w:rsid w:val="000C4D16"/>
    <w:rsid w:val="000C73F0"/>
    <w:rsid w:val="000D0C30"/>
    <w:rsid w:val="000F070B"/>
    <w:rsid w:val="0010560D"/>
    <w:rsid w:val="0011644C"/>
    <w:rsid w:val="001279D1"/>
    <w:rsid w:val="0016020F"/>
    <w:rsid w:val="00166AB0"/>
    <w:rsid w:val="00192866"/>
    <w:rsid w:val="00193821"/>
    <w:rsid w:val="001A59C0"/>
    <w:rsid w:val="001A5A87"/>
    <w:rsid w:val="001A5D99"/>
    <w:rsid w:val="001A6E4A"/>
    <w:rsid w:val="001B37F8"/>
    <w:rsid w:val="001C0635"/>
    <w:rsid w:val="001E5C4C"/>
    <w:rsid w:val="001F72AA"/>
    <w:rsid w:val="00246E76"/>
    <w:rsid w:val="00252ED2"/>
    <w:rsid w:val="0026530D"/>
    <w:rsid w:val="00274452"/>
    <w:rsid w:val="002753F4"/>
    <w:rsid w:val="00275E5B"/>
    <w:rsid w:val="00287951"/>
    <w:rsid w:val="002944C6"/>
    <w:rsid w:val="0029530D"/>
    <w:rsid w:val="002A631C"/>
    <w:rsid w:val="002B603F"/>
    <w:rsid w:val="002C00FA"/>
    <w:rsid w:val="002C771A"/>
    <w:rsid w:val="002D276D"/>
    <w:rsid w:val="002F1ADC"/>
    <w:rsid w:val="002F7A4A"/>
    <w:rsid w:val="00312025"/>
    <w:rsid w:val="003126F1"/>
    <w:rsid w:val="003156AF"/>
    <w:rsid w:val="00350F0B"/>
    <w:rsid w:val="003716A3"/>
    <w:rsid w:val="00384512"/>
    <w:rsid w:val="00385541"/>
    <w:rsid w:val="00386C27"/>
    <w:rsid w:val="003A2288"/>
    <w:rsid w:val="003D00A2"/>
    <w:rsid w:val="003D5C69"/>
    <w:rsid w:val="003E2D47"/>
    <w:rsid w:val="0040039C"/>
    <w:rsid w:val="00400972"/>
    <w:rsid w:val="00401E5E"/>
    <w:rsid w:val="0040539B"/>
    <w:rsid w:val="00411461"/>
    <w:rsid w:val="004151B6"/>
    <w:rsid w:val="0041699C"/>
    <w:rsid w:val="0042267A"/>
    <w:rsid w:val="0042611B"/>
    <w:rsid w:val="004329B4"/>
    <w:rsid w:val="00444AE8"/>
    <w:rsid w:val="0045061D"/>
    <w:rsid w:val="004560FC"/>
    <w:rsid w:val="004626B0"/>
    <w:rsid w:val="00467756"/>
    <w:rsid w:val="004742E2"/>
    <w:rsid w:val="004966C8"/>
    <w:rsid w:val="004A04D0"/>
    <w:rsid w:val="004C519D"/>
    <w:rsid w:val="004D2D4E"/>
    <w:rsid w:val="004D4D7F"/>
    <w:rsid w:val="004D5C7F"/>
    <w:rsid w:val="004F6663"/>
    <w:rsid w:val="00502444"/>
    <w:rsid w:val="00506B4D"/>
    <w:rsid w:val="005105D5"/>
    <w:rsid w:val="00513E7F"/>
    <w:rsid w:val="00527D27"/>
    <w:rsid w:val="00547D5F"/>
    <w:rsid w:val="00560238"/>
    <w:rsid w:val="00563740"/>
    <w:rsid w:val="00566D4F"/>
    <w:rsid w:val="0057681E"/>
    <w:rsid w:val="005804FA"/>
    <w:rsid w:val="00587984"/>
    <w:rsid w:val="005A1B91"/>
    <w:rsid w:val="005C5857"/>
    <w:rsid w:val="005F5E63"/>
    <w:rsid w:val="00620090"/>
    <w:rsid w:val="006555A2"/>
    <w:rsid w:val="00691128"/>
    <w:rsid w:val="00696E99"/>
    <w:rsid w:val="006C48FE"/>
    <w:rsid w:val="006D715C"/>
    <w:rsid w:val="006F40AD"/>
    <w:rsid w:val="006F52F7"/>
    <w:rsid w:val="00717496"/>
    <w:rsid w:val="0073263E"/>
    <w:rsid w:val="007376EB"/>
    <w:rsid w:val="00766518"/>
    <w:rsid w:val="007771B3"/>
    <w:rsid w:val="00780B52"/>
    <w:rsid w:val="007A41E1"/>
    <w:rsid w:val="007C57BF"/>
    <w:rsid w:val="007C5D63"/>
    <w:rsid w:val="007C6206"/>
    <w:rsid w:val="007F4385"/>
    <w:rsid w:val="00807588"/>
    <w:rsid w:val="00807C66"/>
    <w:rsid w:val="00813ED4"/>
    <w:rsid w:val="00830100"/>
    <w:rsid w:val="00840B39"/>
    <w:rsid w:val="0084483A"/>
    <w:rsid w:val="00846891"/>
    <w:rsid w:val="00854797"/>
    <w:rsid w:val="008551B1"/>
    <w:rsid w:val="008714E2"/>
    <w:rsid w:val="0087791F"/>
    <w:rsid w:val="008864C8"/>
    <w:rsid w:val="008D6E9F"/>
    <w:rsid w:val="008E36B9"/>
    <w:rsid w:val="008F6B57"/>
    <w:rsid w:val="0091033D"/>
    <w:rsid w:val="00916D22"/>
    <w:rsid w:val="00920736"/>
    <w:rsid w:val="00924056"/>
    <w:rsid w:val="00924BDD"/>
    <w:rsid w:val="00925930"/>
    <w:rsid w:val="00927D13"/>
    <w:rsid w:val="009417F0"/>
    <w:rsid w:val="009460E0"/>
    <w:rsid w:val="009552E0"/>
    <w:rsid w:val="00976F5D"/>
    <w:rsid w:val="00977E00"/>
    <w:rsid w:val="009A1CE8"/>
    <w:rsid w:val="009B0A27"/>
    <w:rsid w:val="009D06CE"/>
    <w:rsid w:val="009D3C06"/>
    <w:rsid w:val="009F0A17"/>
    <w:rsid w:val="009F4EA3"/>
    <w:rsid w:val="00A05518"/>
    <w:rsid w:val="00A2043F"/>
    <w:rsid w:val="00A22985"/>
    <w:rsid w:val="00A33A51"/>
    <w:rsid w:val="00A5048D"/>
    <w:rsid w:val="00A51551"/>
    <w:rsid w:val="00A575B4"/>
    <w:rsid w:val="00A70EFE"/>
    <w:rsid w:val="00A729CE"/>
    <w:rsid w:val="00A90CAB"/>
    <w:rsid w:val="00A91E44"/>
    <w:rsid w:val="00AA2EE6"/>
    <w:rsid w:val="00AB0538"/>
    <w:rsid w:val="00AD18F5"/>
    <w:rsid w:val="00AE49A4"/>
    <w:rsid w:val="00B07B13"/>
    <w:rsid w:val="00B13FFE"/>
    <w:rsid w:val="00B3778D"/>
    <w:rsid w:val="00B3797E"/>
    <w:rsid w:val="00B7107C"/>
    <w:rsid w:val="00B71B60"/>
    <w:rsid w:val="00B75685"/>
    <w:rsid w:val="00B8160A"/>
    <w:rsid w:val="00B85B4C"/>
    <w:rsid w:val="00B93F9C"/>
    <w:rsid w:val="00BD13F4"/>
    <w:rsid w:val="00BD1B41"/>
    <w:rsid w:val="00BE6CE2"/>
    <w:rsid w:val="00BE7657"/>
    <w:rsid w:val="00BF6A2C"/>
    <w:rsid w:val="00C2205E"/>
    <w:rsid w:val="00C244DE"/>
    <w:rsid w:val="00C3627F"/>
    <w:rsid w:val="00C5318F"/>
    <w:rsid w:val="00C623EF"/>
    <w:rsid w:val="00C629CE"/>
    <w:rsid w:val="00C84EF5"/>
    <w:rsid w:val="00C85426"/>
    <w:rsid w:val="00C9030D"/>
    <w:rsid w:val="00C951E2"/>
    <w:rsid w:val="00CA5E83"/>
    <w:rsid w:val="00CB7AF8"/>
    <w:rsid w:val="00CC1DDC"/>
    <w:rsid w:val="00CD3068"/>
    <w:rsid w:val="00CE7C77"/>
    <w:rsid w:val="00CF04E8"/>
    <w:rsid w:val="00D326F6"/>
    <w:rsid w:val="00D51410"/>
    <w:rsid w:val="00D67BB7"/>
    <w:rsid w:val="00D96429"/>
    <w:rsid w:val="00DE298B"/>
    <w:rsid w:val="00DE6139"/>
    <w:rsid w:val="00DF5BD3"/>
    <w:rsid w:val="00E0437A"/>
    <w:rsid w:val="00E056B0"/>
    <w:rsid w:val="00E172FA"/>
    <w:rsid w:val="00EA7F3D"/>
    <w:rsid w:val="00EB6029"/>
    <w:rsid w:val="00EC618B"/>
    <w:rsid w:val="00ED76C9"/>
    <w:rsid w:val="00ED7B12"/>
    <w:rsid w:val="00F01B15"/>
    <w:rsid w:val="00F10711"/>
    <w:rsid w:val="00F2143C"/>
    <w:rsid w:val="00F47661"/>
    <w:rsid w:val="00F50F20"/>
    <w:rsid w:val="00F73DBE"/>
    <w:rsid w:val="00F773FB"/>
    <w:rsid w:val="00F852AE"/>
    <w:rsid w:val="00F95C46"/>
    <w:rsid w:val="00F9648F"/>
    <w:rsid w:val="00FA08A3"/>
    <w:rsid w:val="00FA582E"/>
    <w:rsid w:val="00FC0319"/>
    <w:rsid w:val="00FC0323"/>
    <w:rsid w:val="00FC41EF"/>
    <w:rsid w:val="00FC506D"/>
    <w:rsid w:val="00FE1CD6"/>
    <w:rsid w:val="301840A0"/>
    <w:rsid w:val="47685334"/>
    <w:rsid w:val="4D88787E"/>
    <w:rsid w:val="76434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2"/>
      <w:szCs w:val="22"/>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tabs>
        <w:tab w:val="center" w:pos="4153"/>
        <w:tab w:val="right" w:pos="8306"/>
      </w:tabs>
      <w:snapToGrid w:val="0"/>
      <w:jc w:val="center"/>
    </w:pPr>
    <w:rPr>
      <w:sz w:val="18"/>
      <w:szCs w:val="18"/>
    </w:rPr>
  </w:style>
  <w:style w:type="paragraph" w:styleId="13">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paragraph" w:styleId="15">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qFormat/>
    <w:uiPriority w:val="39"/>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467886" w:themeColor="hyperlink"/>
      <w:u w:val="single"/>
      <w14:textFill>
        <w14:solidFill>
          <w14:schemeClr w14:val="hlink"/>
        </w14:solidFill>
      </w14:textFill>
    </w:rPr>
  </w:style>
  <w:style w:type="character" w:customStyle="1" w:styleId="20">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semiHidden/>
    <w:qFormat/>
    <w:uiPriority w:val="9"/>
    <w:rPr>
      <w:rFonts w:cstheme="majorBidi"/>
      <w:color w:val="104862" w:themeColor="accent1" w:themeShade="BF"/>
      <w:sz w:val="28"/>
      <w:szCs w:val="28"/>
    </w:rPr>
  </w:style>
  <w:style w:type="character" w:customStyle="1" w:styleId="24">
    <w:name w:val="标题 5 字符"/>
    <w:basedOn w:val="18"/>
    <w:link w:val="6"/>
    <w:semiHidden/>
    <w:qFormat/>
    <w:uiPriority w:val="9"/>
    <w:rPr>
      <w:rFonts w:cstheme="majorBidi"/>
      <w:color w:val="104862" w:themeColor="accent1" w:themeShade="BF"/>
      <w:sz w:val="24"/>
      <w:szCs w:val="24"/>
    </w:rPr>
  </w:style>
  <w:style w:type="character" w:customStyle="1" w:styleId="25">
    <w:name w:val="标题 6 字符"/>
    <w:basedOn w:val="18"/>
    <w:link w:val="7"/>
    <w:semiHidden/>
    <w:qFormat/>
    <w:uiPriority w:val="9"/>
    <w:rPr>
      <w:rFonts w:cstheme="majorBidi"/>
      <w:b/>
      <w:bCs/>
      <w:color w:val="104862"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5"/>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字符"/>
    <w:basedOn w:val="18"/>
    <w:link w:val="35"/>
    <w:qFormat/>
    <w:uiPriority w:val="30"/>
    <w:rPr>
      <w:i/>
      <w:iCs/>
      <w:color w:val="104862" w:themeColor="accent1" w:themeShade="BF"/>
    </w:rPr>
  </w:style>
  <w:style w:type="character" w:customStyle="1" w:styleId="37">
    <w:name w:val="Intense Reference"/>
    <w:basedOn w:val="18"/>
    <w:qFormat/>
    <w:uiPriority w:val="32"/>
    <w:rPr>
      <w:b/>
      <w:bCs/>
      <w:smallCaps/>
      <w:color w:val="104862" w:themeColor="accent1" w:themeShade="BF"/>
      <w:spacing w:val="5"/>
    </w:rPr>
  </w:style>
  <w:style w:type="character" w:customStyle="1" w:styleId="38">
    <w:name w:val="页眉 字符"/>
    <w:basedOn w:val="18"/>
    <w:link w:val="12"/>
    <w:qFormat/>
    <w:uiPriority w:val="99"/>
    <w:rPr>
      <w:sz w:val="18"/>
      <w:szCs w:val="18"/>
    </w:rPr>
  </w:style>
  <w:style w:type="character" w:customStyle="1" w:styleId="39">
    <w:name w:val="页脚 字符"/>
    <w:basedOn w:val="18"/>
    <w:link w:val="11"/>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2"/>
      <w:szCs w:val="22"/>
      <w:lang w:val="en-US" w:eastAsia="zh-CN" w:bidi="ar-SA"/>
      <w14:ligatures w14:val="standardContextual"/>
    </w:rPr>
  </w:style>
  <w:style w:type="paragraph" w:customStyle="1" w:styleId="41">
    <w:name w:val="21bc9c4b-6a32-43e5-beaa-fd2d792c5735"/>
    <w:basedOn w:val="2"/>
    <w:next w:val="42"/>
    <w:link w:val="43"/>
    <w:qFormat/>
    <w:uiPriority w:val="0"/>
    <w:pPr>
      <w:widowControl/>
      <w:adjustRightInd w:val="0"/>
      <w:spacing w:before="0" w:after="0" w:line="288" w:lineRule="auto"/>
      <w:jc w:val="left"/>
    </w:pPr>
    <w:rPr>
      <w:rFonts w:ascii="微软雅黑" w:hAnsi="微软雅黑" w:eastAsia="微软雅黑" w:cs="Arial"/>
      <w:b/>
      <w:color w:val="000000"/>
      <w:sz w:val="32"/>
    </w:rPr>
  </w:style>
  <w:style w:type="paragraph" w:customStyle="1" w:styleId="42">
    <w:name w:val="acbfdd8b-e11b-4d36-88ff-6049b138f862"/>
    <w:basedOn w:val="1"/>
    <w:link w:val="44"/>
    <w:qFormat/>
    <w:uiPriority w:val="0"/>
    <w:pPr>
      <w:widowControl/>
      <w:adjustRightInd w:val="0"/>
      <w:spacing w:line="288" w:lineRule="auto"/>
      <w:jc w:val="left"/>
    </w:pPr>
    <w:rPr>
      <w:rFonts w:ascii="微软雅黑" w:hAnsi="微软雅黑" w:eastAsia="微软雅黑" w:cs="Arial"/>
      <w:color w:val="000000"/>
    </w:rPr>
  </w:style>
  <w:style w:type="character" w:customStyle="1" w:styleId="43">
    <w:name w:val="21bc9c4b-6a32-43e5-beaa-fd2d792c5735 字符"/>
    <w:basedOn w:val="18"/>
    <w:link w:val="41"/>
    <w:qFormat/>
    <w:uiPriority w:val="0"/>
    <w:rPr>
      <w:rFonts w:ascii="微软雅黑" w:hAnsi="微软雅黑" w:eastAsia="微软雅黑" w:cs="Arial"/>
      <w:b/>
      <w:color w:val="000000"/>
      <w:sz w:val="32"/>
      <w:szCs w:val="48"/>
    </w:rPr>
  </w:style>
  <w:style w:type="character" w:customStyle="1" w:styleId="44">
    <w:name w:val="acbfdd8b-e11b-4d36-88ff-6049b138f862 字符"/>
    <w:basedOn w:val="18"/>
    <w:link w:val="42"/>
    <w:qFormat/>
    <w:uiPriority w:val="0"/>
    <w:rPr>
      <w:rFonts w:ascii="微软雅黑" w:hAnsi="微软雅黑" w:eastAsia="微软雅黑" w:cs="Arial"/>
      <w:color w:val="000000"/>
    </w:rPr>
  </w:style>
  <w:style w:type="character" w:customStyle="1" w:styleId="45">
    <w:name w:val="Unresolved Mention"/>
    <w:basedOn w:val="18"/>
    <w:semiHidden/>
    <w:unhideWhenUsed/>
    <w:qFormat/>
    <w:uiPriority w:val="99"/>
    <w:rPr>
      <w:color w:val="605E5C"/>
      <w:shd w:val="clear" w:color="auto" w:fill="E1DFDD"/>
    </w:rPr>
  </w:style>
  <w:style w:type="paragraph" w:customStyle="1" w:styleId="46">
    <w:name w:val="Bibliography"/>
    <w:basedOn w:val="1"/>
    <w:next w:val="1"/>
    <w:semiHidden/>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46C02-8C36-4688-88AE-7D99E713962B}">
  <ds:schemaRefs/>
</ds:datastoreItem>
</file>

<file path=docProps/app.xml><?xml version="1.0" encoding="utf-8"?>
<Properties xmlns="http://schemas.openxmlformats.org/officeDocument/2006/extended-properties" xmlns:vt="http://schemas.openxmlformats.org/officeDocument/2006/docPropsVTypes">
  <Template>Normal</Template>
  <Pages>19</Pages>
  <Words>2166</Words>
  <Characters>12020</Characters>
  <Lines>366</Lines>
  <Paragraphs>210</Paragraphs>
  <TotalTime>0</TotalTime>
  <ScaleCrop>false</ScaleCrop>
  <LinksUpToDate>false</LinksUpToDate>
  <CharactersWithSpaces>14006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2025-08-18T07:02:00Z</dcterms:created>
  <dc:creator>Xiangye Liu</dc:creator>
  <cp:lastModifiedBy>ZHOU</cp:lastModifiedBy>
  <dcterms:modified xsi:type="dcterms:W3CDTF">2025-11-13T00:51:02Z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eyJoZGlkIjoiMDA3NjZjYmVlMjc1OTA4NzdiNTNhNDk0YmU0NWM2OGUiLCJ1c2VySWQiOiI1MjY1Mzk2MjQifQ==</vt:lpwstr>
  </property>
  <property fmtid="{D5CDD505-2E9C-101B-9397-08002B2CF9AE}" pid="3" name="KSOProductBuildVer">
    <vt:lpwstr>2052-12.1.0.23125</vt:lpwstr>
  </property>
  <property fmtid="{D5CDD505-2E9C-101B-9397-08002B2CF9AE}" pid="4" name="ICV">
    <vt:lpwstr>5F2A340B99FD4587BAD1B0AC0D738825_12</vt:lpwstr>
  </property>
</Properties>
</file>