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DA56" w14:textId="258915BD" w:rsidR="00384CB4" w:rsidRDefault="00384CB4" w:rsidP="00384CB4">
      <w:pPr>
        <w:snapToGrid w:val="0"/>
        <w:spacing w:line="360" w:lineRule="auto"/>
        <w:rPr>
          <w:b/>
          <w:bCs/>
          <w:color w:val="000000" w:themeColor="text1"/>
          <w:shd w:val="clear" w:color="auto" w:fill="FFFFFF"/>
        </w:rPr>
      </w:pPr>
      <w:r>
        <w:rPr>
          <w:b/>
          <w:bCs/>
          <w:color w:val="000000" w:themeColor="text1"/>
          <w:shd w:val="clear" w:color="auto" w:fill="FFFFFF"/>
        </w:rPr>
        <w:t>Supplementary File S1</w:t>
      </w:r>
    </w:p>
    <w:p w14:paraId="03E9FE7D" w14:textId="794877BB" w:rsidR="00384CB4" w:rsidRPr="005D70BD" w:rsidRDefault="00456135" w:rsidP="00384CB4">
      <w:pPr>
        <w:snapToGrid w:val="0"/>
        <w:spacing w:line="360" w:lineRule="auto"/>
        <w:rPr>
          <w:color w:val="000000" w:themeColor="text1"/>
          <w:shd w:val="clear" w:color="auto" w:fill="FFFFFF"/>
        </w:rPr>
      </w:pPr>
      <w:r w:rsidRPr="00456135">
        <w:rPr>
          <w:b/>
          <w:bCs/>
          <w:color w:val="000000" w:themeColor="text1"/>
          <w:shd w:val="clear" w:color="auto" w:fill="FFFFFF"/>
        </w:rPr>
        <w:t>Step-by-step instructions</w:t>
      </w:r>
      <w:r w:rsidR="00AE5C7B">
        <w:rPr>
          <w:b/>
          <w:bCs/>
          <w:color w:val="000000" w:themeColor="text1"/>
          <w:shd w:val="clear" w:color="auto" w:fill="FFFFFF"/>
        </w:rPr>
        <w:t xml:space="preserve"> for </w:t>
      </w:r>
      <w:r w:rsidR="00384CB4" w:rsidRPr="005D70BD">
        <w:rPr>
          <w:b/>
          <w:bCs/>
          <w:color w:val="000000" w:themeColor="text1"/>
          <w:shd w:val="clear" w:color="auto" w:fill="FFFFFF"/>
        </w:rPr>
        <w:t>generat</w:t>
      </w:r>
      <w:r w:rsidR="00AE5C7B">
        <w:rPr>
          <w:b/>
          <w:bCs/>
          <w:color w:val="000000" w:themeColor="text1"/>
          <w:shd w:val="clear" w:color="auto" w:fill="FFFFFF"/>
        </w:rPr>
        <w:t>ing</w:t>
      </w:r>
      <w:r w:rsidR="00384CB4" w:rsidRPr="005D70BD">
        <w:rPr>
          <w:b/>
          <w:bCs/>
          <w:color w:val="000000" w:themeColor="text1"/>
          <w:shd w:val="clear" w:color="auto" w:fill="FFFFFF"/>
        </w:rPr>
        <w:t xml:space="preserve"> T2T </w:t>
      </w:r>
      <w:r>
        <w:rPr>
          <w:b/>
          <w:bCs/>
          <w:color w:val="000000" w:themeColor="text1"/>
          <w:shd w:val="clear" w:color="auto" w:fill="FFFFFF"/>
        </w:rPr>
        <w:t>assembly</w:t>
      </w:r>
    </w:p>
    <w:p w14:paraId="745A6393" w14:textId="4C010B3E" w:rsidR="00384CB4" w:rsidRPr="005D70BD" w:rsidRDefault="00384CB4" w:rsidP="00384CB4">
      <w:pPr>
        <w:snapToGrid w:val="0"/>
        <w:spacing w:line="360" w:lineRule="auto"/>
        <w:ind w:firstLine="720"/>
        <w:rPr>
          <w:color w:val="000000" w:themeColor="text1"/>
          <w:shd w:val="clear" w:color="auto" w:fill="FFFFFF"/>
        </w:rPr>
      </w:pPr>
      <w:r w:rsidRPr="005D70BD">
        <w:rPr>
          <w:b/>
          <w:bCs/>
          <w:color w:val="000000" w:themeColor="text1"/>
          <w:shd w:val="clear" w:color="auto" w:fill="FFFFFF"/>
        </w:rPr>
        <w:t>Step 1 – NECAT assembly:</w:t>
      </w:r>
      <w:r w:rsidRPr="005D70BD">
        <w:rPr>
          <w:color w:val="000000" w:themeColor="text1"/>
          <w:shd w:val="clear" w:color="auto" w:fill="FFFFFF"/>
        </w:rPr>
        <w:t xml:space="preserve"> The Nanopore data assembler, NECAT version 0.0.1_update20200803 </w:t>
      </w:r>
      <w:r w:rsidRPr="005D70BD">
        <w:rPr>
          <w:color w:val="000000" w:themeColor="text1"/>
          <w:shd w:val="clear" w:color="auto" w:fill="FFFFFF"/>
        </w:rPr>
        <w:fldChar w:fldCharType="begin"/>
      </w:r>
      <w:r w:rsidRPr="005D70BD">
        <w:rPr>
          <w:color w:val="000000" w:themeColor="text1"/>
          <w:shd w:val="clear" w:color="auto" w:fill="FFFFFF"/>
        </w:rPr>
        <w:instrText xml:space="preserve"> ADDIN ZOTERO_ITEM CSL_CITATION {"citationID":"09AYwtzX","properties":{"formattedCitation":"(Chen et al. 2021)","plainCitation":"(Chen et al. 2021)","noteIndex":0},"citationItems":[{"id":8323,"uris":["http://zotero.org/users/14803143/items/SSIVTBZC"],"itemData":{"id":8323,"type":"article-journal","abstract":"Long nanopore reads are advantageous in de novo genome assembly. However, nanopore reads usually have broad error distribution and high-error-rate subsequences. Existing error correction tools cannot correct nanopore reads efficiently and effectively. Most methods trim high-error-rate subsequences during error correction, which reduces both the length of the reads and contiguity of the final assembly. Here, we develop an error correction, and de novo assembly tool designed to overcome complex errors in nanopore reads. We propose an adaptive read selection and two-step progressive method to quickly correct nanopore reads to high accuracy. We introduce a two-stage assembler to utilize the full length of nanopore reads. Our tool achieves superior performance in both error correction and de novo assembling nanopore reads. It requires only 8122 hours to assemble a 35X coverage human genome and achieves a 2.47-fold improvement in NG50. Furthermore, our assembly of the human WERI cell line shows an NG50 of 22 Mbp. The high-quality assembly of nanopore reads can significantly reduce false positives in structure variation detection.","container-title":"Nature Communications","DOI":"10.1038/s41467-020-20236-7","ISSN":"20411723","issue":"1","note":"PMID: 33397900\npublisher: Springer US","page":"1-10","title":"Efficient assembly of nanopore reads via highly accurate and intact error correction","volume":"12","author":[{"family":"Chen","given":"Ying"},{"family":"Nie","given":"Fan"},{"family":"Xie","given":"Shang Qian"},{"family":"Zheng","given":"Ying Feng"},{"family":"Dai","given":"Qi"},{"family":"Bray","given":"Thomas"},{"family":"Wang","given":"Yao Xin"},{"family":"Xing","given":"Jian Feng"},{"family":"Huang","given":"Zhi Jian"},{"family":"Wang","given":"De Peng"},{"family":"He","given":"Li Juan"},{"family":"Luo","given":"Feng"},{"family":"Wang","given":"Jian Xin"},{"family":"Liu","given":"Yi Zhi"},{"family":"Xiao","given":"Chuan Le"}],"issued":{"date-parts":[["2021"]]}}}],"schema":"https://github.com/citation-style-language/schema/raw/master/csl-citation.json"} </w:instrText>
      </w:r>
      <w:r w:rsidRPr="005D70BD">
        <w:rPr>
          <w:color w:val="000000" w:themeColor="text1"/>
          <w:shd w:val="clear" w:color="auto" w:fill="FFFFFF"/>
        </w:rPr>
        <w:fldChar w:fldCharType="separate"/>
      </w:r>
      <w:r w:rsidRPr="005D70BD">
        <w:rPr>
          <w:noProof/>
          <w:color w:val="000000" w:themeColor="text1"/>
          <w:shd w:val="clear" w:color="auto" w:fill="FFFFFF"/>
        </w:rPr>
        <w:t>(Chen et al. 2021)</w:t>
      </w:r>
      <w:r w:rsidRPr="005D70BD">
        <w:rPr>
          <w:color w:val="000000" w:themeColor="text1"/>
          <w:shd w:val="clear" w:color="auto" w:fill="FFFFFF"/>
        </w:rPr>
        <w:fldChar w:fldCharType="end"/>
      </w:r>
      <w:r w:rsidRPr="005D70BD">
        <w:rPr>
          <w:color w:val="000000" w:themeColor="text1"/>
          <w:shd w:val="clear" w:color="auto" w:fill="FFFFFF"/>
        </w:rPr>
        <w:t xml:space="preserve"> was used as an error correction and de novo assembly tool for generating the preliminary genome assembly by defining the following parameters in the program’s configuration file: </w:t>
      </w:r>
      <w:proofErr w:type="spellStart"/>
      <w:r w:rsidRPr="005D70BD">
        <w:rPr>
          <w:color w:val="000000" w:themeColor="text1"/>
          <w:shd w:val="clear" w:color="auto" w:fill="FFFFFF"/>
        </w:rPr>
        <w:t>genome_size</w:t>
      </w:r>
      <w:proofErr w:type="spellEnd"/>
      <w:r w:rsidRPr="005D70BD">
        <w:rPr>
          <w:color w:val="000000" w:themeColor="text1"/>
          <w:shd w:val="clear" w:color="auto" w:fill="FFFFFF"/>
        </w:rPr>
        <w:t xml:space="preserve">=63Mb, </w:t>
      </w:r>
      <w:proofErr w:type="spellStart"/>
      <w:r w:rsidRPr="005D70BD">
        <w:rPr>
          <w:color w:val="000000" w:themeColor="text1"/>
          <w:shd w:val="clear" w:color="auto" w:fill="FFFFFF"/>
        </w:rPr>
        <w:t>min_read_length</w:t>
      </w:r>
      <w:proofErr w:type="spellEnd"/>
      <w:r w:rsidRPr="005D70BD">
        <w:rPr>
          <w:color w:val="000000" w:themeColor="text1"/>
          <w:shd w:val="clear" w:color="auto" w:fill="FFFFFF"/>
        </w:rPr>
        <w:t xml:space="preserve">=10k, </w:t>
      </w:r>
      <w:proofErr w:type="spellStart"/>
      <w:r w:rsidRPr="005D70BD">
        <w:rPr>
          <w:color w:val="000000" w:themeColor="text1"/>
          <w:shd w:val="clear" w:color="auto" w:fill="FFFFFF"/>
        </w:rPr>
        <w:t>prep_output_coverage</w:t>
      </w:r>
      <w:proofErr w:type="spellEnd"/>
      <w:r w:rsidRPr="005D70BD">
        <w:rPr>
          <w:color w:val="000000" w:themeColor="text1"/>
          <w:shd w:val="clear" w:color="auto" w:fill="FFFFFF"/>
        </w:rPr>
        <w:t xml:space="preserve">=40, </w:t>
      </w:r>
      <w:proofErr w:type="spellStart"/>
      <w:r w:rsidRPr="005D70BD">
        <w:rPr>
          <w:color w:val="000000" w:themeColor="text1"/>
          <w:shd w:val="clear" w:color="auto" w:fill="FFFFFF"/>
        </w:rPr>
        <w:t>cns_output_coverage</w:t>
      </w:r>
      <w:proofErr w:type="spellEnd"/>
      <w:r w:rsidRPr="005D70BD">
        <w:rPr>
          <w:color w:val="000000" w:themeColor="text1"/>
          <w:shd w:val="clear" w:color="auto" w:fill="FFFFFF"/>
        </w:rPr>
        <w:t xml:space="preserve">=30. The remaining parameters were kept as default. The contigs, which typically span between 100-150 kb in size, that contained the mitochondrial DNA sequences were identified by BLAST against the complete mt genome of Fo47 (GenBank: LT906306.1). The NECAT assembly after removing the contigs representing the mt genome was carried forward for the downstream analyses. </w:t>
      </w:r>
    </w:p>
    <w:p w14:paraId="4AAAF816" w14:textId="7E643F59" w:rsidR="00384CB4" w:rsidRPr="005D70BD" w:rsidRDefault="00384CB4" w:rsidP="00384CB4">
      <w:pPr>
        <w:snapToGrid w:val="0"/>
        <w:spacing w:line="360" w:lineRule="auto"/>
        <w:ind w:firstLine="720"/>
        <w:rPr>
          <w:color w:val="000000" w:themeColor="text1"/>
          <w:shd w:val="clear" w:color="auto" w:fill="FFFFFF"/>
        </w:rPr>
      </w:pPr>
      <w:r w:rsidRPr="005D70BD">
        <w:rPr>
          <w:b/>
          <w:bCs/>
          <w:color w:val="000000" w:themeColor="text1"/>
          <w:shd w:val="clear" w:color="auto" w:fill="FFFFFF"/>
        </w:rPr>
        <w:t>Step2 – Mis-assembly inspection:</w:t>
      </w:r>
      <w:r w:rsidRPr="005D70BD">
        <w:rPr>
          <w:color w:val="000000" w:themeColor="text1"/>
          <w:shd w:val="clear" w:color="auto" w:fill="FFFFFF"/>
        </w:rPr>
        <w:t xml:space="preserve"> The NECAT assembly was inspected for mis-assembled regions, which often occurred in repeat-rich regions of the genome, by mapping 50-99 kb ONT reads to the contigs using the “Map Reads to Reference” module on CLC Genomics Workbench version 22 </w:t>
      </w:r>
      <w:r w:rsidR="0087269D">
        <w:rPr>
          <w:color w:val="000000" w:themeColor="text1"/>
          <w:shd w:val="clear" w:color="auto" w:fill="FFFFFF"/>
        </w:rPr>
        <w:t>(</w:t>
      </w:r>
      <w:r w:rsidR="0087269D" w:rsidRPr="00D82342">
        <w:rPr>
          <w:color w:val="000000" w:themeColor="text1"/>
          <w:shd w:val="clear" w:color="auto" w:fill="FFFFFF"/>
        </w:rPr>
        <w:t>QIAGEN</w:t>
      </w:r>
      <w:r w:rsidR="0087269D">
        <w:rPr>
          <w:color w:val="000000" w:themeColor="text1"/>
          <w:shd w:val="clear" w:color="auto" w:fill="FFFFFF"/>
        </w:rPr>
        <w:t xml:space="preserve">, </w:t>
      </w:r>
      <w:r w:rsidR="0087269D" w:rsidRPr="00AF7805">
        <w:rPr>
          <w:color w:val="000000" w:themeColor="text1"/>
          <w:shd w:val="clear" w:color="auto" w:fill="FFFFFF"/>
        </w:rPr>
        <w:t>Aarhus, Denmark</w:t>
      </w:r>
      <w:r w:rsidR="0087269D">
        <w:rPr>
          <w:color w:val="000000" w:themeColor="text1"/>
          <w:shd w:val="clear" w:color="auto" w:fill="FFFFFF"/>
        </w:rPr>
        <w:t xml:space="preserve">; </w:t>
      </w:r>
      <w:r w:rsidR="0087269D" w:rsidRPr="001F023B">
        <w:rPr>
          <w:rFonts w:eastAsiaTheme="majorEastAsia"/>
          <w:color w:val="000000" w:themeColor="text1"/>
        </w:rPr>
        <w:t>https://digitalinsights.qiagen.com/</w:t>
      </w:r>
      <w:r w:rsidR="0087269D">
        <w:rPr>
          <w:color w:val="000000" w:themeColor="text1"/>
          <w:shd w:val="clear" w:color="auto" w:fill="FFFFFF"/>
        </w:rPr>
        <w:t xml:space="preserve">) </w:t>
      </w:r>
      <w:r w:rsidR="0087269D">
        <w:rPr>
          <w:color w:val="000000" w:themeColor="text1"/>
          <w:shd w:val="clear" w:color="auto" w:fill="FFFFFF"/>
        </w:rPr>
        <w:t xml:space="preserve">with the following parameters: </w:t>
      </w:r>
      <w:r w:rsidRPr="005D70BD">
        <w:rPr>
          <w:color w:val="000000" w:themeColor="text1"/>
          <w:shd w:val="clear" w:color="auto" w:fill="FFFFFF"/>
        </w:rPr>
        <w:t xml:space="preserve">Match score: 1, Mismatch cost: 2, Linear gap cost, Similarity fraction: 0.96, Length fraction:0.7. A semi-automated search for mis-assembled region in the read mapping graphics was achieved using the “Find Low Coverage” function with a custom threshold of 50. Once the mis-assembled regions have been identified for one contig, the new consensus sequence was generated based on the read mapping with the following options set to: low coverage definition threshold=50, remove regions with low coverage, split into separate sequences. By doing this, some of the original contigs were split into multiple sub-contigs, eliminating the mis-assembled regions. For the contigs free of mis-assembly, the new consensus sequence was exported. </w:t>
      </w:r>
      <w:r w:rsidR="0087269D">
        <w:rPr>
          <w:color w:val="000000" w:themeColor="text1"/>
          <w:shd w:val="clear" w:color="auto" w:fill="FFFFFF"/>
        </w:rPr>
        <w:t xml:space="preserve">Alternatively, </w:t>
      </w:r>
      <w:proofErr w:type="spellStart"/>
      <w:r w:rsidR="0087269D">
        <w:rPr>
          <w:color w:val="000000" w:themeColor="text1"/>
          <w:shd w:val="clear" w:color="auto" w:fill="FFFFFF"/>
        </w:rPr>
        <w:t>SeqMan</w:t>
      </w:r>
      <w:proofErr w:type="spellEnd"/>
      <w:r w:rsidR="0087269D">
        <w:rPr>
          <w:color w:val="000000" w:themeColor="text1"/>
          <w:shd w:val="clear" w:color="auto" w:fill="FFFFFF"/>
        </w:rPr>
        <w:t xml:space="preserve"> NGen 16.0 </w:t>
      </w:r>
      <w:r w:rsidR="0087269D" w:rsidRPr="00EE501E">
        <w:rPr>
          <w:color w:val="000000" w:themeColor="text1"/>
          <w:shd w:val="clear" w:color="auto" w:fill="FFFFFF"/>
        </w:rPr>
        <w:t>(DNASTAR, Madison, WI, USA)</w:t>
      </w:r>
      <w:r w:rsidR="0087269D">
        <w:rPr>
          <w:color w:val="000000" w:themeColor="text1"/>
          <w:shd w:val="clear" w:color="auto" w:fill="FFFFFF"/>
        </w:rPr>
        <w:t xml:space="preserve"> can be used to check for misassembly with a</w:t>
      </w:r>
      <w:r w:rsidR="0087269D">
        <w:rPr>
          <w:color w:val="000000" w:themeColor="text1"/>
          <w:shd w:val="clear" w:color="auto" w:fill="FFFFFF"/>
        </w:rPr>
        <w:t xml:space="preserve"> stringency setting of 95% and </w:t>
      </w:r>
      <w:r w:rsidR="0087269D" w:rsidRPr="006E06CF">
        <w:rPr>
          <w:i/>
          <w:iCs/>
          <w:color w:val="000000" w:themeColor="text1"/>
          <w:shd w:val="clear" w:color="auto" w:fill="FFFFFF"/>
        </w:rPr>
        <w:t>k</w:t>
      </w:r>
      <w:r w:rsidR="0087269D">
        <w:rPr>
          <w:color w:val="000000" w:themeColor="text1"/>
          <w:shd w:val="clear" w:color="auto" w:fill="FFFFFF"/>
        </w:rPr>
        <w:t>-</w:t>
      </w:r>
      <w:proofErr w:type="spellStart"/>
      <w:r w:rsidR="0087269D">
        <w:rPr>
          <w:color w:val="000000" w:themeColor="text1"/>
          <w:shd w:val="clear" w:color="auto" w:fill="FFFFFF"/>
        </w:rPr>
        <w:t>mer</w:t>
      </w:r>
      <w:proofErr w:type="spellEnd"/>
      <w:r w:rsidR="0087269D">
        <w:rPr>
          <w:color w:val="000000" w:themeColor="text1"/>
          <w:shd w:val="clear" w:color="auto" w:fill="FFFFFF"/>
        </w:rPr>
        <w:t xml:space="preserve"> size of 30</w:t>
      </w:r>
      <w:r w:rsidR="0087269D">
        <w:rPr>
          <w:color w:val="000000" w:themeColor="text1"/>
          <w:shd w:val="clear" w:color="auto" w:fill="FFFFFF"/>
        </w:rPr>
        <w:t>.</w:t>
      </w:r>
    </w:p>
    <w:p w14:paraId="1BFC3D3C" w14:textId="787B0632" w:rsidR="00384CB4" w:rsidRPr="005D70BD" w:rsidRDefault="00384CB4" w:rsidP="00384CB4">
      <w:pPr>
        <w:snapToGrid w:val="0"/>
        <w:spacing w:line="360" w:lineRule="auto"/>
        <w:ind w:firstLine="720"/>
        <w:rPr>
          <w:color w:val="000000" w:themeColor="text1"/>
          <w:shd w:val="clear" w:color="auto" w:fill="FFFFFF"/>
        </w:rPr>
      </w:pPr>
      <w:r w:rsidRPr="005D70BD">
        <w:rPr>
          <w:b/>
          <w:bCs/>
          <w:color w:val="000000" w:themeColor="text1"/>
          <w:shd w:val="clear" w:color="auto" w:fill="FFFFFF"/>
        </w:rPr>
        <w:t>Step 3 – End extension:</w:t>
      </w:r>
      <w:r w:rsidRPr="005D70BD">
        <w:rPr>
          <w:color w:val="000000" w:themeColor="text1"/>
          <w:shd w:val="clear" w:color="auto" w:fill="FFFFFF"/>
        </w:rPr>
        <w:t xml:space="preserve"> The contigs and sub-contigs generated from Step 2 were subject to a second run of read mapping using the same settings as described above, followed by end extension using the “Extend contig ends” </w:t>
      </w:r>
      <w:r w:rsidR="00456135">
        <w:rPr>
          <w:color w:val="000000" w:themeColor="text1"/>
          <w:shd w:val="clear" w:color="auto" w:fill="FFFFFF"/>
        </w:rPr>
        <w:t>function of the Genome Finishing Module</w:t>
      </w:r>
      <w:r w:rsidRPr="005D70BD">
        <w:rPr>
          <w:color w:val="000000" w:themeColor="text1"/>
          <w:shd w:val="clear" w:color="auto" w:fill="FFFFFF"/>
        </w:rPr>
        <w:t xml:space="preserve"> on CLC Genomics Workbench (Minimum coverage: 3, Maximum unaligned ends coverage: 30%), which typically extended the contig by 15-30 kb on both ends. The process for end extension was performed iteratively until the end contained telomeric repeats or rDNA sequences. In a few </w:t>
      </w:r>
      <w:r w:rsidRPr="005D70BD">
        <w:rPr>
          <w:color w:val="000000" w:themeColor="text1"/>
          <w:shd w:val="clear" w:color="auto" w:fill="FFFFFF"/>
        </w:rPr>
        <w:lastRenderedPageBreak/>
        <w:t xml:space="preserve">cases, HiFi reads (≥ 15 kb) were employed to extend certain contigs that display low read coverage on the ends. We also ran into situations where no consensus sequence could be called on the extended region because of the heterogeneity of the mapped reads. This often occurred in repetitive regions where many of the aligned reads may belong somewhere else. Manual extension was conducted by extracting all the reads aligned to the end of the contig, imported them to Geneious Prime version 24.0.7 </w:t>
      </w:r>
      <w:r w:rsidRPr="005D70BD">
        <w:rPr>
          <w:color w:val="000000" w:themeColor="text1"/>
        </w:rPr>
        <w:t>(</w:t>
      </w:r>
      <w:r w:rsidRPr="005D70BD">
        <w:rPr>
          <w:rFonts w:ascii="Calibri" w:hAnsi="Calibri" w:cs="Calibri"/>
          <w:color w:val="000000" w:themeColor="text1"/>
        </w:rPr>
        <w:t>﻿</w:t>
      </w:r>
      <w:hyperlink r:id="rId4" w:history="1">
        <w:r w:rsidRPr="005D70BD">
          <w:rPr>
            <w:rStyle w:val="Hyperlink"/>
            <w:rFonts w:eastAsiaTheme="majorEastAsia"/>
            <w:color w:val="000000" w:themeColor="text1"/>
          </w:rPr>
          <w:t>http://www.geneious.com/</w:t>
        </w:r>
      </w:hyperlink>
      <w:r w:rsidRPr="005D70BD">
        <w:rPr>
          <w:color w:val="000000" w:themeColor="text1"/>
        </w:rPr>
        <w:t>)</w:t>
      </w:r>
      <w:r w:rsidRPr="005D70BD">
        <w:rPr>
          <w:color w:val="000000" w:themeColor="text1"/>
          <w:shd w:val="clear" w:color="auto" w:fill="FFFFFF"/>
        </w:rPr>
        <w:t xml:space="preserve"> for alignment, identified the longest read, and attached it to the end of the consensus sequence. The resulting extended contig was then used as input sequence to continue the end extension. </w:t>
      </w:r>
    </w:p>
    <w:p w14:paraId="36C5E716" w14:textId="5E7C3EDD" w:rsidR="00384CB4" w:rsidRPr="005D70BD" w:rsidRDefault="00384CB4" w:rsidP="00384CB4">
      <w:pPr>
        <w:snapToGrid w:val="0"/>
        <w:spacing w:line="360" w:lineRule="auto"/>
        <w:ind w:firstLine="720"/>
        <w:rPr>
          <w:color w:val="000000" w:themeColor="text1"/>
          <w:shd w:val="clear" w:color="auto" w:fill="FFFFFF"/>
        </w:rPr>
      </w:pPr>
      <w:r w:rsidRPr="005D70BD">
        <w:rPr>
          <w:color w:val="000000" w:themeColor="text1"/>
          <w:shd w:val="clear" w:color="auto" w:fill="FFFFFF"/>
        </w:rPr>
        <w:t>In the processing of end extension, we encountered one particularly interesting contig in AT141, which had the 5’end fully extended to reach the telomere while the 3’end failed to extend any further. It was speculated that the 3’end might be part of an inverted repeat region that is reverse complimentary to the 5’end of the contig. This speculation was</w:t>
      </w:r>
      <w:r w:rsidR="00456135">
        <w:rPr>
          <w:color w:val="000000" w:themeColor="text1"/>
          <w:shd w:val="clear" w:color="auto" w:fill="FFFFFF"/>
        </w:rPr>
        <w:t xml:space="preserve"> supported by</w:t>
      </w:r>
      <w:r w:rsidRPr="005D70BD">
        <w:rPr>
          <w:color w:val="000000" w:themeColor="text1"/>
          <w:shd w:val="clear" w:color="auto" w:fill="FFFFFF"/>
        </w:rPr>
        <w:t xml:space="preserve"> two read mapping observations: a) the 3’end of the contig was 100% match to the 5’end of the contig; b) the 5’end had double the read coverage compared to the rest of the contig (~300× vs ~150×). To allow the end extension to continue at the 3’end, we masked the 5’end of the contig (~500 kb) prior to read mapping. After around ten rounds of progressive end extension towards the 3’end direction, the chromosome was brought to completeness with telomeric repeats on both ends. </w:t>
      </w:r>
    </w:p>
    <w:p w14:paraId="625AF086" w14:textId="5A57960A" w:rsidR="0087269D" w:rsidRDefault="00384CB4" w:rsidP="00384CB4">
      <w:pPr>
        <w:snapToGrid w:val="0"/>
        <w:spacing w:line="360" w:lineRule="auto"/>
        <w:ind w:firstLine="720"/>
        <w:rPr>
          <w:color w:val="000000" w:themeColor="text1"/>
          <w:shd w:val="clear" w:color="auto" w:fill="FFFFFF"/>
        </w:rPr>
      </w:pPr>
      <w:r w:rsidRPr="005D70BD">
        <w:rPr>
          <w:b/>
          <w:bCs/>
          <w:color w:val="000000" w:themeColor="text1"/>
          <w:shd w:val="clear" w:color="auto" w:fill="FFFFFF"/>
        </w:rPr>
        <w:t>Step 4 – Contig merging</w:t>
      </w:r>
      <w:r w:rsidRPr="005D70BD">
        <w:rPr>
          <w:color w:val="000000" w:themeColor="text1"/>
          <w:shd w:val="clear" w:color="auto" w:fill="FFFFFF"/>
        </w:rPr>
        <w:t xml:space="preserve">: The extended contigs and sub-contigs were merged </w:t>
      </w:r>
      <w:r w:rsidR="00456135">
        <w:rPr>
          <w:color w:val="000000" w:themeColor="text1"/>
          <w:shd w:val="clear" w:color="auto" w:fill="FFFFFF"/>
        </w:rPr>
        <w:t xml:space="preserve">when there was </w:t>
      </w:r>
      <w:r w:rsidRPr="005D70BD">
        <w:rPr>
          <w:color w:val="000000" w:themeColor="text1"/>
          <w:shd w:val="clear" w:color="auto" w:fill="FFFFFF"/>
        </w:rPr>
        <w:t xml:space="preserve">a minimum </w:t>
      </w:r>
      <w:r w:rsidR="00456135">
        <w:rPr>
          <w:color w:val="000000" w:themeColor="text1"/>
          <w:shd w:val="clear" w:color="auto" w:fill="FFFFFF"/>
        </w:rPr>
        <w:t xml:space="preserve">of </w:t>
      </w:r>
      <w:r w:rsidRPr="005D70BD">
        <w:rPr>
          <w:color w:val="000000" w:themeColor="text1"/>
          <w:shd w:val="clear" w:color="auto" w:fill="FFFFFF"/>
        </w:rPr>
        <w:t>50</w:t>
      </w:r>
      <w:r w:rsidR="00456135">
        <w:rPr>
          <w:color w:val="000000" w:themeColor="text1"/>
          <w:shd w:val="clear" w:color="auto" w:fill="FFFFFF"/>
        </w:rPr>
        <w:t>-</w:t>
      </w:r>
      <w:r w:rsidRPr="005D70BD">
        <w:rPr>
          <w:color w:val="000000" w:themeColor="text1"/>
          <w:shd w:val="clear" w:color="auto" w:fill="FFFFFF"/>
        </w:rPr>
        <w:t xml:space="preserve">kb overlap </w:t>
      </w:r>
      <w:r w:rsidRPr="005D70BD">
        <w:rPr>
          <w:color w:val="000000" w:themeColor="text1"/>
        </w:rPr>
        <w:t xml:space="preserve">using the </w:t>
      </w:r>
      <w:proofErr w:type="spellStart"/>
      <w:r w:rsidRPr="005D70BD">
        <w:rPr>
          <w:color w:val="000000" w:themeColor="text1"/>
          <w:shd w:val="clear" w:color="auto" w:fill="FFFFFF"/>
        </w:rPr>
        <w:t>nucmer</w:t>
      </w:r>
      <w:proofErr w:type="spellEnd"/>
      <w:r w:rsidRPr="005D70BD">
        <w:rPr>
          <w:color w:val="000000" w:themeColor="text1"/>
          <w:shd w:val="clear" w:color="auto" w:fill="FFFFFF"/>
        </w:rPr>
        <w:t xml:space="preserve"> module of the </w:t>
      </w:r>
      <w:proofErr w:type="spellStart"/>
      <w:r w:rsidRPr="005D70BD">
        <w:rPr>
          <w:color w:val="000000" w:themeColor="text1"/>
          <w:shd w:val="clear" w:color="auto" w:fill="FFFFFF"/>
        </w:rPr>
        <w:t>MUMmer</w:t>
      </w:r>
      <w:proofErr w:type="spellEnd"/>
      <w:r w:rsidRPr="005D70BD">
        <w:rPr>
          <w:color w:val="000000" w:themeColor="text1"/>
          <w:shd w:val="clear" w:color="auto" w:fill="FFFFFF"/>
        </w:rPr>
        <w:t xml:space="preserve"> package version 3.23 </w:t>
      </w:r>
      <w:r w:rsidRPr="005D70BD">
        <w:rPr>
          <w:color w:val="000000" w:themeColor="text1"/>
          <w:shd w:val="clear" w:color="auto" w:fill="FFFFFF"/>
        </w:rPr>
        <w:fldChar w:fldCharType="begin"/>
      </w:r>
      <w:r w:rsidRPr="005D70BD">
        <w:rPr>
          <w:color w:val="000000" w:themeColor="text1"/>
          <w:shd w:val="clear" w:color="auto" w:fill="FFFFFF"/>
        </w:rPr>
        <w:instrText xml:space="preserve"> ADDIN ZOTERO_ITEM CSL_CITATION {"citationID":"JRIu7z3C","properties":{"formattedCitation":"(Kurtz et al. 2004)","plainCitation":"(Kurtz et al. 2004)","noteIndex":0},"citationItems":[{"id":7994,"uris":["http://zotero.org/users/14803143/items/L54J7E82"],"itemData":{"id":7994,"type":"article-journal","abstract":"The newest version of MUMmer easily handles comparisons of large eukaryotic genomes at varying evolutionary distances, as demonstrated by applications to multiple genomes. Two new graphical viewing tools provide alternative ways to analyze genome alignments. The new system is the first version of MUMmer to be released as open-source software. This allows other developers to contribute to the code base and freely redistribute the code. The MUMmer sources are available at http://www.tigr.org/software/mummer.","container-title":"Genome biology","DOI":"10.1186/gb-2004-5-2-r12","ISSN":"14656914","issue":"2","note":"PMID: 14759262","title":"Versatile and open software for comparing large genomes.","volume":"5","author":[{"family":"Kurtz","given":"Stefan"},{"family":"Phillippy","given":"Adam"},{"family":"Delcher","given":"Arthur L."},{"family":"Smoot","given":"Michael"},{"family":"Shumway","given":"Martin"},{"family":"Antonescu","given":"Corina"},{"family":"Salzberg","given":"Steven L."}],"issued":{"date-parts":[["2004"]]}}}],"schema":"https://github.com/citation-style-language/schema/raw/master/csl-citation.json"} </w:instrText>
      </w:r>
      <w:r w:rsidRPr="005D70BD">
        <w:rPr>
          <w:color w:val="000000" w:themeColor="text1"/>
          <w:shd w:val="clear" w:color="auto" w:fill="FFFFFF"/>
        </w:rPr>
        <w:fldChar w:fldCharType="separate"/>
      </w:r>
      <w:r w:rsidRPr="005D70BD">
        <w:rPr>
          <w:noProof/>
          <w:color w:val="000000" w:themeColor="text1"/>
          <w:shd w:val="clear" w:color="auto" w:fill="FFFFFF"/>
        </w:rPr>
        <w:t>(Kurtz et al. 2004)</w:t>
      </w:r>
      <w:r w:rsidRPr="005D70BD">
        <w:rPr>
          <w:color w:val="000000" w:themeColor="text1"/>
          <w:shd w:val="clear" w:color="auto" w:fill="FFFFFF"/>
        </w:rPr>
        <w:fldChar w:fldCharType="end"/>
      </w:r>
      <w:r w:rsidRPr="005D70BD">
        <w:rPr>
          <w:color w:val="000000" w:themeColor="text1"/>
          <w:shd w:val="clear" w:color="auto" w:fill="FFFFFF"/>
        </w:rPr>
        <w:t xml:space="preserve">. Once the T2T assembly was obtained, the continuity and correctness of the assembly was checked by re-mapping 50-99 kb ONT reads to the assembly using </w:t>
      </w:r>
      <w:proofErr w:type="spellStart"/>
      <w:r w:rsidR="0087269D">
        <w:rPr>
          <w:color w:val="000000" w:themeColor="text1"/>
          <w:shd w:val="clear" w:color="auto" w:fill="FFFFFF"/>
        </w:rPr>
        <w:t>using</w:t>
      </w:r>
      <w:proofErr w:type="spellEnd"/>
      <w:r w:rsidR="0087269D">
        <w:rPr>
          <w:color w:val="000000" w:themeColor="text1"/>
          <w:shd w:val="clear" w:color="auto" w:fill="FFFFFF"/>
        </w:rPr>
        <w:t xml:space="preserve"> CLC Genomics</w:t>
      </w:r>
      <w:r w:rsidR="0087269D" w:rsidRPr="005D70BD">
        <w:rPr>
          <w:color w:val="000000" w:themeColor="text1"/>
          <w:shd w:val="clear" w:color="auto" w:fill="FFFFFF"/>
        </w:rPr>
        <w:t xml:space="preserve"> </w:t>
      </w:r>
      <w:r w:rsidR="0087269D">
        <w:rPr>
          <w:color w:val="000000" w:themeColor="text1"/>
          <w:shd w:val="clear" w:color="auto" w:fill="FFFFFF"/>
        </w:rPr>
        <w:t xml:space="preserve">with </w:t>
      </w:r>
      <w:r w:rsidRPr="005D70BD">
        <w:rPr>
          <w:color w:val="000000" w:themeColor="text1"/>
          <w:shd w:val="clear" w:color="auto" w:fill="FFFFFF"/>
        </w:rPr>
        <w:t>the same settings as described above</w:t>
      </w:r>
      <w:r w:rsidR="0087269D">
        <w:rPr>
          <w:color w:val="000000" w:themeColor="text1"/>
          <w:shd w:val="clear" w:color="auto" w:fill="FFFFFF"/>
        </w:rPr>
        <w:t>,</w:t>
      </w:r>
      <w:r w:rsidRPr="005D70BD">
        <w:rPr>
          <w:color w:val="000000" w:themeColor="text1"/>
          <w:shd w:val="clear" w:color="auto" w:fill="FFFFFF"/>
        </w:rPr>
        <w:t xml:space="preserve"> </w:t>
      </w:r>
      <w:r w:rsidR="0087269D">
        <w:rPr>
          <w:color w:val="000000" w:themeColor="text1"/>
          <w:shd w:val="clear" w:color="auto" w:fill="FFFFFF"/>
        </w:rPr>
        <w:t xml:space="preserve">followed by repeating the read mapping using </w:t>
      </w:r>
      <w:proofErr w:type="spellStart"/>
      <w:r w:rsidR="0087269D" w:rsidRPr="005D70BD">
        <w:rPr>
          <w:color w:val="000000" w:themeColor="text1"/>
          <w:shd w:val="clear" w:color="auto" w:fill="FFFFFF"/>
        </w:rPr>
        <w:t>SeqMan</w:t>
      </w:r>
      <w:proofErr w:type="spellEnd"/>
      <w:r w:rsidR="0087269D" w:rsidRPr="005D70BD">
        <w:rPr>
          <w:color w:val="000000" w:themeColor="text1"/>
          <w:shd w:val="clear" w:color="auto" w:fill="FFFFFF"/>
        </w:rPr>
        <w:t xml:space="preserve"> NGen</w:t>
      </w:r>
      <w:r w:rsidR="0087269D">
        <w:rPr>
          <w:color w:val="000000" w:themeColor="text1"/>
          <w:shd w:val="clear" w:color="auto" w:fill="FFFFFF"/>
        </w:rPr>
        <w:t xml:space="preserve"> </w:t>
      </w:r>
      <w:r w:rsidR="0087269D">
        <w:rPr>
          <w:color w:val="000000" w:themeColor="text1"/>
          <w:shd w:val="clear" w:color="auto" w:fill="FFFFFF"/>
        </w:rPr>
        <w:t>with a</w:t>
      </w:r>
      <w:r w:rsidR="0087269D">
        <w:rPr>
          <w:color w:val="000000" w:themeColor="text1"/>
          <w:shd w:val="clear" w:color="auto" w:fill="FFFFFF"/>
        </w:rPr>
        <w:t xml:space="preserve"> stringency setting of 95% and </w:t>
      </w:r>
      <w:r w:rsidR="0087269D" w:rsidRPr="006E06CF">
        <w:rPr>
          <w:i/>
          <w:iCs/>
          <w:color w:val="000000" w:themeColor="text1"/>
          <w:shd w:val="clear" w:color="auto" w:fill="FFFFFF"/>
        </w:rPr>
        <w:t>k</w:t>
      </w:r>
      <w:r w:rsidR="0087269D">
        <w:rPr>
          <w:color w:val="000000" w:themeColor="text1"/>
          <w:shd w:val="clear" w:color="auto" w:fill="FFFFFF"/>
        </w:rPr>
        <w:t>-</w:t>
      </w:r>
      <w:proofErr w:type="spellStart"/>
      <w:r w:rsidR="0087269D">
        <w:rPr>
          <w:color w:val="000000" w:themeColor="text1"/>
          <w:shd w:val="clear" w:color="auto" w:fill="FFFFFF"/>
        </w:rPr>
        <w:t>mer</w:t>
      </w:r>
      <w:proofErr w:type="spellEnd"/>
      <w:r w:rsidR="0087269D">
        <w:rPr>
          <w:color w:val="000000" w:themeColor="text1"/>
          <w:shd w:val="clear" w:color="auto" w:fill="FFFFFF"/>
        </w:rPr>
        <w:t xml:space="preserve"> size of 30</w:t>
      </w:r>
      <w:r w:rsidR="0087269D" w:rsidRPr="005D70BD">
        <w:rPr>
          <w:color w:val="000000" w:themeColor="text1"/>
          <w:shd w:val="clear" w:color="auto" w:fill="FFFFFF"/>
        </w:rPr>
        <w:t>.</w:t>
      </w:r>
      <w:r w:rsidR="0087269D">
        <w:rPr>
          <w:color w:val="000000" w:themeColor="text1"/>
          <w:shd w:val="clear" w:color="auto" w:fill="FFFFFF"/>
        </w:rPr>
        <w:t xml:space="preserve"> </w:t>
      </w:r>
    </w:p>
    <w:p w14:paraId="4A955723" w14:textId="482EB015" w:rsidR="00384CB4" w:rsidRPr="005D70BD" w:rsidRDefault="00384CB4" w:rsidP="00384CB4">
      <w:pPr>
        <w:snapToGrid w:val="0"/>
        <w:spacing w:line="360" w:lineRule="auto"/>
        <w:ind w:firstLine="720"/>
        <w:rPr>
          <w:color w:val="000000" w:themeColor="text1"/>
          <w:shd w:val="clear" w:color="auto" w:fill="FFFFFF"/>
        </w:rPr>
      </w:pPr>
      <w:r w:rsidRPr="005D70BD">
        <w:rPr>
          <w:b/>
          <w:bCs/>
          <w:color w:val="000000" w:themeColor="text1"/>
          <w:shd w:val="clear" w:color="auto" w:fill="FFFFFF"/>
        </w:rPr>
        <w:t xml:space="preserve">Step 5 –Error correction: </w:t>
      </w:r>
      <w:proofErr w:type="spellStart"/>
      <w:r w:rsidRPr="005D70BD">
        <w:rPr>
          <w:color w:val="000000" w:themeColor="text1"/>
          <w:shd w:val="clear" w:color="auto" w:fill="FFFFFF"/>
        </w:rPr>
        <w:t>SeqMan</w:t>
      </w:r>
      <w:proofErr w:type="spellEnd"/>
      <w:r w:rsidRPr="005D70BD">
        <w:rPr>
          <w:color w:val="000000" w:themeColor="text1"/>
          <w:shd w:val="clear" w:color="auto" w:fill="FFFFFF"/>
        </w:rPr>
        <w:t xml:space="preserve"> NGen</w:t>
      </w:r>
      <w:r w:rsidR="0087269D">
        <w:rPr>
          <w:color w:val="000000" w:themeColor="text1"/>
          <w:shd w:val="clear" w:color="auto" w:fill="FFFFFF"/>
        </w:rPr>
        <w:t xml:space="preserve"> </w:t>
      </w:r>
      <w:r w:rsidRPr="005D70BD">
        <w:rPr>
          <w:color w:val="000000" w:themeColor="text1"/>
          <w:shd w:val="clear" w:color="auto" w:fill="FFFFFF"/>
        </w:rPr>
        <w:t xml:space="preserve">was deployed in this procedure as it allowed for visual inspection of nucleotide variants and corresponding read coverage. The T2T assembly was polished with two types of high-accuracy sequencing data: Illumina HiSeq reads (150 bp, paired-end) generated from our previous study </w:t>
      </w:r>
      <w:r w:rsidRPr="005D70BD">
        <w:rPr>
          <w:color w:val="000000" w:themeColor="text1"/>
          <w:shd w:val="clear" w:color="auto" w:fill="FFFFFF"/>
        </w:rPr>
        <w:fldChar w:fldCharType="begin"/>
      </w:r>
      <w:r w:rsidRPr="005D70BD">
        <w:rPr>
          <w:color w:val="000000" w:themeColor="text1"/>
          <w:shd w:val="clear" w:color="auto" w:fill="FFFFFF"/>
        </w:rPr>
        <w:instrText xml:space="preserve"> ADDIN ZOTERO_ITEM CSL_CITATION {"citationID":"NbkicEeu","properties":{"formattedCitation":"(Li et al. 2025)","plainCitation":"(Li et al. 2025)","noteIndex":0},"citationItems":[{"id":"mIBbaGhH/pnmsKWkC","uris":["http://zotero.org/users/14803143/items/M328TLU5","http://zotero.org/users/14803143/items/YA7B8M6N"],"itemData":{"id":9404,"type":"article-journal","abstract":"Fusarium oxysporum f. sp. lactucae (FOLac) is a soil- and seedborne fungal pathogen that causes Fusarium wilt of lettuce, an important disease threatening global lettuce production. Based on pathogenicity on differential lettuce cultivars, four races (1 to 4) have been identiﬁed, with race 1 being the only race detected in the United States and the closely related, emerging race 4 known only in Europe. The development of race-speciﬁc diagnostic tools is hindered by insufﬁcient genomic data to distinguish between the two races and FOLac from other F. oxysporum formae speciales and nonpathogenic isolates. Here, we describe a systematic approach for developing diagnostic markers for FOLac race 1 that utilized a comprehensive sequence database of F. oxysporum to identify 15 unique genomic sequences. Marker speciﬁcity was validated through an exhaustive screening process against genomic data from 797 F. oxysporum isolates representing 64 formae speciales and various plants and non-plant substrates. One of the unique sequences was used to develop a TaqMan quantitative PCR assay and a recombinase polymerase ampliﬁcation assay, both exhibiting 100% sensitivity and speciﬁcity when tested against puriﬁed DNA from 171 F. oxysporum isolates and 69 lettuce samples. The relationship between quantitative PCR cycle threshold values and CFU/g values was also determined. This study not only introduces a new marker for FOLac race 1 diagnostics and soil quantitation but also underscores the value of an extensive genomic database and screening software pipeline for developing molecular diagnostics for F. oxysporum formae speciales and other fungal taxa.","container-title":"Phytopathology®","DOI":"10.1094/PHYTO-04-24-0142-R","ISSN":"0031-949X, 1943-7684","journalAbbreviation":"Phytopathology®","language":"en","page":"PHYTO-04-24-0142-R","source":"DOI.org (Crossref)","title":"A Systematic Approach for Identifying Unique Genomic Sequences for &lt;i&gt;Fusarium oxysporum&lt;/i&gt; f. sp. &lt;i&gt;lactucae&lt;/i&gt; Race 1 and Development of Molecular Diagnostic Tools","author":[{"family":"Li","given":"Ningxiao"},{"family":"Geiser","given":"David M."},{"family":"Steenwyk","given":"Jacob L."},{"family":"Tsuchida","given":"Cayla"},{"family":"Koike","given":"Steve"},{"family":"Slinski","given":"Stephanie"},{"family":"Martin","given":"Frank N."}],"issued":{"date-parts":[["2025",2,7]]}}}],"schema":"https://github.com/citation-style-language/schema/raw/master/csl-citation.json"} </w:instrText>
      </w:r>
      <w:r w:rsidRPr="005D70BD">
        <w:rPr>
          <w:color w:val="000000" w:themeColor="text1"/>
          <w:shd w:val="clear" w:color="auto" w:fill="FFFFFF"/>
        </w:rPr>
        <w:fldChar w:fldCharType="separate"/>
      </w:r>
      <w:r w:rsidRPr="005D70BD">
        <w:rPr>
          <w:noProof/>
          <w:color w:val="000000" w:themeColor="text1"/>
          <w:shd w:val="clear" w:color="auto" w:fill="FFFFFF"/>
        </w:rPr>
        <w:t>(Li et al. 2025)</w:t>
      </w:r>
      <w:r w:rsidRPr="005D70BD">
        <w:rPr>
          <w:color w:val="000000" w:themeColor="text1"/>
          <w:shd w:val="clear" w:color="auto" w:fill="FFFFFF"/>
        </w:rPr>
        <w:fldChar w:fldCharType="end"/>
      </w:r>
      <w:r w:rsidRPr="005D70BD">
        <w:rPr>
          <w:color w:val="000000" w:themeColor="text1"/>
          <w:shd w:val="clear" w:color="auto" w:fill="FFFFFF"/>
        </w:rPr>
        <w:t xml:space="preserve"> and HiFi reads (≥ 15 kb). Error correction was performed sequentially with two runs of HiFi reads mapping followed by two runs of HiSeq reads mapping using </w:t>
      </w:r>
      <w:proofErr w:type="spellStart"/>
      <w:r w:rsidRPr="005D70BD">
        <w:rPr>
          <w:color w:val="000000" w:themeColor="text1"/>
          <w:shd w:val="clear" w:color="auto" w:fill="FFFFFF"/>
        </w:rPr>
        <w:t>SeqMan</w:t>
      </w:r>
      <w:proofErr w:type="spellEnd"/>
      <w:r w:rsidRPr="005D70BD">
        <w:rPr>
          <w:color w:val="000000" w:themeColor="text1"/>
          <w:shd w:val="clear" w:color="auto" w:fill="FFFFFF"/>
        </w:rPr>
        <w:t xml:space="preserve"> NGen with a stringency of 99% and </w:t>
      </w:r>
      <w:r w:rsidRPr="005D70BD">
        <w:rPr>
          <w:i/>
          <w:iCs/>
          <w:color w:val="000000" w:themeColor="text1"/>
          <w:shd w:val="clear" w:color="auto" w:fill="FFFFFF"/>
        </w:rPr>
        <w:t>k</w:t>
      </w:r>
      <w:r w:rsidRPr="005D70BD">
        <w:rPr>
          <w:color w:val="000000" w:themeColor="text1"/>
          <w:shd w:val="clear" w:color="auto" w:fill="FFFFFF"/>
        </w:rPr>
        <w:t>-</w:t>
      </w:r>
      <w:proofErr w:type="spellStart"/>
      <w:r w:rsidRPr="005D70BD">
        <w:rPr>
          <w:color w:val="000000" w:themeColor="text1"/>
          <w:shd w:val="clear" w:color="auto" w:fill="FFFFFF"/>
        </w:rPr>
        <w:t>mer</w:t>
      </w:r>
      <w:proofErr w:type="spellEnd"/>
      <w:r w:rsidRPr="005D70BD">
        <w:rPr>
          <w:color w:val="000000" w:themeColor="text1"/>
          <w:shd w:val="clear" w:color="auto" w:fill="FFFFFF"/>
        </w:rPr>
        <w:t xml:space="preserve"> size of 30. Consensus sequences were called based on at least 75% of the mapped reads. </w:t>
      </w:r>
      <w:r w:rsidR="00AA3C63">
        <w:rPr>
          <w:color w:val="000000" w:themeColor="text1"/>
          <w:shd w:val="clear" w:color="auto" w:fill="FFFFFF"/>
        </w:rPr>
        <w:t xml:space="preserve">Manual </w:t>
      </w:r>
      <w:r w:rsidR="00AA3C63">
        <w:rPr>
          <w:color w:val="000000" w:themeColor="text1"/>
          <w:shd w:val="clear" w:color="auto" w:fill="FFFFFF"/>
        </w:rPr>
        <w:lastRenderedPageBreak/>
        <w:t xml:space="preserve">analysis of mapped reads using </w:t>
      </w:r>
      <w:proofErr w:type="spellStart"/>
      <w:r w:rsidR="00AA3C63">
        <w:rPr>
          <w:color w:val="000000" w:themeColor="text1"/>
          <w:shd w:val="clear" w:color="auto" w:fill="FFFFFF"/>
        </w:rPr>
        <w:t>SeqMan</w:t>
      </w:r>
      <w:proofErr w:type="spellEnd"/>
      <w:r w:rsidR="00AA3C63">
        <w:rPr>
          <w:color w:val="000000" w:themeColor="text1"/>
          <w:shd w:val="clear" w:color="auto" w:fill="FFFFFF"/>
        </w:rPr>
        <w:t xml:space="preserve"> Pro was performed to resolve the issue with degenerate bases.</w:t>
      </w:r>
    </w:p>
    <w:p w14:paraId="726E2143" w14:textId="77777777" w:rsidR="00384CB4" w:rsidRDefault="00384CB4"/>
    <w:sectPr w:rsidR="00384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B4"/>
    <w:rsid w:val="00081373"/>
    <w:rsid w:val="002200E4"/>
    <w:rsid w:val="00384CB4"/>
    <w:rsid w:val="003C11A2"/>
    <w:rsid w:val="00456135"/>
    <w:rsid w:val="0087269D"/>
    <w:rsid w:val="00AA3C63"/>
    <w:rsid w:val="00AE5C7B"/>
    <w:rsid w:val="00E81629"/>
    <w:rsid w:val="00F82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F7DB18"/>
  <w15:chartTrackingRefBased/>
  <w15:docId w15:val="{1F90899A-6B1D-AB4A-B928-0348F42CD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CB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84C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84C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84CB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84CB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84CB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84CB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84CB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84CB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84CB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C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C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C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C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C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CB4"/>
    <w:rPr>
      <w:rFonts w:eastAsiaTheme="majorEastAsia" w:cstheme="majorBidi"/>
      <w:color w:val="272727" w:themeColor="text1" w:themeTint="D8"/>
    </w:rPr>
  </w:style>
  <w:style w:type="paragraph" w:styleId="Title">
    <w:name w:val="Title"/>
    <w:basedOn w:val="Normal"/>
    <w:next w:val="Normal"/>
    <w:link w:val="TitleChar"/>
    <w:uiPriority w:val="10"/>
    <w:qFormat/>
    <w:rsid w:val="00384C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84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CB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84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CB4"/>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84CB4"/>
    <w:rPr>
      <w:i/>
      <w:iCs/>
      <w:color w:val="404040" w:themeColor="text1" w:themeTint="BF"/>
    </w:rPr>
  </w:style>
  <w:style w:type="paragraph" w:styleId="ListParagraph">
    <w:name w:val="List Paragraph"/>
    <w:basedOn w:val="Normal"/>
    <w:uiPriority w:val="34"/>
    <w:qFormat/>
    <w:rsid w:val="00384CB4"/>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384CB4"/>
    <w:rPr>
      <w:i/>
      <w:iCs/>
      <w:color w:val="0F4761" w:themeColor="accent1" w:themeShade="BF"/>
    </w:rPr>
  </w:style>
  <w:style w:type="paragraph" w:styleId="IntenseQuote">
    <w:name w:val="Intense Quote"/>
    <w:basedOn w:val="Normal"/>
    <w:next w:val="Normal"/>
    <w:link w:val="IntenseQuoteChar"/>
    <w:uiPriority w:val="30"/>
    <w:qFormat/>
    <w:rsid w:val="00384C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84CB4"/>
    <w:rPr>
      <w:i/>
      <w:iCs/>
      <w:color w:val="0F4761" w:themeColor="accent1" w:themeShade="BF"/>
    </w:rPr>
  </w:style>
  <w:style w:type="character" w:styleId="IntenseReference">
    <w:name w:val="Intense Reference"/>
    <w:basedOn w:val="DefaultParagraphFont"/>
    <w:uiPriority w:val="32"/>
    <w:qFormat/>
    <w:rsid w:val="00384CB4"/>
    <w:rPr>
      <w:b/>
      <w:bCs/>
      <w:smallCaps/>
      <w:color w:val="0F4761" w:themeColor="accent1" w:themeShade="BF"/>
      <w:spacing w:val="5"/>
    </w:rPr>
  </w:style>
  <w:style w:type="character" w:styleId="Hyperlink">
    <w:name w:val="Hyperlink"/>
    <w:basedOn w:val="DefaultParagraphFont"/>
    <w:uiPriority w:val="99"/>
    <w:unhideWhenUsed/>
    <w:rsid w:val="00384C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neio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1813</Words>
  <Characters>10336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Ningxiao</dc:creator>
  <cp:keywords/>
  <dc:description/>
  <cp:lastModifiedBy>Li, Ningxiao</cp:lastModifiedBy>
  <cp:revision>5</cp:revision>
  <dcterms:created xsi:type="dcterms:W3CDTF">2025-10-03T17:18:00Z</dcterms:created>
  <dcterms:modified xsi:type="dcterms:W3CDTF">2025-11-06T19:14:00Z</dcterms:modified>
</cp:coreProperties>
</file>