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1096" w14:textId="21BEA054" w:rsidR="007B513E" w:rsidRDefault="007B513E" w:rsidP="007B513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13E"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14:paraId="6471350B" w14:textId="61410F4E" w:rsidR="007B513E" w:rsidRPr="007B513E" w:rsidRDefault="007B513E" w:rsidP="007B513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13E">
        <w:rPr>
          <w:rFonts w:ascii="Times New Roman" w:hAnsi="Times New Roman" w:cs="Times New Roman"/>
          <w:b/>
          <w:bCs/>
          <w:sz w:val="24"/>
          <w:szCs w:val="24"/>
        </w:rPr>
        <w:t>Biomarkers of pathogen exposure in wild boar for integrated wildlife monitoring</w:t>
      </w:r>
    </w:p>
    <w:p w14:paraId="660CE3D4" w14:textId="77777777" w:rsidR="007B513E" w:rsidRPr="003646DB" w:rsidRDefault="007B513E" w:rsidP="007B513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3646DB">
        <w:rPr>
          <w:rFonts w:ascii="Times New Roman" w:hAnsi="Times New Roman" w:cs="Times New Roman"/>
          <w:sz w:val="20"/>
          <w:szCs w:val="20"/>
          <w:lang w:val="es-ES"/>
        </w:rPr>
        <w:t>Alberto Perelló*</w:t>
      </w:r>
      <w:r w:rsidRPr="003646DB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1</w:t>
      </w:r>
      <w:r w:rsidRPr="003646DB">
        <w:rPr>
          <w:rFonts w:ascii="Times New Roman" w:hAnsi="Times New Roman" w:cs="Times New Roman"/>
          <w:sz w:val="20"/>
          <w:szCs w:val="20"/>
          <w:lang w:val="es-ES"/>
        </w:rPr>
        <w:t>, Marinela Contreras</w:t>
      </w:r>
      <w:r w:rsidRPr="003646DB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1</w:t>
      </w:r>
      <w:r w:rsidRPr="003646DB">
        <w:rPr>
          <w:rFonts w:ascii="Times New Roman" w:hAnsi="Times New Roman" w:cs="Times New Roman"/>
          <w:sz w:val="20"/>
          <w:szCs w:val="20"/>
          <w:lang w:val="es-ES"/>
        </w:rPr>
        <w:t>, José Joaquín Cerón</w:t>
      </w:r>
      <w:r w:rsidRPr="003646DB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2</w:t>
      </w:r>
      <w:r w:rsidRPr="003646DB">
        <w:rPr>
          <w:rFonts w:ascii="Times New Roman" w:hAnsi="Times New Roman" w:cs="Times New Roman"/>
          <w:sz w:val="20"/>
          <w:szCs w:val="20"/>
          <w:lang w:val="es-ES"/>
        </w:rPr>
        <w:t>, José de la Fuente</w:t>
      </w:r>
      <w:r w:rsidRPr="003646DB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1,3</w:t>
      </w:r>
      <w:r w:rsidRPr="003646DB">
        <w:rPr>
          <w:rFonts w:ascii="Times New Roman" w:hAnsi="Times New Roman" w:cs="Times New Roman"/>
          <w:sz w:val="20"/>
          <w:szCs w:val="20"/>
          <w:lang w:val="es-ES"/>
        </w:rPr>
        <w:t>, Christian Gortázar</w:t>
      </w:r>
      <w:r w:rsidRPr="003646DB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1</w:t>
      </w:r>
      <w:r w:rsidRPr="003646DB"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14:paraId="178D1E06" w14:textId="77777777" w:rsidR="007B513E" w:rsidRPr="003646DB" w:rsidRDefault="007B513E" w:rsidP="007B513E">
      <w:pPr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1·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SaBio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>, Instituto de Investigación en Recursos Cinegéticos (IREC) CSIC-UCLM-JCCM, 13071 Ciudad Real, España;</w:t>
      </w:r>
      <w:r w:rsidRPr="003646DB">
        <w:rPr>
          <w:rFonts w:ascii="Times New Roman" w:hAnsi="Times New Roman" w:cs="Times New Roman"/>
          <w:sz w:val="20"/>
          <w:szCs w:val="20"/>
          <w:lang w:val="es-ES"/>
        </w:rPr>
        <w:tab/>
        <w:t xml:space="preserve">2·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Interdisciplinary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Laboratory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of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Clinical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Pathology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Interlab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-UMU,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University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of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Murcia, 30003 Murcia,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Spain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>;</w:t>
      </w:r>
      <w:r w:rsidRPr="003646DB">
        <w:rPr>
          <w:rFonts w:ascii="Times New Roman" w:hAnsi="Times New Roman" w:cs="Times New Roman"/>
          <w:sz w:val="20"/>
          <w:szCs w:val="20"/>
          <w:lang w:val="es-ES"/>
        </w:rPr>
        <w:tab/>
        <w:t xml:space="preserve">3·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Department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of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Veterinary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Pathobiology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, Center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for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Veterinary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Health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Sciences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, Oklahoma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State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646DB">
        <w:rPr>
          <w:rFonts w:ascii="Times New Roman" w:hAnsi="Times New Roman" w:cs="Times New Roman"/>
          <w:sz w:val="20"/>
          <w:szCs w:val="20"/>
          <w:lang w:val="es-ES"/>
        </w:rPr>
        <w:t>University</w:t>
      </w:r>
      <w:proofErr w:type="spellEnd"/>
      <w:r w:rsidRPr="003646DB">
        <w:rPr>
          <w:rFonts w:ascii="Times New Roman" w:hAnsi="Times New Roman" w:cs="Times New Roman"/>
          <w:sz w:val="20"/>
          <w:szCs w:val="20"/>
          <w:lang w:val="es-ES"/>
        </w:rPr>
        <w:t>, Stillwater, OK 74078, USA.</w:t>
      </w:r>
    </w:p>
    <w:p w14:paraId="1BC59623" w14:textId="77777777" w:rsidR="007B513E" w:rsidRPr="003646DB" w:rsidRDefault="007B513E" w:rsidP="007B513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sz w:val="20"/>
          <w:szCs w:val="20"/>
        </w:rPr>
        <w:t>*Corresponding author:</w:t>
      </w:r>
      <w:r w:rsidRPr="003646DB">
        <w:rPr>
          <w:rFonts w:ascii="Times New Roman" w:hAnsi="Times New Roman" w:cs="Times New Roman"/>
          <w:sz w:val="20"/>
          <w:szCs w:val="20"/>
          <w:lang w:val="en-US"/>
        </w:rPr>
        <w:t xml:space="preserve"> Alberto Perelló (</w:t>
      </w:r>
      <w:r w:rsidRPr="003646DB">
        <w:rPr>
          <w:rFonts w:ascii="Times New Roman" w:hAnsi="Times New Roman" w:cs="Times New Roman"/>
          <w:sz w:val="20"/>
          <w:szCs w:val="20"/>
        </w:rPr>
        <w:t>albertoperellojimenez@gmail.com; +34 679848427; ORCID 0000-0001-6238-9048).</w:t>
      </w:r>
    </w:p>
    <w:p w14:paraId="288C9132" w14:textId="061D7AE9" w:rsidR="007B513E" w:rsidRPr="003646DB" w:rsidRDefault="007B513E" w:rsidP="007B51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3AAFFD6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1. </w:t>
      </w:r>
      <w:r w:rsidRPr="003646DB">
        <w:rPr>
          <w:rFonts w:ascii="Times New Roman" w:hAnsi="Times New Roman" w:cs="Times New Roman"/>
          <w:sz w:val="20"/>
          <w:szCs w:val="20"/>
        </w:rPr>
        <w:t>ELISA kits of the 14 pathogens analysed.</w:t>
      </w:r>
    </w:p>
    <w:p w14:paraId="422571F5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1627"/>
        <w:gridCol w:w="3575"/>
      </w:tblGrid>
      <w:tr w:rsidR="007B513E" w:rsidRPr="003646DB" w14:paraId="6E7A4A62" w14:textId="77777777" w:rsidTr="008B50DA">
        <w:trPr>
          <w:cantSplit/>
          <w:trHeight w:val="45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91AD34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Pathogen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AE7EA1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Reference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3CBF0F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Kit name</w:t>
            </w:r>
          </w:p>
        </w:tc>
      </w:tr>
      <w:tr w:rsidR="007B513E" w:rsidRPr="003646DB" w14:paraId="7A25415C" w14:textId="77777777" w:rsidTr="008B50DA">
        <w:trPr>
          <w:cantSplit/>
          <w:trHeight w:val="458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  <w:hideMark/>
          </w:tcPr>
          <w:p w14:paraId="64848AAF" w14:textId="77777777" w:rsidR="007B513E" w:rsidRPr="003646DB" w:rsidRDefault="007B513E" w:rsidP="008B50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  <w:hideMark/>
          </w:tcPr>
          <w:p w14:paraId="4BC949CB" w14:textId="77777777" w:rsidR="007B513E" w:rsidRPr="003646DB" w:rsidRDefault="007B513E" w:rsidP="008B50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  <w:hideMark/>
          </w:tcPr>
          <w:p w14:paraId="0420D202" w14:textId="77777777" w:rsidR="007B513E" w:rsidRPr="003646DB" w:rsidRDefault="007B513E" w:rsidP="008B50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B513E" w:rsidRPr="003646DB" w14:paraId="0BFDA09E" w14:textId="77777777" w:rsidTr="008B50DA">
        <w:trPr>
          <w:cantSplit/>
          <w:trHeight w:val="560"/>
          <w:jc w:val="center"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02494DD4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Aujeszky disease virus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513B649A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11.GEP.K.</w:t>
            </w:r>
            <w:proofErr w:type="gram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6E8F56B0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Ingezim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ADVgE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Plus.</w:t>
            </w:r>
          </w:p>
        </w:tc>
      </w:tr>
      <w:tr w:rsidR="007B513E" w:rsidRPr="003646DB" w14:paraId="063EA945" w14:textId="77777777" w:rsidTr="008B50DA">
        <w:trPr>
          <w:cantSplit/>
          <w:trHeight w:val="14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07787C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Brucella </w:t>
            </w: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spp</w:t>
            </w:r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A5F188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10.BRU.K.</w:t>
            </w:r>
            <w:proofErr w:type="gram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2FC8FF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Ingezim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Brucella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compac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2.0.</w:t>
            </w:r>
          </w:p>
        </w:tc>
      </w:tr>
      <w:tr w:rsidR="007B513E" w:rsidRPr="003646DB" w14:paraId="70773864" w14:textId="77777777" w:rsidTr="008B50DA">
        <w:trPr>
          <w:cantSplit/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F06C3F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Coxiella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burnetii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757EDC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ELISACOXL S2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908CD3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PrioCheck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Rumiant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Coxellia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  <w:tr w:rsidR="007B513E" w:rsidRPr="003646DB" w14:paraId="4C29EA15" w14:textId="77777777" w:rsidTr="008B50DA">
        <w:trPr>
          <w:cantSplit/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BB47F2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Erysipelothrix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rhusiopathiae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C3CCE1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11.MR.K.1/5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97B5E4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Ingezim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Mal Rojo.</w:t>
            </w:r>
          </w:p>
        </w:tc>
      </w:tr>
      <w:tr w:rsidR="007B513E" w:rsidRPr="003646DB" w14:paraId="487BA9D6" w14:textId="77777777" w:rsidTr="008B50DA">
        <w:trPr>
          <w:cantSplit/>
          <w:trHeight w:val="64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060403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Porcine circovirus type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D4E5DF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11.PCV.K.1/5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835C61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Ingezim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CIRCO IgG.</w:t>
            </w:r>
          </w:p>
        </w:tc>
      </w:tr>
      <w:tr w:rsidR="007B513E" w:rsidRPr="003646DB" w14:paraId="0BF74BB7" w14:textId="77777777" w:rsidTr="008B50DA">
        <w:trPr>
          <w:cantSplit/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2F6436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Influenza A virus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2453EA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99-53101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B43238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Prueba IDEXX Influenza A Ab.</w:t>
            </w:r>
          </w:p>
        </w:tc>
      </w:tr>
      <w:tr w:rsidR="007B513E" w:rsidRPr="003646DB" w14:paraId="1EDB95DA" w14:textId="77777777" w:rsidTr="008B50DA">
        <w:trPr>
          <w:cantSplit/>
          <w:trHeight w:val="47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2055E4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Mycobacterium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hyopneumoniae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8BDE53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11.MHY.K.3/5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DCEF78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Ingezim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M.hyo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Compac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  <w:tr w:rsidR="007B513E" w:rsidRPr="003646DB" w14:paraId="73FCD6CE" w14:textId="77777777" w:rsidTr="008B50DA">
        <w:trPr>
          <w:cantSplit/>
          <w:trHeight w:val="44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109C11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 hepatitis virus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402A24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HEVB-MS-4P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9D8B7B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ID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Screen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Hepatitis E Indirecta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Multiespecies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</w:p>
        </w:tc>
      </w:tr>
      <w:tr w:rsidR="007B513E" w:rsidRPr="003646DB" w14:paraId="6E729026" w14:textId="77777777" w:rsidTr="008B50DA">
        <w:trPr>
          <w:cantSplit/>
          <w:trHeight w:val="43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C996F8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Toxoplasma gondii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B184EE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7610230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457A52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Priiocheck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Porcine Toxoplasma.</w:t>
            </w:r>
          </w:p>
        </w:tc>
      </w:tr>
      <w:tr w:rsidR="007B513E" w:rsidRPr="003646DB" w14:paraId="11B6A8DC" w14:textId="77777777" w:rsidTr="008B50DA">
        <w:trPr>
          <w:cantSplit/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110574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Salmonella </w:t>
            </w: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spp.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0B1286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7610660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D28149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Priiocheck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Porcine Salmonella.</w:t>
            </w:r>
          </w:p>
        </w:tc>
      </w:tr>
      <w:tr w:rsidR="007B513E" w:rsidRPr="003646DB" w14:paraId="51D9C830" w14:textId="77777777" w:rsidTr="008B50DA">
        <w:trPr>
          <w:cantSplit/>
          <w:trHeight w:val="57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78C382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Canine distemper virus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F125EB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15.CDG.K.</w:t>
            </w:r>
            <w:proofErr w:type="gram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48A473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Ingezim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Moquillo</w:t>
            </w:r>
            <w:proofErr w:type="spellEnd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IgG.</w:t>
            </w:r>
          </w:p>
        </w:tc>
      </w:tr>
      <w:tr w:rsidR="007B513E" w:rsidRPr="003646DB" w14:paraId="695D993D" w14:textId="77777777" w:rsidTr="008B50DA">
        <w:trPr>
          <w:cantSplit/>
          <w:trHeight w:val="55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E1AF4F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Crimea-Congo haemorrhagic fever virus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0F2352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CCHFDA-5P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CACE69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ID Screen CCHF Double Antigen Multispecies.</w:t>
            </w:r>
          </w:p>
        </w:tc>
      </w:tr>
      <w:tr w:rsidR="007B513E" w:rsidRPr="003646DB" w14:paraId="00544E83" w14:textId="77777777" w:rsidTr="008B50DA">
        <w:trPr>
          <w:cantSplit/>
          <w:trHeight w:val="68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CCA62E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Epizootic haemorrhagic disease virus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101791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EHDVC-5P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64DBE2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ID Screen EHDV Competition.</w:t>
            </w:r>
          </w:p>
        </w:tc>
      </w:tr>
      <w:tr w:rsidR="007B513E" w:rsidRPr="003646DB" w14:paraId="5BEA0FF7" w14:textId="77777777" w:rsidTr="008B50DA">
        <w:trPr>
          <w:cantSplit/>
          <w:trHeight w:val="534"/>
          <w:jc w:val="center"/>
        </w:trPr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3D54B029" w14:textId="77777777" w:rsidR="007B513E" w:rsidRPr="007B513E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1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Mycobacterium tuberculosis </w:t>
            </w:r>
            <w:r w:rsidRPr="007B5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complex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74F6F40D" w14:textId="77777777" w:rsidR="007B513E" w:rsidRPr="007B513E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1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Thomas et al. 2019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40FD992C" w14:textId="77777777" w:rsidR="007B513E" w:rsidRPr="003646DB" w:rsidRDefault="007B513E" w:rsidP="008B5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P22-ELISA. In-house.</w:t>
            </w:r>
          </w:p>
        </w:tc>
      </w:tr>
    </w:tbl>
    <w:p w14:paraId="3D734E8C" w14:textId="77777777" w:rsidR="007B513E" w:rsidRPr="003646DB" w:rsidRDefault="007B513E" w:rsidP="007B513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B992635" w14:textId="77777777" w:rsidR="007B513E" w:rsidRPr="003646DB" w:rsidRDefault="007B513E" w:rsidP="007B513E">
      <w:pPr>
        <w:rPr>
          <w:rFonts w:ascii="Times New Roman" w:hAnsi="Times New Roman" w:cs="Times New Roman"/>
          <w:sz w:val="20"/>
          <w:szCs w:val="20"/>
          <w:u w:val="single"/>
        </w:rPr>
      </w:pPr>
      <w:r w:rsidRPr="003646DB">
        <w:rPr>
          <w:rFonts w:ascii="Times New Roman" w:hAnsi="Times New Roman" w:cs="Times New Roman"/>
          <w:sz w:val="20"/>
          <w:szCs w:val="20"/>
          <w:u w:val="single"/>
        </w:rPr>
        <w:br w:type="page"/>
      </w:r>
    </w:p>
    <w:p w14:paraId="0D5B6E76" w14:textId="77777777" w:rsidR="007B513E" w:rsidRPr="003646DB" w:rsidRDefault="007B513E" w:rsidP="007B513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646DB">
        <w:rPr>
          <w:rFonts w:ascii="Times New Roman" w:hAnsi="Times New Roman" w:cs="Times New Roman"/>
          <w:sz w:val="20"/>
          <w:szCs w:val="20"/>
          <w:u w:val="single"/>
        </w:rPr>
        <w:lastRenderedPageBreak/>
        <w:t>Initial exploratory analysis.</w:t>
      </w:r>
    </w:p>
    <w:p w14:paraId="07A968FB" w14:textId="77777777" w:rsidR="007B513E" w:rsidRPr="003646DB" w:rsidRDefault="007B513E" w:rsidP="007B513E">
      <w:pPr>
        <w:spacing w:after="0" w:line="240" w:lineRule="atLeast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t>Supplementary table 2.</w:t>
      </w:r>
      <w:r w:rsidRPr="003646DB">
        <w:rPr>
          <w:rFonts w:ascii="Times New Roman" w:hAnsi="Times New Roman" w:cs="Times New Roman"/>
          <w:sz w:val="20"/>
          <w:szCs w:val="20"/>
        </w:rPr>
        <w:t xml:space="preserve"> Spearman correlation results of biomarkers with individual pathogen richness.</w:t>
      </w:r>
    </w:p>
    <w:p w14:paraId="092D1CEF" w14:textId="77777777" w:rsidR="007B513E" w:rsidRPr="003646DB" w:rsidRDefault="007B513E" w:rsidP="007B513E">
      <w:pPr>
        <w:spacing w:after="0" w:line="240" w:lineRule="atLeast"/>
        <w:ind w:left="993" w:right="141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8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592"/>
        <w:gridCol w:w="1667"/>
      </w:tblGrid>
      <w:tr w:rsidR="007B513E" w:rsidRPr="003646DB" w14:paraId="7E8163B3" w14:textId="77777777" w:rsidTr="008B50DA">
        <w:trPr>
          <w:trHeight w:val="333"/>
          <w:jc w:val="center"/>
        </w:trPr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22BBB5B2" w14:textId="77777777" w:rsidR="007B513E" w:rsidRPr="003646DB" w:rsidRDefault="007B513E" w:rsidP="008B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Variable</w:t>
            </w:r>
          </w:p>
        </w:tc>
        <w:tc>
          <w:tcPr>
            <w:tcW w:w="1592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16364256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es-ES"/>
                <w14:ligatures w14:val="none"/>
              </w:rPr>
            </w:pPr>
            <w:proofErr w:type="spellStart"/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</w:t>
            </w: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es-ES"/>
                <w14:ligatures w14:val="none"/>
              </w:rPr>
              <w:t>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3A9B9A76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</w:t>
            </w:r>
          </w:p>
        </w:tc>
      </w:tr>
      <w:tr w:rsidR="007B513E" w:rsidRPr="003646DB" w14:paraId="24EC7314" w14:textId="77777777" w:rsidTr="008B50DA">
        <w:trPr>
          <w:trHeight w:val="333"/>
          <w:jc w:val="center"/>
        </w:trPr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44DACB21" w14:textId="77777777" w:rsidR="007B513E" w:rsidRPr="003646DB" w:rsidRDefault="007B513E" w:rsidP="008B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CRP</w:t>
            </w:r>
          </w:p>
        </w:tc>
        <w:tc>
          <w:tcPr>
            <w:tcW w:w="1592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8AF89A2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0.14</w:t>
            </w:r>
          </w:p>
        </w:tc>
        <w:tc>
          <w:tcPr>
            <w:tcW w:w="1667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13FBAC2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0.03</w:t>
            </w:r>
          </w:p>
        </w:tc>
      </w:tr>
      <w:tr w:rsidR="007B513E" w:rsidRPr="003646DB" w14:paraId="149BD47B" w14:textId="77777777" w:rsidTr="008B50DA">
        <w:trPr>
          <w:trHeight w:val="333"/>
          <w:jc w:val="center"/>
        </w:trPr>
        <w:tc>
          <w:tcPr>
            <w:tcW w:w="0" w:type="auto"/>
            <w:noWrap/>
            <w:vAlign w:val="center"/>
            <w:hideMark/>
          </w:tcPr>
          <w:p w14:paraId="1E078E80" w14:textId="77777777" w:rsidR="007B513E" w:rsidRPr="003646DB" w:rsidRDefault="007B513E" w:rsidP="008B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HAPTO</w:t>
            </w:r>
          </w:p>
        </w:tc>
        <w:tc>
          <w:tcPr>
            <w:tcW w:w="1592" w:type="dxa"/>
            <w:noWrap/>
            <w:vAlign w:val="center"/>
            <w:hideMark/>
          </w:tcPr>
          <w:p w14:paraId="22F27BE0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0.15</w:t>
            </w:r>
          </w:p>
        </w:tc>
        <w:tc>
          <w:tcPr>
            <w:tcW w:w="1667" w:type="dxa"/>
            <w:noWrap/>
            <w:vAlign w:val="center"/>
            <w:hideMark/>
          </w:tcPr>
          <w:p w14:paraId="4B86FCC4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0.02</w:t>
            </w:r>
          </w:p>
        </w:tc>
      </w:tr>
      <w:tr w:rsidR="007B513E" w:rsidRPr="003646DB" w14:paraId="2414E7D8" w14:textId="77777777" w:rsidTr="008B50DA">
        <w:trPr>
          <w:trHeight w:val="333"/>
          <w:jc w:val="center"/>
        </w:trPr>
        <w:tc>
          <w:tcPr>
            <w:tcW w:w="0" w:type="auto"/>
            <w:noWrap/>
            <w:vAlign w:val="center"/>
            <w:hideMark/>
          </w:tcPr>
          <w:p w14:paraId="39332E07" w14:textId="77777777" w:rsidR="007B513E" w:rsidRPr="003646DB" w:rsidRDefault="007B513E" w:rsidP="008B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CUPRAC</w:t>
            </w:r>
          </w:p>
        </w:tc>
        <w:tc>
          <w:tcPr>
            <w:tcW w:w="1592" w:type="dxa"/>
            <w:noWrap/>
            <w:vAlign w:val="center"/>
            <w:hideMark/>
          </w:tcPr>
          <w:p w14:paraId="7B7996FC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0.22</w:t>
            </w:r>
          </w:p>
        </w:tc>
        <w:tc>
          <w:tcPr>
            <w:tcW w:w="1667" w:type="dxa"/>
            <w:noWrap/>
            <w:vAlign w:val="center"/>
            <w:hideMark/>
          </w:tcPr>
          <w:p w14:paraId="02A23697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0.0008</w:t>
            </w:r>
          </w:p>
        </w:tc>
      </w:tr>
      <w:tr w:rsidR="007B513E" w:rsidRPr="003646DB" w14:paraId="0E898DDF" w14:textId="77777777" w:rsidTr="008B50DA">
        <w:trPr>
          <w:trHeight w:val="333"/>
          <w:jc w:val="center"/>
        </w:trPr>
        <w:tc>
          <w:tcPr>
            <w:tcW w:w="0" w:type="auto"/>
            <w:noWrap/>
            <w:vAlign w:val="center"/>
            <w:hideMark/>
          </w:tcPr>
          <w:p w14:paraId="510F0AA8" w14:textId="77777777" w:rsidR="007B513E" w:rsidRPr="003646DB" w:rsidRDefault="007B513E" w:rsidP="008B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ADA</w:t>
            </w:r>
          </w:p>
        </w:tc>
        <w:tc>
          <w:tcPr>
            <w:tcW w:w="1592" w:type="dxa"/>
            <w:noWrap/>
            <w:vAlign w:val="center"/>
            <w:hideMark/>
          </w:tcPr>
          <w:p w14:paraId="4918C0EC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0.31</w:t>
            </w:r>
          </w:p>
        </w:tc>
        <w:tc>
          <w:tcPr>
            <w:tcW w:w="1667" w:type="dxa"/>
            <w:noWrap/>
            <w:vAlign w:val="center"/>
            <w:hideMark/>
          </w:tcPr>
          <w:p w14:paraId="55ADFB2B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2.93e</w:t>
            </w: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t>-6</w:t>
            </w:r>
          </w:p>
        </w:tc>
      </w:tr>
      <w:tr w:rsidR="007B513E" w:rsidRPr="003646DB" w14:paraId="1D50A7AE" w14:textId="77777777" w:rsidTr="008B50DA">
        <w:trPr>
          <w:trHeight w:val="333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E14510B" w14:textId="77777777" w:rsidR="007B513E" w:rsidRPr="003646DB" w:rsidRDefault="007B513E" w:rsidP="008B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α-GAL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75F333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0.37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FFF46C" w14:textId="77777777" w:rsidR="007B513E" w:rsidRPr="003646DB" w:rsidRDefault="007B513E" w:rsidP="008B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1.47e</w:t>
            </w: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t>-8</w:t>
            </w:r>
          </w:p>
        </w:tc>
      </w:tr>
    </w:tbl>
    <w:p w14:paraId="3A3D8CE3" w14:textId="77777777" w:rsidR="007B513E" w:rsidRPr="003646DB" w:rsidRDefault="007B513E" w:rsidP="007B513E">
      <w:pPr>
        <w:spacing w:after="100" w:afterAutospacing="1" w:line="240" w:lineRule="auto"/>
        <w:ind w:left="1843" w:right="184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6DB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646DB">
        <w:rPr>
          <w:rFonts w:ascii="Times New Roman" w:eastAsia="Aptos" w:hAnsi="Times New Roman" w:cs="Times New Roman"/>
          <w:sz w:val="20"/>
          <w:szCs w:val="20"/>
        </w:rPr>
        <w:t>α-GAL: antibodies absorbance against alpha-gal;</w:t>
      </w:r>
      <w:r w:rsidRPr="003646DB">
        <w:rPr>
          <w:rFonts w:ascii="Times New Roman" w:eastAsia="Times New Roman" w:hAnsi="Times New Roman" w:cs="Times New Roman"/>
          <w:sz w:val="20"/>
          <w:szCs w:val="20"/>
        </w:rPr>
        <w:t xml:space="preserve"> HAPTO: haptoglobin; CRP: C reactive protein; CUPRAC: cupric reducing antioxidant capacity; ADA: adenosine deaminase—</w:t>
      </w:r>
    </w:p>
    <w:p w14:paraId="6652AFA9" w14:textId="77777777" w:rsidR="007B513E" w:rsidRPr="003646DB" w:rsidRDefault="007B513E" w:rsidP="007B513E">
      <w:pPr>
        <w:rPr>
          <w:rFonts w:ascii="Times New Roman" w:hAnsi="Times New Roman" w:cs="Times New Roman"/>
          <w:sz w:val="20"/>
          <w:szCs w:val="20"/>
        </w:rPr>
      </w:pPr>
    </w:p>
    <w:p w14:paraId="0D29E660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t>Supplementary table 3.</w:t>
      </w:r>
      <w:r w:rsidRPr="003646DB">
        <w:rPr>
          <w:rFonts w:ascii="Times New Roman" w:hAnsi="Times New Roman" w:cs="Times New Roman"/>
          <w:sz w:val="20"/>
          <w:szCs w:val="20"/>
        </w:rPr>
        <w:t xml:space="preserve"> Kruskal-Wallis results.</w:t>
      </w:r>
    </w:p>
    <w:p w14:paraId="1B77ADA5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491"/>
        <w:gridCol w:w="1451"/>
      </w:tblGrid>
      <w:tr w:rsidR="007B513E" w:rsidRPr="003646DB" w14:paraId="0E4A03EF" w14:textId="77777777" w:rsidTr="008B50DA">
        <w:trPr>
          <w:trHeight w:val="19"/>
          <w:jc w:val="center"/>
        </w:trPr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594D525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491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65C53F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Chi square</w:t>
            </w:r>
          </w:p>
        </w:tc>
        <w:tc>
          <w:tcPr>
            <w:tcW w:w="1451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1F0E9A8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7B513E" w:rsidRPr="003646DB" w14:paraId="7D3E5FF4" w14:textId="77777777" w:rsidTr="008B50DA">
        <w:trPr>
          <w:trHeight w:val="19"/>
          <w:jc w:val="center"/>
        </w:trPr>
        <w:tc>
          <w:tcPr>
            <w:tcW w:w="1678" w:type="dxa"/>
            <w:tcBorders>
              <w:top w:val="double" w:sz="4" w:space="0" w:color="auto"/>
            </w:tcBorders>
            <w:noWrap/>
            <w:vAlign w:val="bottom"/>
            <w:hideMark/>
          </w:tcPr>
          <w:p w14:paraId="48859CB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8DA483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145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7910314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7B513E" w:rsidRPr="003646DB" w14:paraId="070F3D5C" w14:textId="77777777" w:rsidTr="008B50DA">
        <w:trPr>
          <w:trHeight w:val="19"/>
          <w:jc w:val="center"/>
        </w:trPr>
        <w:tc>
          <w:tcPr>
            <w:tcW w:w="1678" w:type="dxa"/>
            <w:noWrap/>
            <w:vAlign w:val="bottom"/>
            <w:hideMark/>
          </w:tcPr>
          <w:p w14:paraId="5CF40FA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HAPTO</w:t>
            </w:r>
          </w:p>
        </w:tc>
        <w:tc>
          <w:tcPr>
            <w:tcW w:w="1491" w:type="dxa"/>
            <w:noWrap/>
            <w:vAlign w:val="center"/>
            <w:hideMark/>
          </w:tcPr>
          <w:p w14:paraId="1A091E7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1451" w:type="dxa"/>
            <w:noWrap/>
            <w:vAlign w:val="center"/>
            <w:hideMark/>
          </w:tcPr>
          <w:p w14:paraId="6AE24F7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7B513E" w:rsidRPr="003646DB" w14:paraId="6308B2C9" w14:textId="77777777" w:rsidTr="008B50DA">
        <w:trPr>
          <w:trHeight w:val="19"/>
          <w:jc w:val="center"/>
        </w:trPr>
        <w:tc>
          <w:tcPr>
            <w:tcW w:w="1678" w:type="dxa"/>
            <w:noWrap/>
            <w:vAlign w:val="bottom"/>
            <w:hideMark/>
          </w:tcPr>
          <w:p w14:paraId="6EB19DA7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CUPRAC</w:t>
            </w:r>
          </w:p>
        </w:tc>
        <w:tc>
          <w:tcPr>
            <w:tcW w:w="1491" w:type="dxa"/>
            <w:noWrap/>
            <w:vAlign w:val="center"/>
            <w:hideMark/>
          </w:tcPr>
          <w:p w14:paraId="2EFA087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8.25</w:t>
            </w:r>
          </w:p>
        </w:tc>
        <w:tc>
          <w:tcPr>
            <w:tcW w:w="1451" w:type="dxa"/>
            <w:noWrap/>
            <w:vAlign w:val="center"/>
            <w:hideMark/>
          </w:tcPr>
          <w:p w14:paraId="49231C7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7B513E" w:rsidRPr="003646DB" w14:paraId="48F875BB" w14:textId="77777777" w:rsidTr="008B50DA">
        <w:trPr>
          <w:trHeight w:val="19"/>
          <w:jc w:val="center"/>
        </w:trPr>
        <w:tc>
          <w:tcPr>
            <w:tcW w:w="1678" w:type="dxa"/>
            <w:noWrap/>
            <w:vAlign w:val="bottom"/>
            <w:hideMark/>
          </w:tcPr>
          <w:p w14:paraId="5FBFBEE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491" w:type="dxa"/>
            <w:noWrap/>
            <w:vAlign w:val="center"/>
            <w:hideMark/>
          </w:tcPr>
          <w:p w14:paraId="5A0AB33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19.31</w:t>
            </w:r>
          </w:p>
        </w:tc>
        <w:tc>
          <w:tcPr>
            <w:tcW w:w="1451" w:type="dxa"/>
            <w:noWrap/>
            <w:vAlign w:val="center"/>
            <w:hideMark/>
          </w:tcPr>
          <w:p w14:paraId="678A8AB7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6.41e</w:t>
            </w:r>
            <w:r w:rsidRPr="003646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7B513E" w:rsidRPr="003646DB" w14:paraId="2AD10EB2" w14:textId="77777777" w:rsidTr="008B50DA">
        <w:trPr>
          <w:trHeight w:val="19"/>
          <w:jc w:val="center"/>
        </w:trPr>
        <w:tc>
          <w:tcPr>
            <w:tcW w:w="16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C96C4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α-GAL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4D09B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25.62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79697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2.73e</w:t>
            </w:r>
            <w:r w:rsidRPr="003646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</w:p>
        </w:tc>
      </w:tr>
    </w:tbl>
    <w:p w14:paraId="312D8953" w14:textId="77777777" w:rsidR="007B513E" w:rsidRPr="003646DB" w:rsidRDefault="007B513E" w:rsidP="007B513E">
      <w:pPr>
        <w:spacing w:after="100" w:afterAutospacing="1" w:line="240" w:lineRule="auto"/>
        <w:ind w:left="1985" w:right="19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6DB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646DB">
        <w:rPr>
          <w:rFonts w:ascii="Times New Roman" w:eastAsia="Aptos" w:hAnsi="Times New Roman" w:cs="Times New Roman"/>
          <w:sz w:val="20"/>
          <w:szCs w:val="20"/>
        </w:rPr>
        <w:t>α-GAL: antibodies absorbance against alpha-gal;</w:t>
      </w:r>
      <w:r w:rsidRPr="003646DB">
        <w:rPr>
          <w:rFonts w:ascii="Times New Roman" w:eastAsia="Times New Roman" w:hAnsi="Times New Roman" w:cs="Times New Roman"/>
          <w:sz w:val="20"/>
          <w:szCs w:val="20"/>
        </w:rPr>
        <w:t xml:space="preserve"> HAPTO: haptoglobin; CRP: C reactive protein; CUPRAC: cupric reducing antioxidant capacity; ADA: adenosine deaminase—</w:t>
      </w:r>
    </w:p>
    <w:p w14:paraId="3AF9F3A5" w14:textId="77777777" w:rsidR="007B513E" w:rsidRPr="003646DB" w:rsidRDefault="007B513E" w:rsidP="007B513E">
      <w:pPr>
        <w:rPr>
          <w:rFonts w:ascii="Times New Roman" w:hAnsi="Times New Roman" w:cs="Times New Roman"/>
          <w:sz w:val="20"/>
          <w:szCs w:val="20"/>
          <w:u w:val="single"/>
        </w:rPr>
      </w:pPr>
      <w:r w:rsidRPr="003646DB">
        <w:rPr>
          <w:rFonts w:ascii="Times New Roman" w:hAnsi="Times New Roman" w:cs="Times New Roman"/>
          <w:sz w:val="20"/>
          <w:szCs w:val="20"/>
          <w:u w:val="single"/>
        </w:rPr>
        <w:br w:type="page"/>
      </w:r>
    </w:p>
    <w:p w14:paraId="2204C727" w14:textId="77777777" w:rsidR="007B513E" w:rsidRPr="003646DB" w:rsidRDefault="007B513E" w:rsidP="007B513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646DB">
        <w:rPr>
          <w:rFonts w:ascii="Times New Roman" w:hAnsi="Times New Roman" w:cs="Times New Roman"/>
          <w:sz w:val="20"/>
          <w:szCs w:val="20"/>
          <w:u w:val="single"/>
        </w:rPr>
        <w:lastRenderedPageBreak/>
        <w:t>Best serum biomarker analysis.</w:t>
      </w:r>
    </w:p>
    <w:p w14:paraId="2C58DE37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t>Supplementary table 4</w:t>
      </w:r>
      <w:r w:rsidRPr="003646DB">
        <w:rPr>
          <w:rFonts w:ascii="Times New Roman" w:hAnsi="Times New Roman" w:cs="Times New Roman"/>
          <w:sz w:val="20"/>
          <w:szCs w:val="20"/>
        </w:rPr>
        <w:t>. Univariate analysis results.</w:t>
      </w:r>
    </w:p>
    <w:p w14:paraId="68519C8D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</w:tblGrid>
      <w:tr w:rsidR="007B513E" w:rsidRPr="003646DB" w14:paraId="4425ED2D" w14:textId="77777777" w:rsidTr="008B50DA">
        <w:trPr>
          <w:trHeight w:val="288"/>
          <w:jc w:val="center"/>
        </w:trPr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1DEFAC6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EB4F94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AIC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4FCCE6A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Pseudo_r2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2BA3D5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RMSE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3DCEDDF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Correlation</w:t>
            </w:r>
          </w:p>
        </w:tc>
      </w:tr>
      <w:tr w:rsidR="007B513E" w:rsidRPr="003646DB" w14:paraId="45E7129D" w14:textId="77777777" w:rsidTr="008B50DA">
        <w:trPr>
          <w:trHeight w:val="288"/>
          <w:jc w:val="center"/>
        </w:trPr>
        <w:tc>
          <w:tcPr>
            <w:tcW w:w="1240" w:type="dxa"/>
            <w:tcBorders>
              <w:top w:val="double" w:sz="4" w:space="0" w:color="auto"/>
            </w:tcBorders>
            <w:noWrap/>
            <w:hideMark/>
          </w:tcPr>
          <w:p w14:paraId="7E08BAC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α-GAL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FF23F8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952.28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7B7D0DB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7840B3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2.06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FAFCA0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0.26</w:t>
            </w:r>
          </w:p>
        </w:tc>
      </w:tr>
      <w:tr w:rsidR="007B513E" w:rsidRPr="003646DB" w14:paraId="019C2083" w14:textId="77777777" w:rsidTr="008B50DA">
        <w:trPr>
          <w:trHeight w:val="288"/>
          <w:jc w:val="center"/>
        </w:trPr>
        <w:tc>
          <w:tcPr>
            <w:tcW w:w="1240" w:type="dxa"/>
            <w:noWrap/>
            <w:hideMark/>
          </w:tcPr>
          <w:p w14:paraId="4CC1EC5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CUPRAC</w:t>
            </w:r>
          </w:p>
        </w:tc>
        <w:tc>
          <w:tcPr>
            <w:tcW w:w="1240" w:type="dxa"/>
            <w:noWrap/>
            <w:vAlign w:val="center"/>
            <w:hideMark/>
          </w:tcPr>
          <w:p w14:paraId="4695E27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968.85</w:t>
            </w:r>
          </w:p>
        </w:tc>
        <w:tc>
          <w:tcPr>
            <w:tcW w:w="1240" w:type="dxa"/>
            <w:noWrap/>
            <w:vAlign w:val="center"/>
            <w:hideMark/>
          </w:tcPr>
          <w:p w14:paraId="7F1D9C8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40" w:type="dxa"/>
            <w:noWrap/>
            <w:vAlign w:val="center"/>
            <w:hideMark/>
          </w:tcPr>
          <w:p w14:paraId="2E0C160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240" w:type="dxa"/>
            <w:noWrap/>
            <w:vAlign w:val="center"/>
            <w:hideMark/>
          </w:tcPr>
          <w:p w14:paraId="20B602F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7B513E" w:rsidRPr="003646DB" w14:paraId="26EDBA8F" w14:textId="77777777" w:rsidTr="008B50DA">
        <w:trPr>
          <w:trHeight w:val="288"/>
          <w:jc w:val="center"/>
        </w:trPr>
        <w:tc>
          <w:tcPr>
            <w:tcW w:w="1240" w:type="dxa"/>
            <w:noWrap/>
            <w:hideMark/>
          </w:tcPr>
          <w:p w14:paraId="5D97FB3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240" w:type="dxa"/>
            <w:noWrap/>
            <w:vAlign w:val="center"/>
            <w:hideMark/>
          </w:tcPr>
          <w:p w14:paraId="2A8D143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971.14</w:t>
            </w:r>
          </w:p>
        </w:tc>
        <w:tc>
          <w:tcPr>
            <w:tcW w:w="1240" w:type="dxa"/>
            <w:noWrap/>
            <w:vAlign w:val="center"/>
            <w:hideMark/>
          </w:tcPr>
          <w:p w14:paraId="014E7AB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40" w:type="dxa"/>
            <w:noWrap/>
            <w:vAlign w:val="center"/>
            <w:hideMark/>
          </w:tcPr>
          <w:p w14:paraId="3AC6C9C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240" w:type="dxa"/>
            <w:noWrap/>
            <w:vAlign w:val="center"/>
            <w:hideMark/>
          </w:tcPr>
          <w:p w14:paraId="77377E1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7B513E" w:rsidRPr="003646DB" w14:paraId="47AB9002" w14:textId="77777777" w:rsidTr="008B50DA">
        <w:trPr>
          <w:trHeight w:val="288"/>
          <w:jc w:val="center"/>
        </w:trPr>
        <w:tc>
          <w:tcPr>
            <w:tcW w:w="1240" w:type="dxa"/>
            <w:noWrap/>
            <w:hideMark/>
          </w:tcPr>
          <w:p w14:paraId="091AD76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1240" w:type="dxa"/>
            <w:noWrap/>
            <w:vAlign w:val="center"/>
            <w:hideMark/>
          </w:tcPr>
          <w:p w14:paraId="65C5F03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973.25</w:t>
            </w:r>
          </w:p>
        </w:tc>
        <w:tc>
          <w:tcPr>
            <w:tcW w:w="1240" w:type="dxa"/>
            <w:noWrap/>
            <w:vAlign w:val="center"/>
            <w:hideMark/>
          </w:tcPr>
          <w:p w14:paraId="759C71F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240" w:type="dxa"/>
            <w:noWrap/>
            <w:vAlign w:val="center"/>
            <w:hideMark/>
          </w:tcPr>
          <w:p w14:paraId="0DCD460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240" w:type="dxa"/>
            <w:noWrap/>
            <w:vAlign w:val="center"/>
            <w:hideMark/>
          </w:tcPr>
          <w:p w14:paraId="170576C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7B513E" w:rsidRPr="003646DB" w14:paraId="6FB14122" w14:textId="77777777" w:rsidTr="008B50DA">
        <w:trPr>
          <w:trHeight w:val="288"/>
          <w:jc w:val="center"/>
        </w:trPr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14:paraId="1BC0680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HAPTO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63C37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977.24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4D72E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3F0D1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E63CA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</w:tbl>
    <w:p w14:paraId="7E1CA238" w14:textId="77777777" w:rsidR="007B513E" w:rsidRPr="003646DB" w:rsidRDefault="007B513E" w:rsidP="007B513E">
      <w:pPr>
        <w:spacing w:after="100" w:afterAutospacing="1" w:line="240" w:lineRule="auto"/>
        <w:ind w:left="1134" w:right="991"/>
        <w:jc w:val="both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sz w:val="20"/>
          <w:szCs w:val="20"/>
        </w:rPr>
        <w:t xml:space="preserve">— RMSE: root mean square error; </w:t>
      </w:r>
      <w:r w:rsidRPr="003646DB">
        <w:rPr>
          <w:rFonts w:ascii="Times New Roman" w:eastAsia="Aptos" w:hAnsi="Times New Roman" w:cs="Times New Roman"/>
          <w:sz w:val="20"/>
          <w:szCs w:val="20"/>
        </w:rPr>
        <w:t>α-GAL: antibodies absorbance against alpha-gal;</w:t>
      </w:r>
      <w:r w:rsidRPr="003646DB">
        <w:rPr>
          <w:rFonts w:ascii="Times New Roman" w:eastAsia="Times New Roman" w:hAnsi="Times New Roman" w:cs="Times New Roman"/>
          <w:sz w:val="20"/>
          <w:szCs w:val="20"/>
        </w:rPr>
        <w:t xml:space="preserve"> HAPTO: haptoglobin; CRP: C reactive protein; CUPRAC: cupric reducing antioxidant capacity; ADA: adenosine deaminase—</w:t>
      </w:r>
    </w:p>
    <w:p w14:paraId="2B883BB3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t>Supplementary table 5.</w:t>
      </w:r>
      <w:r w:rsidRPr="003646DB">
        <w:rPr>
          <w:rFonts w:ascii="Times New Roman" w:hAnsi="Times New Roman" w:cs="Times New Roman"/>
          <w:sz w:val="20"/>
          <w:szCs w:val="20"/>
        </w:rPr>
        <w:t xml:space="preserve"> Cross-validation. RMSE ranking.</w:t>
      </w:r>
    </w:p>
    <w:p w14:paraId="24671786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1240"/>
        <w:gridCol w:w="1240"/>
        <w:gridCol w:w="1240"/>
        <w:gridCol w:w="1240"/>
      </w:tblGrid>
      <w:tr w:rsidR="007B513E" w:rsidRPr="003646DB" w14:paraId="002B97F9" w14:textId="77777777" w:rsidTr="008B50DA">
        <w:trPr>
          <w:trHeight w:val="271"/>
          <w:jc w:val="center"/>
        </w:trPr>
        <w:tc>
          <w:tcPr>
            <w:tcW w:w="1577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21FE2CD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α-GAL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2F0A568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CUPRAC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3AA60B2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0F07958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HAPTO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3100A0F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</w:tr>
      <w:tr w:rsidR="007B513E" w:rsidRPr="003646DB" w14:paraId="0A51C0FF" w14:textId="77777777" w:rsidTr="008B50DA">
        <w:trPr>
          <w:trHeight w:val="114"/>
          <w:jc w:val="center"/>
        </w:trPr>
        <w:tc>
          <w:tcPr>
            <w:tcW w:w="1577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2371CB1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2.07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5F888AC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14407AE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08B72FB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76ADF30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</w:tr>
    </w:tbl>
    <w:p w14:paraId="7D659B93" w14:textId="77777777" w:rsidR="007B513E" w:rsidRPr="003646DB" w:rsidRDefault="007B513E" w:rsidP="007B513E">
      <w:pPr>
        <w:spacing w:after="100" w:afterAutospacing="1" w:line="240" w:lineRule="auto"/>
        <w:ind w:left="993" w:right="99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6DB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646DB">
        <w:rPr>
          <w:rFonts w:ascii="Times New Roman" w:eastAsia="Aptos" w:hAnsi="Times New Roman" w:cs="Times New Roman"/>
          <w:sz w:val="20"/>
          <w:szCs w:val="20"/>
        </w:rPr>
        <w:t>α-GAL: antibodies absorbance against alpha-gal;</w:t>
      </w:r>
      <w:r w:rsidRPr="003646DB">
        <w:rPr>
          <w:rFonts w:ascii="Times New Roman" w:eastAsia="Times New Roman" w:hAnsi="Times New Roman" w:cs="Times New Roman"/>
          <w:sz w:val="20"/>
          <w:szCs w:val="20"/>
        </w:rPr>
        <w:t xml:space="preserve"> HAPTO: haptoglobin; CRP: C reactive protein; CUPRAC: cupric reducing antioxidant capacity; ADA: adenosine deaminase—</w:t>
      </w:r>
    </w:p>
    <w:p w14:paraId="3E0E454C" w14:textId="77777777" w:rsidR="007B513E" w:rsidRPr="003646DB" w:rsidRDefault="007B513E" w:rsidP="007B513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8547DB" w14:textId="77777777" w:rsidR="007B513E" w:rsidRPr="003646DB" w:rsidRDefault="007B513E" w:rsidP="007B513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26ED4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6. </w:t>
      </w:r>
      <w:r w:rsidRPr="003646DB">
        <w:rPr>
          <w:rFonts w:ascii="Times New Roman" w:hAnsi="Times New Roman" w:cs="Times New Roman"/>
          <w:sz w:val="20"/>
          <w:szCs w:val="20"/>
        </w:rPr>
        <w:t>Relative dominance.</w:t>
      </w:r>
    </w:p>
    <w:p w14:paraId="6C02A5C9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</w:tblGrid>
      <w:tr w:rsidR="007B513E" w:rsidRPr="003646DB" w14:paraId="531E248A" w14:textId="77777777" w:rsidTr="008B50DA">
        <w:trPr>
          <w:trHeight w:val="288"/>
          <w:jc w:val="center"/>
        </w:trPr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3C9F0A0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α-GAL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3C4F971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546509B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CUPRAC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433213E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7331A89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HAPTO</w:t>
            </w:r>
          </w:p>
        </w:tc>
      </w:tr>
      <w:tr w:rsidR="007B513E" w:rsidRPr="003646DB" w14:paraId="49DAFC29" w14:textId="77777777" w:rsidTr="008B50DA">
        <w:trPr>
          <w:trHeight w:val="288"/>
          <w:jc w:val="center"/>
        </w:trPr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466CA11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0.63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506BE85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56BCF8F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2AA71D4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681A091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</w:tbl>
    <w:p w14:paraId="71089E10" w14:textId="77777777" w:rsidR="007B513E" w:rsidRPr="003646DB" w:rsidRDefault="007B513E" w:rsidP="007B513E">
      <w:pPr>
        <w:spacing w:after="100" w:afterAutospacing="1" w:line="240" w:lineRule="auto"/>
        <w:ind w:left="1134" w:right="113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6DB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646DB">
        <w:rPr>
          <w:rFonts w:ascii="Times New Roman" w:eastAsia="Aptos" w:hAnsi="Times New Roman" w:cs="Times New Roman"/>
          <w:sz w:val="20"/>
          <w:szCs w:val="20"/>
        </w:rPr>
        <w:t>α-GAL: antibodies absorbance against alpha-gal;</w:t>
      </w:r>
      <w:r w:rsidRPr="003646DB">
        <w:rPr>
          <w:rFonts w:ascii="Times New Roman" w:eastAsia="Times New Roman" w:hAnsi="Times New Roman" w:cs="Times New Roman"/>
          <w:sz w:val="20"/>
          <w:szCs w:val="20"/>
        </w:rPr>
        <w:t xml:space="preserve"> HAPTO: haptoglobin; CRP: C reactive protein; CUPRAC: cupric reducing antioxidant capacity; ADA: adenosine deaminase—</w:t>
      </w:r>
    </w:p>
    <w:p w14:paraId="72A4BE9A" w14:textId="77777777" w:rsidR="007B513E" w:rsidRPr="003646DB" w:rsidRDefault="007B513E" w:rsidP="007B513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30FE46" w14:textId="77777777" w:rsidR="007B513E" w:rsidRPr="003646DB" w:rsidRDefault="007B513E" w:rsidP="007B513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3397A5A9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t>Supplementary table 7.</w:t>
      </w:r>
      <w:r w:rsidRPr="003646DB">
        <w:rPr>
          <w:rFonts w:ascii="Times New Roman" w:hAnsi="Times New Roman" w:cs="Times New Roman"/>
          <w:sz w:val="20"/>
          <w:szCs w:val="20"/>
        </w:rPr>
        <w:t xml:space="preserve"> ROC. AUC ranking.</w:t>
      </w:r>
    </w:p>
    <w:p w14:paraId="5BBB2341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</w:tblGrid>
      <w:tr w:rsidR="007B513E" w:rsidRPr="003646DB" w14:paraId="65440674" w14:textId="77777777" w:rsidTr="008B50DA">
        <w:trPr>
          <w:trHeight w:val="288"/>
          <w:jc w:val="center"/>
        </w:trPr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35444CC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α-GAL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18434CA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68E0B05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CUPRAC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0EDA7F6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6F56854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HAPTO</w:t>
            </w:r>
          </w:p>
        </w:tc>
      </w:tr>
      <w:tr w:rsidR="007B513E" w:rsidRPr="003646DB" w14:paraId="4F7BA98B" w14:textId="77777777" w:rsidTr="008B50DA">
        <w:trPr>
          <w:trHeight w:val="288"/>
          <w:jc w:val="center"/>
        </w:trPr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7DB86E2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0.72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27678C9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4A8A3BF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342BB09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0B22C21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</w:tbl>
    <w:p w14:paraId="56240925" w14:textId="77777777" w:rsidR="007B513E" w:rsidRPr="003646DB" w:rsidRDefault="007B513E" w:rsidP="007B513E">
      <w:pPr>
        <w:spacing w:after="100" w:afterAutospacing="1" w:line="240" w:lineRule="auto"/>
        <w:ind w:left="1134" w:right="113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6DB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646DB">
        <w:rPr>
          <w:rFonts w:ascii="Times New Roman" w:eastAsia="Aptos" w:hAnsi="Times New Roman" w:cs="Times New Roman"/>
          <w:sz w:val="20"/>
          <w:szCs w:val="20"/>
        </w:rPr>
        <w:t>α-GAL: antibodies absorbance against alpha-gal;</w:t>
      </w:r>
      <w:r w:rsidRPr="003646DB">
        <w:rPr>
          <w:rFonts w:ascii="Times New Roman" w:eastAsia="Times New Roman" w:hAnsi="Times New Roman" w:cs="Times New Roman"/>
          <w:sz w:val="20"/>
          <w:szCs w:val="20"/>
        </w:rPr>
        <w:t xml:space="preserve"> HAPTO: haptoglobin; CRP: C reactive protein; CUPRAC: cupric reducing antioxidant capacity; ADA: adenosine deaminase—</w:t>
      </w:r>
    </w:p>
    <w:p w14:paraId="3F7FAD81" w14:textId="77777777" w:rsidR="007B513E" w:rsidRDefault="007B513E" w:rsidP="007B513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202FF845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646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8. </w:t>
      </w:r>
      <w:r w:rsidRPr="003646DB">
        <w:rPr>
          <w:rFonts w:ascii="Times New Roman" w:hAnsi="Times New Roman" w:cs="Times New Roman"/>
          <w:sz w:val="20"/>
          <w:szCs w:val="20"/>
        </w:rPr>
        <w:t>GLMM selection table.</w:t>
      </w:r>
    </w:p>
    <w:p w14:paraId="6B5430B4" w14:textId="77777777" w:rsidR="007B513E" w:rsidRPr="003646DB" w:rsidRDefault="007B513E" w:rsidP="007B513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77"/>
        <w:gridCol w:w="577"/>
        <w:gridCol w:w="577"/>
        <w:gridCol w:w="633"/>
        <w:gridCol w:w="577"/>
        <w:gridCol w:w="633"/>
        <w:gridCol w:w="577"/>
        <w:gridCol w:w="833"/>
        <w:gridCol w:w="766"/>
        <w:gridCol w:w="577"/>
        <w:gridCol w:w="577"/>
      </w:tblGrid>
      <w:tr w:rsidR="007B513E" w:rsidRPr="003646DB" w14:paraId="1AAB5EC4" w14:textId="77777777" w:rsidTr="008B50DA">
        <w:trPr>
          <w:cantSplit/>
          <w:trHeight w:val="1135"/>
          <w:jc w:val="center"/>
        </w:trPr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17DD47B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1F15786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15B9968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0BCFD9D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α-GAL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3FE3B93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1E450C6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CUPRAC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59F8D52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HAPTO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3A172DC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26445D5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logLik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27BD02C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AICc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192187E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noWrap/>
            <w:textDirection w:val="btLr"/>
            <w:vAlign w:val="center"/>
            <w:hideMark/>
          </w:tcPr>
          <w:p w14:paraId="3666A3E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</w:tr>
      <w:tr w:rsidR="007B513E" w:rsidRPr="003646DB" w14:paraId="0B1A04C2" w14:textId="77777777" w:rsidTr="008B50DA">
        <w:trPr>
          <w:trHeight w:val="288"/>
          <w:jc w:val="center"/>
        </w:trPr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3B5F4A5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51B49E5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</w:t>
            </w: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192C21B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4D1536D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41E621D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34ACE40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67B415B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02B0EF8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58E2122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-430.36</w:t>
            </w: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73DED1D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866.80</w:t>
            </w: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4624D8A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double" w:sz="4" w:space="0" w:color="auto"/>
            </w:tcBorders>
            <w:noWrap/>
            <w:vAlign w:val="center"/>
            <w:hideMark/>
          </w:tcPr>
          <w:p w14:paraId="0E987DA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0.19</w:t>
            </w:r>
          </w:p>
        </w:tc>
      </w:tr>
      <w:tr w:rsidR="007B513E" w:rsidRPr="003646DB" w14:paraId="4E633D68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352EB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134DEAB7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2F3225D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E30D5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6E82C8C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-0.04</w:t>
            </w:r>
          </w:p>
        </w:tc>
        <w:tc>
          <w:tcPr>
            <w:tcW w:w="0" w:type="auto"/>
            <w:noWrap/>
            <w:vAlign w:val="center"/>
            <w:hideMark/>
          </w:tcPr>
          <w:p w14:paraId="2A5D206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B2075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D02CE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0E56AE4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-429.70</w:t>
            </w:r>
          </w:p>
        </w:tc>
        <w:tc>
          <w:tcPr>
            <w:tcW w:w="0" w:type="auto"/>
            <w:noWrap/>
            <w:vAlign w:val="center"/>
            <w:hideMark/>
          </w:tcPr>
          <w:p w14:paraId="2E67800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867.60</w:t>
            </w:r>
          </w:p>
        </w:tc>
        <w:tc>
          <w:tcPr>
            <w:tcW w:w="0" w:type="auto"/>
            <w:noWrap/>
            <w:vAlign w:val="center"/>
            <w:hideMark/>
          </w:tcPr>
          <w:p w14:paraId="53A8526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0.75</w:t>
            </w:r>
          </w:p>
        </w:tc>
        <w:tc>
          <w:tcPr>
            <w:tcW w:w="0" w:type="auto"/>
            <w:noWrap/>
            <w:vAlign w:val="center"/>
            <w:hideMark/>
          </w:tcPr>
          <w:p w14:paraId="7B6E37E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0.13</w:t>
            </w:r>
          </w:p>
        </w:tc>
      </w:tr>
      <w:tr w:rsidR="007B513E" w:rsidRPr="003646DB" w14:paraId="05AB3D4E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037AA4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028D3EE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7FB362E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E65E9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63C683A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B60A4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B5AA8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-0.04</w:t>
            </w:r>
          </w:p>
        </w:tc>
        <w:tc>
          <w:tcPr>
            <w:tcW w:w="0" w:type="auto"/>
            <w:noWrap/>
            <w:vAlign w:val="center"/>
            <w:hideMark/>
          </w:tcPr>
          <w:p w14:paraId="075CABC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0935DE5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-429.87</w:t>
            </w:r>
          </w:p>
        </w:tc>
        <w:tc>
          <w:tcPr>
            <w:tcW w:w="0" w:type="auto"/>
            <w:noWrap/>
            <w:vAlign w:val="center"/>
            <w:hideMark/>
          </w:tcPr>
          <w:p w14:paraId="72A041B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867.90</w:t>
            </w:r>
          </w:p>
        </w:tc>
        <w:tc>
          <w:tcPr>
            <w:tcW w:w="0" w:type="auto"/>
            <w:noWrap/>
            <w:vAlign w:val="center"/>
            <w:hideMark/>
          </w:tcPr>
          <w:p w14:paraId="09050E1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</w:t>
            </w:r>
          </w:p>
        </w:tc>
        <w:tc>
          <w:tcPr>
            <w:tcW w:w="0" w:type="auto"/>
            <w:noWrap/>
            <w:vAlign w:val="center"/>
            <w:hideMark/>
          </w:tcPr>
          <w:p w14:paraId="21F9C29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0.11</w:t>
            </w:r>
          </w:p>
        </w:tc>
      </w:tr>
      <w:tr w:rsidR="007B513E" w:rsidRPr="003646DB" w14:paraId="439B6C4B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55B850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730AE6A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0440A79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noWrap/>
            <w:vAlign w:val="center"/>
            <w:hideMark/>
          </w:tcPr>
          <w:p w14:paraId="3F68E6A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3665560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A14D3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1B08B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2981D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2266BB2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-430.33</w:t>
            </w:r>
          </w:p>
        </w:tc>
        <w:tc>
          <w:tcPr>
            <w:tcW w:w="0" w:type="auto"/>
            <w:noWrap/>
            <w:vAlign w:val="center"/>
            <w:hideMark/>
          </w:tcPr>
          <w:p w14:paraId="5A2744F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868.80</w:t>
            </w:r>
          </w:p>
        </w:tc>
        <w:tc>
          <w:tcPr>
            <w:tcW w:w="0" w:type="auto"/>
            <w:noWrap/>
            <w:vAlign w:val="center"/>
            <w:hideMark/>
          </w:tcPr>
          <w:p w14:paraId="2F8D006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0" w:type="auto"/>
            <w:noWrap/>
            <w:vAlign w:val="center"/>
            <w:hideMark/>
          </w:tcPr>
          <w:p w14:paraId="4F567A37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7B513E" w:rsidRPr="003646DB" w14:paraId="3CD2760D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964AB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6CBC532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0FCEB36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C4F46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29E0A43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082CB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noWrap/>
            <w:vAlign w:val="center"/>
            <w:hideMark/>
          </w:tcPr>
          <w:p w14:paraId="16A9444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ADF83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0B174ED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-430.33</w:t>
            </w:r>
          </w:p>
        </w:tc>
        <w:tc>
          <w:tcPr>
            <w:tcW w:w="0" w:type="auto"/>
            <w:noWrap/>
            <w:vAlign w:val="center"/>
            <w:hideMark/>
          </w:tcPr>
          <w:p w14:paraId="1837415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868.80</w:t>
            </w:r>
          </w:p>
        </w:tc>
        <w:tc>
          <w:tcPr>
            <w:tcW w:w="0" w:type="auto"/>
            <w:noWrap/>
            <w:vAlign w:val="center"/>
            <w:hideMark/>
          </w:tcPr>
          <w:p w14:paraId="1AD1FD1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0" w:type="auto"/>
            <w:noWrap/>
            <w:vAlign w:val="center"/>
            <w:hideMark/>
          </w:tcPr>
          <w:p w14:paraId="04E769C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7B513E" w:rsidRPr="003646DB" w14:paraId="36C626B0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079A6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14:paraId="4BBA43E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43CC6FB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E6245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5C0D9A5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0" w:type="auto"/>
            <w:noWrap/>
            <w:vAlign w:val="center"/>
            <w:hideMark/>
          </w:tcPr>
          <w:p w14:paraId="10E6C8E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B73DB0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0" w:type="auto"/>
            <w:noWrap/>
            <w:vAlign w:val="center"/>
            <w:hideMark/>
          </w:tcPr>
          <w:p w14:paraId="10C639A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0" w:type="auto"/>
            <w:noWrap/>
            <w:vAlign w:val="center"/>
            <w:hideMark/>
          </w:tcPr>
          <w:p w14:paraId="1F9E24F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-429.54</w:t>
            </w:r>
          </w:p>
        </w:tc>
        <w:tc>
          <w:tcPr>
            <w:tcW w:w="0" w:type="auto"/>
            <w:noWrap/>
            <w:vAlign w:val="center"/>
            <w:hideMark/>
          </w:tcPr>
          <w:p w14:paraId="10FCFBA7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869.40</w:t>
            </w:r>
          </w:p>
        </w:tc>
        <w:tc>
          <w:tcPr>
            <w:tcW w:w="0" w:type="auto"/>
            <w:noWrap/>
            <w:vAlign w:val="center"/>
            <w:hideMark/>
          </w:tcPr>
          <w:p w14:paraId="544EDE5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0" w:type="auto"/>
            <w:noWrap/>
            <w:vAlign w:val="center"/>
            <w:hideMark/>
          </w:tcPr>
          <w:p w14:paraId="70B3A4C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7B513E" w:rsidRPr="003646DB" w14:paraId="0F7A7C49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AC6FC1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6EC1C32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1A680C5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noWrap/>
            <w:vAlign w:val="center"/>
            <w:hideMark/>
          </w:tcPr>
          <w:p w14:paraId="24ADBAA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37DF2F4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0" w:type="auto"/>
            <w:noWrap/>
            <w:vAlign w:val="center"/>
            <w:hideMark/>
          </w:tcPr>
          <w:p w14:paraId="0824912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E0618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0A36E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0" w:type="auto"/>
            <w:noWrap/>
            <w:vAlign w:val="center"/>
            <w:hideMark/>
          </w:tcPr>
          <w:p w14:paraId="36E94B6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-429.66</w:t>
            </w:r>
          </w:p>
        </w:tc>
        <w:tc>
          <w:tcPr>
            <w:tcW w:w="0" w:type="auto"/>
            <w:noWrap/>
            <w:vAlign w:val="center"/>
            <w:hideMark/>
          </w:tcPr>
          <w:p w14:paraId="2EFEA88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869.60</w:t>
            </w:r>
          </w:p>
        </w:tc>
        <w:tc>
          <w:tcPr>
            <w:tcW w:w="0" w:type="auto"/>
            <w:noWrap/>
            <w:vAlign w:val="center"/>
            <w:hideMark/>
          </w:tcPr>
          <w:p w14:paraId="7A9505E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0" w:type="auto"/>
            <w:noWrap/>
            <w:vAlign w:val="center"/>
            <w:hideMark/>
          </w:tcPr>
          <w:p w14:paraId="4210899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7B513E" w:rsidRPr="003646DB" w14:paraId="30DEA9A5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FEB29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0E1736C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2B9D794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41DAA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14:paraId="206F08C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0" w:type="auto"/>
            <w:noWrap/>
            <w:vAlign w:val="center"/>
            <w:hideMark/>
          </w:tcPr>
          <w:p w14:paraId="5EB14DC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noWrap/>
            <w:vAlign w:val="center"/>
            <w:hideMark/>
          </w:tcPr>
          <w:p w14:paraId="5302AD8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C8F2A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0" w:type="auto"/>
            <w:noWrap/>
            <w:vAlign w:val="center"/>
            <w:hideMark/>
          </w:tcPr>
          <w:p w14:paraId="401106B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-429.67</w:t>
            </w:r>
          </w:p>
        </w:tc>
        <w:tc>
          <w:tcPr>
            <w:tcW w:w="0" w:type="auto"/>
            <w:noWrap/>
            <w:vAlign w:val="center"/>
            <w:hideMark/>
          </w:tcPr>
          <w:p w14:paraId="683BA0D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869.60</w:t>
            </w:r>
          </w:p>
        </w:tc>
        <w:tc>
          <w:tcPr>
            <w:tcW w:w="0" w:type="auto"/>
            <w:noWrap/>
            <w:vAlign w:val="center"/>
            <w:hideMark/>
          </w:tcPr>
          <w:p w14:paraId="5295B2A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0" w:type="auto"/>
            <w:noWrap/>
            <w:vAlign w:val="center"/>
            <w:hideMark/>
          </w:tcPr>
          <w:p w14:paraId="53F31E4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7B513E" w:rsidRPr="003646DB" w14:paraId="0C0D1555" w14:textId="77777777" w:rsidTr="008B50DA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1EFCD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64D61B58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14:paraId="04E3E00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noWrap/>
            <w:vAlign w:val="center"/>
            <w:hideMark/>
          </w:tcPr>
          <w:p w14:paraId="3515427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14:paraId="0BA34FE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3D431D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445C1E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0" w:type="auto"/>
            <w:noWrap/>
            <w:vAlign w:val="center"/>
            <w:hideMark/>
          </w:tcPr>
          <w:p w14:paraId="498EC7A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0" w:type="auto"/>
            <w:noWrap/>
            <w:vAlign w:val="center"/>
            <w:hideMark/>
          </w:tcPr>
          <w:p w14:paraId="058E734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-429.85</w:t>
            </w:r>
          </w:p>
        </w:tc>
        <w:tc>
          <w:tcPr>
            <w:tcW w:w="0" w:type="auto"/>
            <w:noWrap/>
            <w:vAlign w:val="center"/>
            <w:hideMark/>
          </w:tcPr>
          <w:p w14:paraId="44E9B001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870.00</w:t>
            </w:r>
          </w:p>
        </w:tc>
        <w:tc>
          <w:tcPr>
            <w:tcW w:w="0" w:type="auto"/>
            <w:noWrap/>
            <w:vAlign w:val="center"/>
            <w:hideMark/>
          </w:tcPr>
          <w:p w14:paraId="5411F33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0" w:type="auto"/>
            <w:noWrap/>
            <w:vAlign w:val="center"/>
            <w:hideMark/>
          </w:tcPr>
          <w:p w14:paraId="4FABC764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7B513E" w:rsidRPr="003646DB" w14:paraId="35DF6865" w14:textId="77777777" w:rsidTr="008B50DA">
        <w:trPr>
          <w:trHeight w:val="288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CF814B9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43FFBEA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5AFF97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B02A35F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F425C7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FE2ED52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FB72853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092C136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90AEBEB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-429.86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3094BCC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870.00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6ADA3A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E6BBA85" w14:textId="77777777" w:rsidR="007B513E" w:rsidRPr="003646DB" w:rsidRDefault="007B513E" w:rsidP="008B50D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D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</w:tbl>
    <w:p w14:paraId="56B4A9B4" w14:textId="77777777" w:rsidR="007B513E" w:rsidRPr="003646DB" w:rsidRDefault="007B513E" w:rsidP="007B513E">
      <w:pPr>
        <w:spacing w:after="100" w:afterAutospacing="1" w:line="240" w:lineRule="auto"/>
        <w:ind w:left="567" w:right="7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6DB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3646DB">
        <w:rPr>
          <w:rFonts w:ascii="Times New Roman" w:eastAsia="Aptos" w:hAnsi="Times New Roman" w:cs="Times New Roman"/>
          <w:sz w:val="20"/>
          <w:szCs w:val="20"/>
        </w:rPr>
        <w:t>α-GAL: antibodies absorbance against alpha-gal;</w:t>
      </w:r>
      <w:r w:rsidRPr="003646DB">
        <w:rPr>
          <w:rFonts w:ascii="Times New Roman" w:eastAsia="Times New Roman" w:hAnsi="Times New Roman" w:cs="Times New Roman"/>
          <w:sz w:val="20"/>
          <w:szCs w:val="20"/>
        </w:rPr>
        <w:t xml:space="preserve"> HAPTO: haptoglobin; CRP: C reactive protein; CUPRAC: cupric reducing antioxidant capacity; ADA: adenosine deaminase—</w:t>
      </w:r>
    </w:p>
    <w:p w14:paraId="7EEE7192" w14:textId="77777777" w:rsidR="0048252D" w:rsidRDefault="0048252D"/>
    <w:sectPr w:rsidR="0048252D" w:rsidSect="007B513E">
      <w:footerReference w:type="default" r:id="rId4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892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DF5560" w14:textId="77777777" w:rsidR="007B513E" w:rsidRPr="00D814A8" w:rsidRDefault="007B513E">
        <w:pPr>
          <w:pStyle w:val="Piedepgina"/>
          <w:jc w:val="center"/>
          <w:rPr>
            <w:rFonts w:ascii="Times New Roman" w:hAnsi="Times New Roman" w:cs="Times New Roman"/>
          </w:rPr>
        </w:pPr>
        <w:r w:rsidRPr="00D814A8">
          <w:rPr>
            <w:rFonts w:ascii="Times New Roman" w:hAnsi="Times New Roman" w:cs="Times New Roman"/>
          </w:rPr>
          <w:fldChar w:fldCharType="begin"/>
        </w:r>
        <w:r w:rsidRPr="00D814A8">
          <w:rPr>
            <w:rFonts w:ascii="Times New Roman" w:hAnsi="Times New Roman" w:cs="Times New Roman"/>
          </w:rPr>
          <w:instrText>PAGE   \* MERGEFORMAT</w:instrText>
        </w:r>
        <w:r w:rsidRPr="00D814A8">
          <w:rPr>
            <w:rFonts w:ascii="Times New Roman" w:hAnsi="Times New Roman" w:cs="Times New Roman"/>
          </w:rPr>
          <w:fldChar w:fldCharType="separate"/>
        </w:r>
        <w:r w:rsidRPr="00D814A8">
          <w:rPr>
            <w:rFonts w:ascii="Times New Roman" w:hAnsi="Times New Roman" w:cs="Times New Roman"/>
            <w:lang w:val="es-ES"/>
          </w:rPr>
          <w:t>2</w:t>
        </w:r>
        <w:r w:rsidRPr="00D814A8">
          <w:rPr>
            <w:rFonts w:ascii="Times New Roman" w:hAnsi="Times New Roman" w:cs="Times New Roman"/>
          </w:rPr>
          <w:fldChar w:fldCharType="end"/>
        </w:r>
      </w:p>
    </w:sdtContent>
  </w:sdt>
  <w:p w14:paraId="71DB2ECC" w14:textId="77777777" w:rsidR="007B513E" w:rsidRDefault="007B513E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3E"/>
    <w:rsid w:val="00022886"/>
    <w:rsid w:val="000B4EF3"/>
    <w:rsid w:val="000F065B"/>
    <w:rsid w:val="000F51BE"/>
    <w:rsid w:val="001F4489"/>
    <w:rsid w:val="00244646"/>
    <w:rsid w:val="0030322E"/>
    <w:rsid w:val="00331316"/>
    <w:rsid w:val="00351879"/>
    <w:rsid w:val="003A3B8F"/>
    <w:rsid w:val="00426BE6"/>
    <w:rsid w:val="0048252D"/>
    <w:rsid w:val="00485F8B"/>
    <w:rsid w:val="004A03A9"/>
    <w:rsid w:val="004F509B"/>
    <w:rsid w:val="00522E20"/>
    <w:rsid w:val="00524EF6"/>
    <w:rsid w:val="005B2DAE"/>
    <w:rsid w:val="005E13B9"/>
    <w:rsid w:val="006017BB"/>
    <w:rsid w:val="006547C3"/>
    <w:rsid w:val="006724FE"/>
    <w:rsid w:val="00672C6E"/>
    <w:rsid w:val="00681F4A"/>
    <w:rsid w:val="006A7F1F"/>
    <w:rsid w:val="007943ED"/>
    <w:rsid w:val="007B513E"/>
    <w:rsid w:val="007F6105"/>
    <w:rsid w:val="0085297E"/>
    <w:rsid w:val="00884343"/>
    <w:rsid w:val="008E002B"/>
    <w:rsid w:val="00900E79"/>
    <w:rsid w:val="0096386E"/>
    <w:rsid w:val="00971B43"/>
    <w:rsid w:val="00A402DD"/>
    <w:rsid w:val="00A91132"/>
    <w:rsid w:val="00AE4308"/>
    <w:rsid w:val="00B46EA9"/>
    <w:rsid w:val="00B65861"/>
    <w:rsid w:val="00BB7DD0"/>
    <w:rsid w:val="00BF7332"/>
    <w:rsid w:val="00C03DA9"/>
    <w:rsid w:val="00C12223"/>
    <w:rsid w:val="00C16620"/>
    <w:rsid w:val="00CB3275"/>
    <w:rsid w:val="00CF1A2A"/>
    <w:rsid w:val="00D564CA"/>
    <w:rsid w:val="00D85AD2"/>
    <w:rsid w:val="00E1167F"/>
    <w:rsid w:val="00E16698"/>
    <w:rsid w:val="00E340D5"/>
    <w:rsid w:val="00E62B96"/>
    <w:rsid w:val="00ED20C5"/>
    <w:rsid w:val="00ED3AE4"/>
    <w:rsid w:val="00EE281E"/>
    <w:rsid w:val="00F42B23"/>
    <w:rsid w:val="00F73F58"/>
    <w:rsid w:val="00F92CED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467"/>
  <w15:chartTrackingRefBased/>
  <w15:docId w15:val="{49D79954-E841-42A5-98CC-F313191F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3E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7B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1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1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1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1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1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1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B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7B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13E"/>
    <w:pPr>
      <w:spacing w:before="160"/>
      <w:jc w:val="center"/>
    </w:pPr>
    <w:rPr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7B51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13E"/>
    <w:pPr>
      <w:ind w:left="720"/>
      <w:contextualSpacing/>
    </w:pPr>
    <w:rPr>
      <w:lang w:val="es-ES"/>
    </w:rPr>
  </w:style>
  <w:style w:type="character" w:styleId="nfasisintenso">
    <w:name w:val="Intense Emphasis"/>
    <w:basedOn w:val="Fuentedeprrafopredeter"/>
    <w:uiPriority w:val="21"/>
    <w:qFormat/>
    <w:rsid w:val="007B51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1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13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B5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13E"/>
    <w:rPr>
      <w:lang w:val="en-GB"/>
    </w:rPr>
  </w:style>
  <w:style w:type="character" w:styleId="Nmerodelnea">
    <w:name w:val="line number"/>
    <w:basedOn w:val="Fuentedeprrafopredeter"/>
    <w:uiPriority w:val="99"/>
    <w:semiHidden/>
    <w:unhideWhenUsed/>
    <w:rsid w:val="007B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3821</Characters>
  <Application>Microsoft Office Word</Application>
  <DocSecurity>0</DocSecurity>
  <Lines>31</Lines>
  <Paragraphs>9</Paragraphs>
  <ScaleCrop>false</ScaleCrop>
  <Company>HP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Perelló Jiménez</dc:creator>
  <cp:keywords/>
  <dc:description/>
  <cp:lastModifiedBy>Alberto Perelló Jiménez</cp:lastModifiedBy>
  <cp:revision>1</cp:revision>
  <dcterms:created xsi:type="dcterms:W3CDTF">2025-11-12T21:13:00Z</dcterms:created>
  <dcterms:modified xsi:type="dcterms:W3CDTF">2025-11-12T21:16:00Z</dcterms:modified>
</cp:coreProperties>
</file>