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E7F7F" w14:textId="77777777" w:rsidR="00C5504D" w:rsidRDefault="00C5504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E1E0DBE" w14:textId="77777777" w:rsidR="00DD007E" w:rsidRDefault="00C5504D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data</w:t>
      </w:r>
    </w:p>
    <w:p w14:paraId="52020D5C" w14:textId="77777777" w:rsidR="00DD007E" w:rsidRDefault="00DD007E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tbl>
      <w:tblPr>
        <w:tblStyle w:val="a0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55"/>
        <w:gridCol w:w="1905"/>
        <w:gridCol w:w="1245"/>
        <w:gridCol w:w="1740"/>
        <w:gridCol w:w="2115"/>
      </w:tblGrid>
      <w:tr w:rsidR="00DD007E" w14:paraId="3B1CA3CA" w14:textId="77777777"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76C5F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Treatment / tumor elimination rate (%)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54C36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CT26 MSH2KO (%)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962F8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CT26 WT (%)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6BC82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4T1 MSH2KO (%)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A76CF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B16F10 MSH2KO (%)</w:t>
            </w:r>
          </w:p>
        </w:tc>
      </w:tr>
      <w:tr w:rsidR="00DD007E" w14:paraId="731AAA2B" w14:textId="77777777"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445E3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 antibody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9F693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52876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E2682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83BCA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D007E" w14:paraId="28730CCC" w14:textId="77777777"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F2223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isotypes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D95EC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D4638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B90C3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D4815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D007E" w14:paraId="27A02BFB" w14:textId="77777777"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EA64E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anti PD1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EE105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B38C3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D504E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E9467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D007E" w14:paraId="7825F5FF" w14:textId="77777777"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3F9B3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anti TIM3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F26BC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DEAEA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9ED12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8B21D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D007E" w14:paraId="162C4273" w14:textId="77777777"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B3451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anti TIGIT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2EADB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8AED2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79146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CDBE2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D007E" w14:paraId="5E21BCA9" w14:textId="77777777"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DE4FC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anti LAG3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65BA8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71A24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2B64F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8EFBB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D007E" w14:paraId="5DEF71F8" w14:textId="77777777"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F9688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anti CTLA4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EB1E7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BC43B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3F90E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65DF5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D007E" w14:paraId="6E86DFF1" w14:textId="77777777"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41B7F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anti TREM2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FC043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F9E1B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174DB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CE9ED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D007E" w14:paraId="7194DD07" w14:textId="77777777"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A1F41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anti IFITM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DE073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B85B78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9CD34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23B97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D007E" w14:paraId="3A3931FD" w14:textId="77777777"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05930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anti PD1 TIM3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A8C2E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0C9C2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8D37F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67593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D007E" w14:paraId="4D429CD4" w14:textId="77777777"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F897B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anti PD1 TIGIT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A13F8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CD43A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6ABAE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520A8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D007E" w14:paraId="57E8EF53" w14:textId="77777777"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75C04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anti PD1 LAG3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1C79D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3BAC9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18850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72FFD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D007E" w14:paraId="7CC8768F" w14:textId="77777777"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22B15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anti PD1 CTLA4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B75A3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C99C0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322AE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65570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D007E" w14:paraId="09066D07" w14:textId="77777777"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95A17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anti PD1 CTLA4 LAG3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1EDDD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EF207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7DFF7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7F672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DD007E" w14:paraId="7558A515" w14:textId="77777777"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15173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anti PD1 CTLA4 LAG3 TREM2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E938D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F5BD8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33C37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33.33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A0683" w14:textId="77777777" w:rsidR="00DD007E" w:rsidRDefault="00C5504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14:paraId="64C1FA22" w14:textId="77777777" w:rsidR="00DD007E" w:rsidRDefault="00C5504D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Table 1) Percentage of complete tumor elimination in mice according to treatment</w:t>
      </w:r>
    </w:p>
    <w:p w14:paraId="00A5CC96" w14:textId="77777777" w:rsidR="00DD007E" w:rsidRDefault="00DD007E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3A64EFC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114300" distB="114300" distL="114300" distR="114300" wp14:anchorId="5555DB6D" wp14:editId="59CFC421">
            <wp:extent cx="6724650" cy="8769350"/>
            <wp:effectExtent l="0" t="0" r="0" b="0"/>
            <wp:docPr id="21" name="image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24987" cy="87697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E31181A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Figure 1) Effect of the TME on MSH2 KO tumor development.</w:t>
      </w:r>
    </w:p>
    <w:p w14:paraId="4C767AE1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10,000 WT CT26 thawed cells were used per spheroid in a 96 well plate.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After 1,2,3,4 and 7 days, roundness, circularity and area of CT26 spheroids were measured using ImageJ software. N=6 replicates.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MSH2 was deleted in CT26 and B16F10 cells using Crispr and cell lines were subcloned. Western Blot to assess MSH2 deletion was performed using anti-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Bactin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antibody (Abcam, clone 8226), anti MSH2 antibody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Thermo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Scientific, clone FE11) and anti-mouse secondary antibody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Thermo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Scientific, clone A28177). N=3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10,000 WT or MSH2 KO CT26 cells were used per spheroid in a 96 well plate.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After 3 days, roundness, circularity and area were measured using ImageJ software. N=6 replicates.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10,000 CT26 cells were used per spheroid in a 96 well plate.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After 28 days, the area was measured using ImageJ software. N=6 replicates.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200,000 CT26 tumors, either deleted or not for MSH2, were allowed to grow for 28 days in BALB/C mice. Tumor volume during growth (in mm3). N= 7 to 27.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Tumor engraftment rate (in %). N= 26 to 48. Mann-Whitney U Test was used for all comparisons, and the difference was deemed significant if p value&lt;0.05.</w:t>
      </w:r>
    </w:p>
    <w:p w14:paraId="7854F6FB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114300" distB="114300" distL="114300" distR="114300" wp14:anchorId="12A41689" wp14:editId="3C013281">
            <wp:extent cx="6781800" cy="8528050"/>
            <wp:effectExtent l="0" t="0" r="0" b="6350"/>
            <wp:docPr id="9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82334" cy="85287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E93F4F1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Figure 2) Immune landscape of MSH2 KO and WT tumors and spheroids, spleen and lymph nodes.</w:t>
      </w:r>
    </w:p>
    <w:p w14:paraId="3D28A1D6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CT26 tumors deleted or not for MSH2 are growing for 28 days in BALB/C mice.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Quantification of differential immune checkpoint expression and immune infiltration according to the MSI status after 14 days and 28 days. N=6 replicates, Mann-Whitney U Test, p value&lt;0.05.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Immune checkpoint expression on tumor infiltrating myeloid cells after 28 days. N=6 replicates, Mann-Whitney U Test, p value&lt;0.05.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MHC and PD-L1 expression by tumor cells after 28 days. N=6 replicates, Mann-Whitney U Test, p value&lt;0.05.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D/E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Immune production in the spleen/lymph nodes of mice injected by WT and MSH2 KO tumors after 28 days.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CT26 spheroid deleted for MSH2 are growing for 28 co-cultured with immune cells for 3 days. Splenocytes immune cells are previously labeled by cell tracker (red). Spheroid cell nuclei are labeled with Nunc blue (blue). 3D Bi-photon imaging.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10,000 CT26 cells deleted or not for MSH2 are growing for 3 days as spheroids and 100,000 PBMC from 3 spleens are activated with IL-15. Then, spheroids and PBMC are incubated for 3 days. Flow cytometry staining of spheroids after dissociation. Quantification of differential immune checkpoint expression and lymphocyte infiltration according to the MSH2 status. N=6. Mann-Whitney U Test, p value&lt;0.05</w:t>
      </w:r>
    </w:p>
    <w:p w14:paraId="5AD551F4" w14:textId="77777777" w:rsidR="00DD007E" w:rsidRDefault="00DD007E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4B5D4DB" w14:textId="77777777" w:rsidR="00DD007E" w:rsidRDefault="00DD007E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EB3BFE3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114300" distB="114300" distL="114300" distR="114300" wp14:anchorId="14FB4333" wp14:editId="064DC82F">
            <wp:extent cx="6559550" cy="8540750"/>
            <wp:effectExtent l="0" t="0" r="0" b="0"/>
            <wp:docPr id="2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7"/>
                    <a:srcRect l="1294" t="747" r="3236"/>
                    <a:stretch>
                      <a:fillRect/>
                    </a:stretch>
                  </pic:blipFill>
                  <pic:spPr>
                    <a:xfrm>
                      <a:off x="0" y="0"/>
                      <a:ext cx="6560124" cy="854149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0D51147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Figure 3) Single cell analysis of immune cells in CT26 WT and MSH2 KO tumor with or without anti-PD-1 therapy.</w:t>
      </w:r>
    </w:p>
    <w:p w14:paraId="290491E8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ScRNASeq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of immune cells in CT26 WT and MSH2 KO tumor with or without anti-PD-1 therapy.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More significantly upregulated genes in each immune cluster (Wilcoxon test).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Immune checkpoint and myeloid immunosuppressive molecule expression in each immune cluster.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Single cell analysis of WT and MSH2 KO tumor and immune cells after 28 days, with or without anti-PD-1 therapy.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cytokine production by immune cells. N=3 tumors per condition. </w:t>
      </w:r>
    </w:p>
    <w:p w14:paraId="2F5E4534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114300" distB="114300" distL="114300" distR="114300" wp14:anchorId="71055F94" wp14:editId="7630ACEB">
            <wp:extent cx="5899150" cy="8788400"/>
            <wp:effectExtent l="0" t="0" r="6350" b="0"/>
            <wp:docPr id="26" name="image2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png"/>
                    <pic:cNvPicPr preferRelativeResize="0"/>
                  </pic:nvPicPr>
                  <pic:blipFill>
                    <a:blip r:embed="rId8"/>
                    <a:srcRect t="853"/>
                    <a:stretch>
                      <a:fillRect/>
                    </a:stretch>
                  </pic:blipFill>
                  <pic:spPr>
                    <a:xfrm>
                      <a:off x="0" y="0"/>
                      <a:ext cx="5899520" cy="87889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E91A026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Figure 4) Immune infiltration in MMRd UCEC and COAD human tumors.</w:t>
      </w:r>
    </w:p>
    <w:p w14:paraId="43B9BDDA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CIBERSORT TCGA analysis of UCEC (N = 528 patients) and COAD (N = 442 patients) tumor infiltration by immune cells. Mann-Whitney U Test, p value&lt;0.05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B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Indel neoantigen load and Non-silent mutation rate in COAD and UCEC TCGA cohorts on CRI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iAtlas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Pearson correlations between immune cell proportion and DNA alteration parameters in CRI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iAtlas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TCGA UCEC (N = 543 patients) and COAD (N = 445 patients) cohort.</w:t>
      </w:r>
    </w:p>
    <w:p w14:paraId="47B52B30" w14:textId="77777777" w:rsidR="00DD007E" w:rsidRDefault="00DD007E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46A5DC" w14:textId="77777777" w:rsidR="00DD007E" w:rsidRDefault="00C5504D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114300" distB="114300" distL="114300" distR="114300" wp14:anchorId="4466B2D3" wp14:editId="32E72172">
            <wp:extent cx="6534150" cy="8572500"/>
            <wp:effectExtent l="0" t="0" r="0" b="0"/>
            <wp:docPr id="1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34426" cy="85728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D559F19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Figure 5) Single cell RNAseq analysis of immune cells in MMRd CRC patients that responded or not to anti-PD-1 therapy.</w:t>
      </w:r>
    </w:p>
    <w:p w14:paraId="28C54213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We reanalyzed human MMRd CRC patient data previously published [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Jianxia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Li et al, Cancer cell 2023] with a focus on patients that completely responded or not to anti-PD-1 therapy and the underlying T cell and macrophage profiles.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More significantly upregulated genes in immune cells in patients that responded or not to anti-PD-1 therapy (Wilcoxon test).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ScRNAseq UMAP of immune cells in patients that responded or not to anti-PD-1 therapy.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Density UMAP of immune cells in patients that responded or not to anti-PD-1 therapy.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UMAP of immune clusters following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leiden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clustering by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scanpy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More significantly upregulated genes in each immune cluster.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F/G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Immune checkpoint and myeloid immunosuppressive molecule expression in each immune cluster.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H/I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Percentage/number of cells in each immune cluster.</w:t>
      </w:r>
    </w:p>
    <w:p w14:paraId="32848B06" w14:textId="77777777" w:rsidR="00DD007E" w:rsidRDefault="00DD007E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1D640E5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114300" distB="114300" distL="114300" distR="114300" wp14:anchorId="67FACF41" wp14:editId="1BEDDD56">
            <wp:extent cx="6934200" cy="8426450"/>
            <wp:effectExtent l="0" t="0" r="0" b="0"/>
            <wp:docPr id="17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34200" cy="8426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3845142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Figure 6) Immune landscape of MSH2 KO and WT tumors, spleen and lymph nodes after anti-PD-1 therapy.</w:t>
      </w:r>
    </w:p>
    <w:p w14:paraId="762E1010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CT26 tumors deleted or not for MSH2 are growing for 28 days in BALB/C mice, with or without anti PD-1 twice a week after 14 days.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Immune checkpoint expression on tumor infiltrating myeloid cells after 28 days following anti-PD-1.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C/D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Immune production in the spleen/lymph nodes of mice injected by WT and MSH2 KO tumors after 28 days following anti-PD-1. N=6 replicates, Mann-Whitney U Test, p value&lt;0.05</w:t>
      </w:r>
    </w:p>
    <w:p w14:paraId="602B33C4" w14:textId="77777777" w:rsidR="00DD007E" w:rsidRDefault="00DD007E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6DCD14" w14:textId="77777777" w:rsidR="00DD007E" w:rsidRDefault="00DD007E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361612B" w14:textId="77777777" w:rsidR="00DD007E" w:rsidRDefault="00DD007E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9D96D7D" w14:textId="77777777" w:rsidR="00DD007E" w:rsidRDefault="00DD007E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54A1718" w14:textId="77777777" w:rsidR="00DD007E" w:rsidRDefault="00DD007E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664E6E2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114300" distB="114300" distL="114300" distR="114300" wp14:anchorId="0F50F53A" wp14:editId="2FDC6266">
            <wp:extent cx="6775450" cy="7327900"/>
            <wp:effectExtent l="0" t="0" r="0" b="0"/>
            <wp:docPr id="1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75450" cy="7327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7FA4CE9" w14:textId="77777777" w:rsidR="00DD007E" w:rsidRDefault="00C5504D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Extended Figure 7) High indel and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snv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loads and infiltration by TCF+ CD4+ and CD8+ T cells correlate with longitudinal response to ICB and immunoediting.</w:t>
      </w:r>
    </w:p>
    <w:p w14:paraId="68655431" w14:textId="77777777" w:rsidR="00DD007E" w:rsidRDefault="00C5504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Monoclonal or polyclonal CT26 tumors deleted for MSH2 are growing for 28 days in BALB/C mice, with or without anti PD-1 twice a week after 14 days.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Tumor volume in vivo over 28 days in the absence or presence of anti-PD-1 (100 µg twice a week after 14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days )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therapy (in mm3). N= 6 to 27, Mann-Whitney U Test,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pvalue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&lt;0.05.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Indel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snv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count with effect on the coding sequence following whole exome sequencing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strelka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varcode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Quantification of tumor mutational allele frequency changes following ICB. Mann-Whitney U Test,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pvalue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&lt;0.05. Quantification of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CD4 + T cell,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CD8+ T cell and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myeloid infiltration according to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the MSI status and ICB.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Quantification of MHCII expression on tumors. N=4 replicates, Mann-Whitney U Test,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pvalue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&lt;0.05 </w:t>
      </w:r>
    </w:p>
    <w:p w14:paraId="125BDBEE" w14:textId="77777777" w:rsidR="00DD007E" w:rsidRDefault="00DD007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911042A" w14:textId="77777777" w:rsidR="00DD007E" w:rsidRDefault="00DD007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CD99CC5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114300" distB="114300" distL="114300" distR="114300" wp14:anchorId="34B7C2F7" wp14:editId="08BF4464">
            <wp:extent cx="6845300" cy="6559550"/>
            <wp:effectExtent l="0" t="0" r="0" b="0"/>
            <wp:docPr id="1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45300" cy="655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35FFF6B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114300" distB="114300" distL="114300" distR="114300" wp14:anchorId="2CAF6ED2" wp14:editId="613B347F">
            <wp:extent cx="6788150" cy="4756150"/>
            <wp:effectExtent l="0" t="0" r="0" b="6350"/>
            <wp:docPr id="23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88150" cy="4756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4D67B26" w14:textId="77777777" w:rsidR="00DD007E" w:rsidRDefault="00C5504D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Extended Figure 8)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TCRseq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analysis paired with scRNAseq analysis on MMRd tumor according to anti-PD-1 therapy.</w:t>
      </w:r>
    </w:p>
    <w:p w14:paraId="533F1B06" w14:textId="77777777" w:rsidR="00DD007E" w:rsidRDefault="00C5504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scRNAseq clustering on immune cells infiltrating tumors expressing TCRs.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dataset contains only α/β T-cell receptors. Filtering to exclude all cells that don’t have at least one full pair of receptor sequences and multichain cells.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Clonal expansion, number of cells in each clonotype.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D/E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Clonotype abundance in each cluster and in each condition.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10 most abundant V-genes and exact combinations of VDJ genes.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Length distribution of CDR3 regions.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Overexpressed genes in the more abundant clonotypes.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Gene expression in clones shared between different tumor types.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Spatial localization of main CD8 and macrophage clones in MSH2 KO tumors after ICB.</w:t>
      </w:r>
    </w:p>
    <w:p w14:paraId="36FC9431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114300" distB="114300" distL="114300" distR="114300" wp14:anchorId="3759CD8B" wp14:editId="0B2F2C6F">
            <wp:extent cx="5124450" cy="8464550"/>
            <wp:effectExtent l="0" t="0" r="0" b="0"/>
            <wp:docPr id="11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24669" cy="84649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2CDDB91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Figure 9) Spatial RNAseq analysis of immune cells in CT26 WT and MSH2 KO tumor with or without ICB therapy.</w:t>
      </w:r>
    </w:p>
    <w:p w14:paraId="7E6D1340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Spatial localization of each scRNAseq immune cluster in CT26 WT and MSH2 KO tumor with or without ICB therapy. Neighborhood enrichment was performed using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scanpy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squidpy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9888CB0" w14:textId="77777777" w:rsidR="00DD007E" w:rsidRDefault="00DD007E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68A2151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114300" distB="114300" distL="114300" distR="114300" wp14:anchorId="2BC8571F" wp14:editId="3FC30DF6">
            <wp:extent cx="6654800" cy="8572500"/>
            <wp:effectExtent l="0" t="0" r="0" b="0"/>
            <wp:docPr id="5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55135" cy="85729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C2CF10D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Figure 10) Single cell RNAseq analysis of tumor cells in CT26 WT and MSH2 KO tumor with or without anti-PD-1 therapy.</w:t>
      </w:r>
    </w:p>
    <w:p w14:paraId="23284449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Density UMAP of tumor cells, after performing exclusion of immune cells, in CT26 WT and MSH2 KO tumor with or without anti-PD-1 therapy.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ScRNAseq UMAP of tumor cells in CT26 WT and MSH2 KO tumor with or without anti-PD-1 therapy, following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leiden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clustering by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scanpy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More significantly upregulated genes in tumor cells in CT26 WT and MSH2 KO tumor with or without anti-PD-1 therapy (Wilcoxon test).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D/E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Percentage/number of cells in each tumor cluster.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More significantly upregulated genes in MSH2 KO tumor cluster resisting anti-PD-1 therapy compared to cluster responding to anti-PD-1 (Wilcoxon test).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G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More significantly upregulated genes in WT tumor cluster resisting anti-PD-1 therapy compared to cluster responding to anti-PD-1 (Wilcoxon test).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More significantly upregulated genes in WT and MSH2 KO tumor clusters targeted by anti-PD-1 therapy compared to cluster resisting anti-PD-1 (Wilcoxon test) and corresponding gene enrichment analysis with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metascape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AD05FB6" w14:textId="77777777" w:rsidR="00DD007E" w:rsidRDefault="00DD007E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6F4B5FE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w:drawing>
          <wp:inline distT="114300" distB="114300" distL="114300" distR="114300" wp14:anchorId="38FB7E12" wp14:editId="23203B01">
            <wp:extent cx="6464300" cy="5803900"/>
            <wp:effectExtent l="0" t="0" r="0" b="6350"/>
            <wp:docPr id="4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64300" cy="5803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4F681D3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Figure 11) Gene enrichment analysis in immune and tumor scRNAseq clusters.</w:t>
      </w:r>
    </w:p>
    <w:p w14:paraId="2FDF7078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Gene enrichment analysis was performed using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Metascape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7">
        <w:r>
          <w:t>(</w:t>
        </w:r>
      </w:hyperlink>
      <w:hyperlink r:id="rId18">
        <w:r>
          <w:rPr>
            <w:i/>
          </w:rPr>
          <w:t>66</w:t>
        </w:r>
      </w:hyperlink>
      <w:hyperlink r:id="rId19">
        <w:r>
          <w:t>)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in immune and tumor scRNAseq clusters.</w:t>
      </w:r>
    </w:p>
    <w:p w14:paraId="29EA65F7" w14:textId="77777777" w:rsidR="00DD007E" w:rsidRDefault="00DD007E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0567B51" w14:textId="77777777" w:rsidR="00DD007E" w:rsidRDefault="00DD007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0C589F3" w14:textId="77777777" w:rsidR="00DD007E" w:rsidRDefault="00C5504D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w:drawing>
          <wp:inline distT="114300" distB="114300" distL="114300" distR="114300" wp14:anchorId="26844D43" wp14:editId="3C94CA26">
            <wp:extent cx="6781800" cy="6991350"/>
            <wp:effectExtent l="0" t="0" r="0" b="0"/>
            <wp:docPr id="12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20"/>
                    <a:srcRect l="2083"/>
                    <a:stretch>
                      <a:fillRect/>
                    </a:stretch>
                  </pic:blipFill>
                  <pic:spPr>
                    <a:xfrm>
                      <a:off x="0" y="0"/>
                      <a:ext cx="6782237" cy="699180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549F99C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Figure 12) Immune landscape of MSH2 KO and WT spheroids after anti-PD-1/CTLA4 therapy.</w:t>
      </w:r>
    </w:p>
    <w:p w14:paraId="21F99058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CT26 spheroids deleted for MSH2 are growing for 3 days and then co-cultured with or without immune cells for 3 more days and ICB. Splenocytes immune cells are previously labeled by cell tracker (red). Spheroid cell nuclei are labeled with Nunc blue (blue). 3D bi-photon imaging of spheroid infiltration by immune cells.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10,000 CT26 cells deleted or not for MSH2 are growing for 3 days as spheroids and 100,000 PBMC from 3 spleens are activated with IL-15. Then, spheroids and PBMC are incubated for 3 days. PBMC were incubated before with anti-PD-1 (10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µg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/mL). Flow cytometry staining of spheroids after dissociation. Quantification of differential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immune checkpoint expression and lymphocyte infiltration according to the MSH2 status and ICB. N=6. Mann-Whitney U Test, p value&lt;0.05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Cytokine production in spheroids measured by Luminex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/mL). N=4. Mann-Whitney U Test, p value&lt;0.05.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10,000 B16F10 cells deleted or not for MSH2 are growing for 3 days as spheroids and 100,000 PBMC from 3 spleens are activated with IL-15. Then, spheroids and PBMC are incubated for 3 days. PBMC were incubated before with anti-PD-1 or anti-CTLA4 (10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µg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/mL). Flow cytometry staining of spheroids after dissociation. Quantification of differential immune checkpoint expression and lymphocyte infiltration according to the MSH2 status and ICB. N=6. Mann-Whitney U Test, p value&lt;0.05</w:t>
      </w:r>
    </w:p>
    <w:p w14:paraId="7E233C0F" w14:textId="77777777" w:rsidR="00DD007E" w:rsidRDefault="00DD007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8C3FF37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114300" distB="114300" distL="114300" distR="114300" wp14:anchorId="331BE03C" wp14:editId="4F761BC3">
            <wp:extent cx="6813550" cy="3740150"/>
            <wp:effectExtent l="0" t="0" r="6350" b="0"/>
            <wp:docPr id="2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13550" cy="3740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222ACE3" w14:textId="77777777" w:rsidR="00DD007E" w:rsidRDefault="00C5504D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Figure 13) Machine-learning to predict ICB outcomes in CRC patients.</w:t>
      </w:r>
    </w:p>
    <w:p w14:paraId="074F3405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Cell paper and KEYNOTE 177 Gastroenterology paper data : n = 29 patients </w:t>
      </w:r>
      <w:hyperlink r:id="rId22">
        <w:r>
          <w:rPr>
            <w:sz w:val="24"/>
            <w:szCs w:val="24"/>
          </w:rPr>
          <w:t>(</w:t>
        </w:r>
      </w:hyperlink>
      <w:hyperlink r:id="rId23">
        <w:r>
          <w:rPr>
            <w:i/>
            <w:sz w:val="24"/>
            <w:szCs w:val="24"/>
          </w:rPr>
          <w:t>13</w:t>
        </w:r>
      </w:hyperlink>
      <w:hyperlink r:id="rId24">
        <w:r>
          <w:rPr>
            <w:sz w:val="24"/>
            <w:szCs w:val="24"/>
          </w:rPr>
          <w:t xml:space="preserve">, </w:t>
        </w:r>
      </w:hyperlink>
      <w:hyperlink r:id="rId25">
        <w:r>
          <w:rPr>
            <w:i/>
            <w:sz w:val="24"/>
            <w:szCs w:val="24"/>
          </w:rPr>
          <w:t>33</w:t>
        </w:r>
      </w:hyperlink>
      <w:hyperlink r:id="rId26">
        <w:r>
          <w:rPr>
            <w:sz w:val="24"/>
            <w:szCs w:val="24"/>
          </w:rPr>
          <w:t>)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 Responders n = 12. Non-responders n = 17. More A*03:01 in responders vs non-responders (Chi2 = 5.117844498910676, p-value = 0.023681014076523402). No statistical difference for other HLA. More MSIH Status in responders (Chi2 = 6.674496076839828, p-value = 0.00978021596680159). Based on MSI status and A*03:01 data, 5 machine-learning models managed to predict CRC patient response to ICB with an accuracy of 100%.</w:t>
      </w:r>
    </w:p>
    <w:p w14:paraId="048B5619" w14:textId="77777777" w:rsidR="00DD007E" w:rsidRDefault="00C5504D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114300" distB="114300" distL="114300" distR="114300" wp14:anchorId="0113EA00" wp14:editId="7404B386">
            <wp:extent cx="6178550" cy="8731250"/>
            <wp:effectExtent l="0" t="0" r="0" b="0"/>
            <wp:docPr id="6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9045" cy="8731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072C2FA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Figure 14) Impact of targeted multiple checkpoint combinations on MMRd tumor growth.</w:t>
      </w:r>
    </w:p>
    <w:p w14:paraId="7DAEF3D2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Tumor volume in vivo over time of CT26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) and 4T1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) WT and MSH2 KO cells (200,000 cells/tumor) in the absence or presence of anti-PD-1, anti-TIM3, anti-LAG3, anti-TIGIT or anti CTLA4 (100 µg twice a week after 14 days ) therapy (in mm3). N= 5 to 20 per arm. Mann-Whitney U Test, p value&lt;0.05.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3BCCB41A" w14:textId="77777777" w:rsidR="00DD007E" w:rsidRDefault="00DD007E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7262A2E" w14:textId="77777777" w:rsidR="00DD007E" w:rsidRDefault="00DD007E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E2CED4B" w14:textId="77777777" w:rsidR="00DD007E" w:rsidRDefault="00DD007E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983422" w14:textId="77777777" w:rsidR="00DD007E" w:rsidRDefault="00DD007E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614C6AE" w14:textId="77777777" w:rsidR="00DD007E" w:rsidRDefault="00C5504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114300" distB="114300" distL="114300" distR="114300" wp14:anchorId="73681E5A" wp14:editId="7C61660B">
            <wp:extent cx="6159500" cy="8528050"/>
            <wp:effectExtent l="0" t="0" r="0" b="6350"/>
            <wp:docPr id="8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59904" cy="852860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616E23E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Figure 15) Myeloid and T cell targeting therapeutic combinations overcome resistance in both MMRd and MMRp tumors and elicit robust immune memory.</w:t>
      </w:r>
    </w:p>
    <w:p w14:paraId="76F246FA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A/C/F/H </w:t>
      </w:r>
      <w:r>
        <w:rPr>
          <w:rFonts w:ascii="Times New Roman" w:eastAsia="Times New Roman" w:hAnsi="Times New Roman" w:cs="Times New Roman"/>
          <w:sz w:val="24"/>
          <w:szCs w:val="24"/>
        </w:rPr>
        <w:t>Tumor volume (mean) in vivo over time of CT26, B16F10 and 4T1 WT and MSH2 KO cells (200,000 cells/tumor) in the absence or presence of anti-PD-1, anti-TIM3, anti-LAG3, anti-TIGIT, anti-IL1B, anti-TREM2, anti-IFITM or anti CTLA4 (100 µg twice a week after 14 days ) therapy (in mm3). N= 5 to 20 per arm. Mann-Whitney U Test, p value&lt;0.05.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B/D/G/I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Complete response of CT26, B16F10 and 4T1 WT and MSH2 KO tumors after ICB combinations (%).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After CT26 MSH2 KO tumor elimination following anti-PD-1 + anti-LAG3 therapy, treatment was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stopped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and a second tumor was inoculated on the opposite flank and its growth was measured for 3 weeks. N= 5.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J </w:t>
      </w:r>
      <w:r>
        <w:rPr>
          <w:rFonts w:ascii="Times New Roman" w:eastAsia="Times New Roman" w:hAnsi="Times New Roman" w:cs="Times New Roman"/>
          <w:sz w:val="24"/>
          <w:szCs w:val="24"/>
        </w:rPr>
        <w:t>Percentage of memory T cells in spleens and lymph nodes of mice that rejected or not a CT26 MSH2 KO tumor following anti-PD-1 + anti-LAG3 after 49 days (flow cytometry).</w:t>
      </w:r>
    </w:p>
    <w:p w14:paraId="4799D896" w14:textId="77777777" w:rsidR="00DD007E" w:rsidRDefault="00DD007E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16BE64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114300" distB="114300" distL="114300" distR="114300" wp14:anchorId="3F949DDF" wp14:editId="437940D0">
            <wp:extent cx="6146800" cy="8553450"/>
            <wp:effectExtent l="0" t="0" r="6350" b="0"/>
            <wp:docPr id="3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7344" cy="855420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793029B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Figure 16) TCF+ T cells, neutrophils and macrophages orchestrate the response to targeted checkpoint/myeloid combinations.</w:t>
      </w:r>
    </w:p>
    <w:p w14:paraId="4DD7CCF3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WT and MSH2 KO CT26 tumors are growing 28 days in absence or presence of anti-PD-1, anti-TIM3, anti-LAG3 or anti-TIGIT (100 µg twice a week after 14 days ) therapy.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Linear regression, intratumoral immune infiltration and according to tumor weight, ICB and MSI status (flow cytometry).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B/C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Linear regression, immune composition in spleens and lymph nodes according to tumor weight, ICB and MSI status (flow cytometry). N= 79. Mann-Whitney U Test, p value&lt;0.05.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D/E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10,000 MMRd CRC patient-derived cells are growing for 3 days as spheroids and 100,000 PBMC from 3 donors are activated with IL-15. Then, spheroids and PBMC are incubated for 3 days. PBMC were incubated before with anti-PD-1, anti-TIM3 and anti-LAG3 (10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µg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/mL).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Immune cells are previously labeled by cell tracker (red). Spheroid cell nuclei are labeled with Nunc blue (blue). 3D Bi-photon imaging.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Flow cytometry staining of spheroids after dissociation. Quantification of differential immune checkpoint expression and lymphocyte infiltration according to ICB. N=4. Mann-Whitney U Test, p value&lt;0.05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Immune composition in spleens of mice with MSH2 KO CT26 tumors according to the addition of PD1/LAG3 blockade +/- IL1B blockade (flow cytometry).</w:t>
      </w:r>
    </w:p>
    <w:p w14:paraId="6ADE5B8B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114300" distB="114300" distL="114300" distR="114300" wp14:anchorId="1DB84C5F" wp14:editId="4256A610">
            <wp:extent cx="6819900" cy="8045450"/>
            <wp:effectExtent l="0" t="0" r="0" b="0"/>
            <wp:docPr id="19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19900" cy="8045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F6AD875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Figure 17) Impact of targeted multiple checkpoint combinations on MMRd tumor infiltration and immune composition in spleens and lymph nodes.</w:t>
      </w:r>
    </w:p>
    <w:p w14:paraId="70FEEF2C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CT26 and B16F10 WT and MSH2 KO tumors are growing 28 days in absence or presence of anti-PD-1, anti-TIM3, anti-LAG3 or anti-TIGIT (100 µg twice a week after 14 days ) therapy.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A/B/E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Quantification by flow cytometry of differential immune checkpoint and lymphocyte infiltration expression according to the MSI status and ICB.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C/D/F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Immune composition in spleens and lymph nodes according to complete response following multiple ICB therapy. Responders are defined as free-tumor mice. N= 4. Mann-Whitney U Test, p value&lt;0.05. </w:t>
      </w:r>
    </w:p>
    <w:p w14:paraId="7F2A4FC2" w14:textId="77777777" w:rsidR="00DD007E" w:rsidRDefault="00DD007E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542D185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114300" distB="114300" distL="114300" distR="114300" wp14:anchorId="112D8D94" wp14:editId="1B9D3179">
            <wp:extent cx="6838950" cy="2559050"/>
            <wp:effectExtent l="0" t="0" r="0" b="0"/>
            <wp:docPr id="16" name="image2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 preferRelativeResize="0"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38950" cy="255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F6CA186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Figure 18) Immune infiltration of MSH2 KO CT26 and 4T1 tumors.</w:t>
      </w:r>
    </w:p>
    <w:p w14:paraId="457D7316" w14:textId="77777777" w:rsidR="00DD007E" w:rsidRDefault="00C5504D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CT26 and 4T1 tumors deleted or not for MSH2 are growing for 21 days in BALB/C mice. Quantification of differential immune checkpoint and lymphocyte infiltration expression according to the MSI status and ICB. N=8 replicates, Mann-Whitney U Test, p value&lt;0.05 </w:t>
      </w:r>
    </w:p>
    <w:p w14:paraId="78B4F1EC" w14:textId="77777777" w:rsidR="00DD007E" w:rsidRDefault="00DD007E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0B1F042" w14:textId="77777777" w:rsidR="00DD007E" w:rsidRDefault="00DD007E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55AE1D3" w14:textId="77777777" w:rsidR="00DD007E" w:rsidRDefault="00DD007E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A96514B" w14:textId="77777777" w:rsidR="00DD007E" w:rsidRDefault="00DD007E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3B96478" w14:textId="77777777" w:rsidR="00DD007E" w:rsidRDefault="00DD007E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A50083D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114300" distB="114300" distL="114300" distR="114300" wp14:anchorId="787FA61A" wp14:editId="541427A8">
            <wp:extent cx="6781800" cy="6140450"/>
            <wp:effectExtent l="0" t="0" r="0" b="0"/>
            <wp:docPr id="18" name="image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 preferRelativeResize="0"/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81800" cy="6140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B58F249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Figure 19) T cell and monocyte infiltration in human MMRd CRC spheroids</w:t>
      </w:r>
    </w:p>
    <w:p w14:paraId="1E53CA77" w14:textId="77777777" w:rsidR="00DD007E" w:rsidRDefault="00C5504D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MMRd CRC human spheroids were amplified for 7 days, with n=10,000 CRC cells per spheroid and the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Spherotribe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kit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Idylle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). In parallel, T cells and monocytes from blood were labeled with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DeepRed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DeepGreen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cell trackers for 30min respectively. Monocytes and T cells were added to spheroids (10,000 monocytes and 100,000 T cells per spheroid). Spheroids were washed to remove non-infiltrating immune cells before analysis.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After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5 days, spheroid size and subsequent immune attraction was evaluated by microscopy and ImageJ.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Spheroid infiltration by monocytes and T cells and 3D aggregate formation were shown with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BiPhoton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Murine T cell phenotype and MMRd spheroid killing following coculture with Macrophages from tumor or LN of mice bearing CT26 MSH2 KO tumors treated with anti-PD-1 or anti-PD-1/LAG3/CTLA4/TREM2. N= 4 replicates, Mann-Whitney U Test, p value&lt;0.05</w:t>
      </w:r>
    </w:p>
    <w:p w14:paraId="0F8AF919" w14:textId="77777777" w:rsidR="00DD007E" w:rsidRDefault="00DD007E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DD007E" w:rsidSect="00C5504D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4A4AAF2-9A6D-4856-A5FE-617CDA1B4F4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4132ADF6-9F6A-4AB3-BFFD-286F461B9BE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F2313D"/>
    <w:multiLevelType w:val="multilevel"/>
    <w:tmpl w:val="5840E2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139110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07E"/>
    <w:rsid w:val="000C52A7"/>
    <w:rsid w:val="00C378FF"/>
    <w:rsid w:val="00C5504D"/>
    <w:rsid w:val="00DD0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FF863"/>
  <w15:docId w15:val="{154D1130-86FA-4ABA-A996-69738D05B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hyperlink" Target="https://www.zotero.org/google-docs/?fmfLIG" TargetMode="External"/><Relationship Id="rId26" Type="http://schemas.openxmlformats.org/officeDocument/2006/relationships/hyperlink" Target="https://www.zotero.org/google-docs/?dl3EtS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hyperlink" Target="https://www.zotero.org/google-docs/?fmfLIG" TargetMode="External"/><Relationship Id="rId25" Type="http://schemas.openxmlformats.org/officeDocument/2006/relationships/hyperlink" Target="https://www.zotero.org/google-docs/?dl3EtS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3.png"/><Relationship Id="rId29" Type="http://schemas.openxmlformats.org/officeDocument/2006/relationships/image" Target="media/image17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hyperlink" Target="https://www.zotero.org/google-docs/?dl3EtS" TargetMode="External"/><Relationship Id="rId32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hyperlink" Target="https://www.zotero.org/google-docs/?dl3EtS" TargetMode="External"/><Relationship Id="rId28" Type="http://schemas.openxmlformats.org/officeDocument/2006/relationships/image" Target="media/image16.png"/><Relationship Id="rId10" Type="http://schemas.openxmlformats.org/officeDocument/2006/relationships/image" Target="media/image6.png"/><Relationship Id="rId19" Type="http://schemas.openxmlformats.org/officeDocument/2006/relationships/hyperlink" Target="https://www.zotero.org/google-docs/?fmfLIG" TargetMode="External"/><Relationship Id="rId31" Type="http://schemas.openxmlformats.org/officeDocument/2006/relationships/image" Target="media/image19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hyperlink" Target="https://www.zotero.org/google-docs/?dl3EtS" TargetMode="External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8" Type="http://schemas.openxmlformats.org/officeDocument/2006/relationships/image" Target="media/image4.png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31</Pages>
  <Words>2627</Words>
  <Characters>13556</Characters>
  <Application>Microsoft Office Word</Application>
  <DocSecurity>0</DocSecurity>
  <Lines>338</Lines>
  <Paragraphs>148</Paragraphs>
  <ScaleCrop>false</ScaleCrop>
  <Company>The Mount Sinai Health System</Company>
  <LinksUpToDate>false</LinksUpToDate>
  <CharactersWithSpaces>16035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Bhushan Tandale</cp:lastModifiedBy>
  <cp:revision>3</cp:revision>
  <dcterms:created xsi:type="dcterms:W3CDTF">2025-11-04T22:26:00Z</dcterms:created>
  <dcterms:modified xsi:type="dcterms:W3CDTF">2025-12-08T07:23:00Z</dcterms:modified>
</cp:coreProperties>
</file>