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4B1C" w:rsidRPr="007149EE" w:rsidRDefault="00A34B1C" w:rsidP="00A34B1C">
      <w:pPr>
        <w:adjustRightInd w:val="0"/>
        <w:snapToGrid w:val="0"/>
        <w:spacing w:line="480" w:lineRule="auto"/>
        <w:rPr>
          <w:rFonts w:ascii="Calibri" w:hAnsi="Calibri" w:cs="Calibri"/>
          <w:color w:val="000000" w:themeColor="text1"/>
        </w:rPr>
      </w:pPr>
      <w:r w:rsidRPr="00C201EE">
        <w:rPr>
          <w:rFonts w:ascii="Calibri" w:hAnsi="Calibri" w:cs="Calibri"/>
        </w:rPr>
        <w:t xml:space="preserve">Figure </w:t>
      </w:r>
      <w:r>
        <w:rPr>
          <w:rFonts w:ascii="Calibri" w:hAnsi="Calibri" w:cs="Calibri"/>
        </w:rPr>
        <w:t>S</w:t>
      </w:r>
      <w:r w:rsidRPr="00C201EE">
        <w:rPr>
          <w:rFonts w:ascii="Calibri" w:hAnsi="Calibri" w:cs="Calibri"/>
        </w:rPr>
        <w:t>1</w:t>
      </w:r>
    </w:p>
    <w:p w:rsidR="00A34B1C" w:rsidRPr="00C201EE" w:rsidRDefault="00A34B1C" w:rsidP="00A34B1C">
      <w:pPr>
        <w:spacing w:line="480" w:lineRule="auto"/>
        <w:rPr>
          <w:rFonts w:ascii="Calibri" w:hAnsi="Calibri" w:cs="Calibri"/>
        </w:rPr>
      </w:pPr>
      <w:r w:rsidRPr="00C201EE">
        <w:rPr>
          <w:rFonts w:ascii="Calibri" w:hAnsi="Calibri" w:cs="Calibri"/>
          <w:noProof/>
        </w:rPr>
        <w:drawing>
          <wp:inline distT="0" distB="0" distL="0" distR="0" wp14:anchorId="3DCA7879" wp14:editId="1B7C924D">
            <wp:extent cx="5943600" cy="3620135"/>
            <wp:effectExtent l="0" t="0" r="0" b="0"/>
            <wp:docPr id="3" name="Picture 2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15F90C1-0DFF-4B5F-B1E5-6EA86DD6067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315F90C1-0DFF-4B5F-B1E5-6EA86DD6067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2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B1C" w:rsidRDefault="00A34B1C" w:rsidP="00A34B1C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Figure S1: Consort diagram of breast tissue and peripheral blood samples. </w:t>
      </w:r>
    </w:p>
    <w:p w:rsidR="00A34B1C" w:rsidRDefault="00A34B1C" w:rsidP="00A34B1C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>Figure S2</w:t>
      </w:r>
    </w:p>
    <w:p w:rsidR="00A34B1C" w:rsidRDefault="00A34B1C" w:rsidP="00A34B1C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52413A87" wp14:editId="2B6F38DE">
            <wp:extent cx="6713921" cy="3097298"/>
            <wp:effectExtent l="0" t="0" r="4445" b="1905"/>
            <wp:docPr id="2" name="Picture 2" descr="Diagram,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, calendar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3921" cy="3097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B1C" w:rsidRDefault="00A34B1C" w:rsidP="00A34B1C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Figure S2: Correlations between age and six epigenetic clocks in controls (top row) and cases (bottom row) in breast tissue. </w:t>
      </w:r>
    </w:p>
    <w:p w:rsidR="00A34B1C" w:rsidRDefault="00A34B1C" w:rsidP="00A34B1C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Figure S3</w:t>
      </w:r>
    </w:p>
    <w:p w:rsidR="00A34B1C" w:rsidRDefault="00A34B1C" w:rsidP="00A34B1C">
      <w:pPr>
        <w:spacing w:line="480" w:lineRule="auto"/>
        <w:rPr>
          <w:rFonts w:ascii="Calibri" w:hAnsi="Calibri" w:cs="Calibri"/>
        </w:rPr>
      </w:pPr>
    </w:p>
    <w:p w:rsidR="00A34B1C" w:rsidRPr="00C201EE" w:rsidRDefault="00A34B1C" w:rsidP="00A34B1C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64E55EBC" wp14:editId="4E703414">
            <wp:extent cx="5943600" cy="5943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B1C" w:rsidRDefault="00A34B1C" w:rsidP="00A34B1C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Figure S3: </w:t>
      </w:r>
      <w:r w:rsidRPr="00C201EE">
        <w:rPr>
          <w:rFonts w:ascii="Calibri" w:hAnsi="Calibri" w:cs="Calibri"/>
        </w:rPr>
        <w:t xml:space="preserve">Epigenetic clock accelerations </w:t>
      </w:r>
      <w:r>
        <w:rPr>
          <w:rFonts w:ascii="Calibri" w:hAnsi="Calibri" w:cs="Calibri"/>
        </w:rPr>
        <w:t>in cases (normal breast tissue &gt;3cm away from breast tumor in breast cancer patients) and controls (normal breast tissue from healthy individuals)</w:t>
      </w:r>
      <w:r w:rsidRPr="00C201EE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adjusted for confounders (race, smoking, BMI)</w:t>
      </w:r>
    </w:p>
    <w:p w:rsidR="00A34B1C" w:rsidRDefault="00A34B1C" w:rsidP="00A34B1C">
      <w:pPr>
        <w:spacing w:line="480" w:lineRule="auto"/>
        <w:rPr>
          <w:rFonts w:ascii="Calibri" w:hAnsi="Calibri" w:cs="Calibri"/>
        </w:rPr>
      </w:pPr>
    </w:p>
    <w:p w:rsidR="00A34B1C" w:rsidRDefault="00A34B1C" w:rsidP="00A34B1C">
      <w:pPr>
        <w:spacing w:line="480" w:lineRule="auto"/>
        <w:rPr>
          <w:rFonts w:ascii="Calibri" w:hAnsi="Calibri" w:cs="Calibri"/>
        </w:rPr>
      </w:pPr>
    </w:p>
    <w:p w:rsidR="00A34B1C" w:rsidRDefault="00A34B1C" w:rsidP="00A34B1C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Figure S4: </w:t>
      </w:r>
      <w:r>
        <w:rPr>
          <w:rFonts w:ascii="Calibri" w:hAnsi="Calibri" w:cs="Calibri"/>
          <w:noProof/>
        </w:rPr>
        <w:drawing>
          <wp:inline distT="0" distB="0" distL="0" distR="0" wp14:anchorId="634BA5C6" wp14:editId="68239963">
            <wp:extent cx="5943600" cy="2701925"/>
            <wp:effectExtent l="0" t="0" r="0" b="3175"/>
            <wp:docPr id="6" name="Picture 6" descr="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Scatter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0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B1C" w:rsidRPr="00C201EE" w:rsidRDefault="00A34B1C" w:rsidP="00A34B1C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Figure S4: Correlations between age and epigenetic clocks in controls (top row) and cases (bottom row) in peripheral blood. </w:t>
      </w:r>
      <w:bookmarkStart w:id="0" w:name="_GoBack"/>
      <w:bookmarkEnd w:id="0"/>
    </w:p>
    <w:p w:rsidR="00A34B1C" w:rsidRPr="00C201EE" w:rsidRDefault="00A34B1C" w:rsidP="00A34B1C">
      <w:pPr>
        <w:spacing w:line="480" w:lineRule="auto"/>
        <w:rPr>
          <w:rFonts w:ascii="Calibri" w:hAnsi="Calibri" w:cs="Calibri"/>
        </w:rPr>
      </w:pPr>
    </w:p>
    <w:p w:rsidR="00A34B1C" w:rsidRPr="00C201EE" w:rsidRDefault="00A34B1C" w:rsidP="00A34B1C">
      <w:pPr>
        <w:spacing w:line="480" w:lineRule="auto"/>
        <w:rPr>
          <w:rFonts w:ascii="Calibri" w:hAnsi="Calibri" w:cs="Calibri"/>
        </w:rPr>
      </w:pPr>
    </w:p>
    <w:p w:rsidR="00A34B1C" w:rsidRDefault="00A34B1C" w:rsidP="00A34B1C">
      <w:pPr>
        <w:spacing w:line="480" w:lineRule="auto"/>
        <w:rPr>
          <w:rFonts w:ascii="Calibri" w:hAnsi="Calibri" w:cs="Calibri"/>
        </w:rPr>
      </w:pPr>
    </w:p>
    <w:p w:rsidR="00A34B1C" w:rsidRDefault="00A34B1C" w:rsidP="00A34B1C">
      <w:pPr>
        <w:spacing w:line="480" w:lineRule="auto"/>
        <w:rPr>
          <w:rFonts w:ascii="Calibri" w:hAnsi="Calibri" w:cs="Calibri"/>
        </w:rPr>
      </w:pPr>
    </w:p>
    <w:p w:rsidR="00A34B1C" w:rsidRDefault="00A34B1C" w:rsidP="00A34B1C">
      <w:pPr>
        <w:spacing w:line="480" w:lineRule="auto"/>
        <w:rPr>
          <w:rFonts w:ascii="Calibri" w:hAnsi="Calibri" w:cs="Calibri"/>
        </w:rPr>
      </w:pPr>
    </w:p>
    <w:p w:rsidR="00A34B1C" w:rsidRDefault="00A34B1C" w:rsidP="00A34B1C">
      <w:pPr>
        <w:adjustRightInd w:val="0"/>
        <w:snapToGrid w:val="0"/>
        <w:spacing w:line="480" w:lineRule="auto"/>
        <w:rPr>
          <w:rFonts w:ascii="Calibri" w:hAnsi="Calibri" w:cs="Calibri"/>
          <w:color w:val="000000" w:themeColor="text1"/>
          <w:spacing w:val="-1"/>
        </w:rPr>
      </w:pPr>
    </w:p>
    <w:p w:rsidR="00A34B1C" w:rsidRDefault="00A34B1C" w:rsidP="00A34B1C">
      <w:pPr>
        <w:adjustRightInd w:val="0"/>
        <w:snapToGrid w:val="0"/>
        <w:spacing w:line="480" w:lineRule="auto"/>
        <w:rPr>
          <w:rFonts w:ascii="Calibri" w:hAnsi="Calibri" w:cs="Calibri"/>
          <w:color w:val="000000" w:themeColor="text1"/>
          <w:spacing w:val="-1"/>
        </w:rPr>
      </w:pPr>
    </w:p>
    <w:p w:rsidR="00A34B1C" w:rsidRDefault="00A34B1C" w:rsidP="00A34B1C">
      <w:pPr>
        <w:spacing w:line="480" w:lineRule="auto"/>
        <w:rPr>
          <w:rFonts w:ascii="Calibri" w:hAnsi="Calibri" w:cs="Calibri"/>
        </w:rPr>
      </w:pPr>
    </w:p>
    <w:p w:rsidR="00A34B1C" w:rsidRDefault="00A34B1C" w:rsidP="00A34B1C">
      <w:pPr>
        <w:spacing w:line="480" w:lineRule="auto"/>
        <w:rPr>
          <w:rFonts w:ascii="Calibri" w:hAnsi="Calibri" w:cs="Calibri"/>
        </w:rPr>
      </w:pPr>
    </w:p>
    <w:p w:rsidR="00A34B1C" w:rsidRDefault="00A34B1C" w:rsidP="00A34B1C">
      <w:pPr>
        <w:spacing w:line="480" w:lineRule="auto"/>
        <w:rPr>
          <w:rFonts w:ascii="Calibri" w:hAnsi="Calibri" w:cs="Calibri"/>
        </w:rPr>
      </w:pPr>
    </w:p>
    <w:p w:rsidR="00A34B1C" w:rsidRDefault="00A34B1C" w:rsidP="00A34B1C">
      <w:pPr>
        <w:tabs>
          <w:tab w:val="left" w:pos="2431"/>
        </w:tabs>
        <w:spacing w:line="480" w:lineRule="auto"/>
        <w:rPr>
          <w:rFonts w:ascii="Calibri" w:hAnsi="Calibri" w:cs="Calibri"/>
          <w:b/>
          <w:bCs/>
        </w:rPr>
      </w:pPr>
    </w:p>
    <w:p w:rsidR="00A34B1C" w:rsidRDefault="00A34B1C" w:rsidP="00A34B1C">
      <w:pPr>
        <w:tabs>
          <w:tab w:val="left" w:pos="2431"/>
        </w:tabs>
        <w:spacing w:line="480" w:lineRule="auto"/>
        <w:rPr>
          <w:rFonts w:ascii="Calibri" w:hAnsi="Calibri" w:cs="Calibri"/>
          <w:b/>
          <w:bCs/>
        </w:rPr>
      </w:pPr>
    </w:p>
    <w:p w:rsidR="00A34B1C" w:rsidRDefault="00A34B1C" w:rsidP="00A34B1C">
      <w:pPr>
        <w:tabs>
          <w:tab w:val="left" w:pos="2431"/>
        </w:tabs>
        <w:spacing w:line="480" w:lineRule="auto"/>
        <w:rPr>
          <w:rFonts w:ascii="Calibri" w:hAnsi="Calibri" w:cs="Calibri"/>
        </w:rPr>
      </w:pPr>
    </w:p>
    <w:p w:rsidR="00A34B1C" w:rsidRDefault="00A34B1C" w:rsidP="00A34B1C">
      <w:pPr>
        <w:tabs>
          <w:tab w:val="left" w:pos="2431"/>
        </w:tabs>
        <w:spacing w:line="480" w:lineRule="auto"/>
        <w:rPr>
          <w:rFonts w:ascii="Calibri" w:hAnsi="Calibri" w:cs="Calibri"/>
        </w:rPr>
      </w:pPr>
    </w:p>
    <w:p w:rsidR="00A34B1C" w:rsidRDefault="00A34B1C" w:rsidP="00A34B1C">
      <w:pPr>
        <w:tabs>
          <w:tab w:val="left" w:pos="2431"/>
        </w:tabs>
        <w:spacing w:line="480" w:lineRule="auto"/>
        <w:rPr>
          <w:rFonts w:ascii="Calibri" w:hAnsi="Calibri" w:cs="Calibri"/>
        </w:rPr>
      </w:pPr>
    </w:p>
    <w:p w:rsidR="00A34B1C" w:rsidRDefault="00A34B1C" w:rsidP="00A34B1C">
      <w:pPr>
        <w:tabs>
          <w:tab w:val="left" w:pos="2431"/>
        </w:tabs>
        <w:spacing w:line="480" w:lineRule="auto"/>
        <w:rPr>
          <w:rFonts w:ascii="Calibri" w:hAnsi="Calibri" w:cs="Calibri"/>
        </w:rPr>
      </w:pPr>
    </w:p>
    <w:p w:rsidR="00A34B1C" w:rsidRPr="00D16F0C" w:rsidRDefault="00A34B1C" w:rsidP="00A34B1C">
      <w:pPr>
        <w:tabs>
          <w:tab w:val="left" w:pos="2431"/>
        </w:tabs>
        <w:spacing w:line="480" w:lineRule="auto"/>
        <w:rPr>
          <w:rFonts w:ascii="Calibri" w:hAnsi="Calibri" w:cs="Calibri"/>
        </w:rPr>
      </w:pPr>
      <w:r w:rsidRPr="00D16F0C">
        <w:rPr>
          <w:rFonts w:ascii="Calibri" w:hAnsi="Calibri" w:cs="Calibri"/>
        </w:rPr>
        <w:t>Figure S</w:t>
      </w:r>
      <w:r>
        <w:rPr>
          <w:rFonts w:ascii="Calibri" w:hAnsi="Calibri" w:cs="Calibri"/>
        </w:rPr>
        <w:t>5</w:t>
      </w:r>
    </w:p>
    <w:p w:rsidR="00A34B1C" w:rsidRDefault="00A34B1C" w:rsidP="00A34B1C">
      <w:pPr>
        <w:tabs>
          <w:tab w:val="left" w:pos="2431"/>
        </w:tabs>
        <w:spacing w:line="480" w:lineRule="auto"/>
        <w:rPr>
          <w:rFonts w:ascii="Calibri" w:hAnsi="Calibri" w:cs="Calibri"/>
          <w:b/>
          <w:bCs/>
        </w:rPr>
      </w:pPr>
    </w:p>
    <w:p w:rsidR="00A34B1C" w:rsidRDefault="00A34B1C" w:rsidP="00A34B1C">
      <w:pPr>
        <w:tabs>
          <w:tab w:val="left" w:pos="2431"/>
        </w:tabs>
        <w:spacing w:line="48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 wp14:anchorId="0F3DE272" wp14:editId="5424D780">
            <wp:extent cx="5943600" cy="24765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B1C" w:rsidRPr="00030E43" w:rsidRDefault="00A34B1C" w:rsidP="00A34B1C">
      <w:pPr>
        <w:spacing w:line="480" w:lineRule="auto"/>
        <w:rPr>
          <w:rFonts w:ascii="Calibri" w:eastAsia="Times New Roman" w:hAnsi="Calibri" w:cs="Times New Roman"/>
        </w:rPr>
      </w:pPr>
      <w:r w:rsidRPr="00030E43">
        <w:rPr>
          <w:rFonts w:ascii="Calibri" w:hAnsi="Calibri" w:cs="Calibri"/>
        </w:rPr>
        <w:t xml:space="preserve">Figure S5: </w:t>
      </w:r>
      <w:r w:rsidRPr="00030E43">
        <w:rPr>
          <w:rFonts w:ascii="Calibri" w:eastAsia="Times New Roman" w:hAnsi="Calibri" w:cs="Segoe UI"/>
          <w:color w:val="201F1E"/>
          <w:shd w:val="clear" w:color="auto" w:fill="FFFFFF"/>
        </w:rPr>
        <w:t xml:space="preserve">Using the </w:t>
      </w:r>
      <w:proofErr w:type="spellStart"/>
      <w:r w:rsidRPr="00030E43">
        <w:rPr>
          <w:rFonts w:ascii="Calibri" w:eastAsia="Times New Roman" w:hAnsi="Calibri" w:cs="Segoe UI"/>
          <w:color w:val="201F1E"/>
          <w:shd w:val="clear" w:color="auto" w:fill="FFFFFF"/>
        </w:rPr>
        <w:t>CpGs</w:t>
      </w:r>
      <w:proofErr w:type="spellEnd"/>
      <w:r w:rsidRPr="00030E43">
        <w:rPr>
          <w:rFonts w:ascii="Calibri" w:eastAsia="Times New Roman" w:hAnsi="Calibri" w:cs="Segoe UI"/>
          <w:color w:val="201F1E"/>
          <w:shd w:val="clear" w:color="auto" w:fill="FFFFFF"/>
        </w:rPr>
        <w:t xml:space="preserve"> in the Levine clock that are associated with </w:t>
      </w:r>
      <w:proofErr w:type="spellStart"/>
      <w:r w:rsidRPr="00030E43">
        <w:rPr>
          <w:rFonts w:ascii="Calibri" w:eastAsia="Times New Roman" w:hAnsi="Calibri" w:cs="Segoe UI"/>
          <w:color w:val="201F1E"/>
          <w:shd w:val="clear" w:color="auto" w:fill="FFFFFF"/>
        </w:rPr>
        <w:t>polycomb</w:t>
      </w:r>
      <w:proofErr w:type="spellEnd"/>
      <w:r w:rsidRPr="00030E43">
        <w:rPr>
          <w:rFonts w:ascii="Calibri" w:eastAsia="Times New Roman" w:hAnsi="Calibri" w:cs="Segoe UI"/>
          <w:color w:val="201F1E"/>
          <w:shd w:val="clear" w:color="auto" w:fill="FFFFFF"/>
        </w:rPr>
        <w:t xml:space="preserve"> related genes, we estimated </w:t>
      </w:r>
      <w:proofErr w:type="spellStart"/>
      <w:r w:rsidRPr="00030E43">
        <w:rPr>
          <w:rFonts w:ascii="Calibri" w:eastAsia="Times New Roman" w:hAnsi="Calibri" w:cs="Segoe UI"/>
          <w:color w:val="201F1E"/>
          <w:shd w:val="clear" w:color="auto" w:fill="FFFFFF"/>
        </w:rPr>
        <w:t>Mahalanobis</w:t>
      </w:r>
      <w:proofErr w:type="spellEnd"/>
      <w:r w:rsidRPr="00030E43">
        <w:rPr>
          <w:rFonts w:ascii="Calibri" w:eastAsia="Times New Roman" w:hAnsi="Calibri" w:cs="Segoe UI"/>
          <w:color w:val="201F1E"/>
          <w:shd w:val="clear" w:color="auto" w:fill="FFFFFF"/>
        </w:rPr>
        <w:t xml:space="preserve"> distance using DNA methylation levels from breast tumor samples as a reference. We then tested whether samples became more tumor like (lower distance) with age in cases (A) and controls (B). When comparing cases to controls, we found that cases had a DNA methylation profile with a lower </w:t>
      </w:r>
      <w:proofErr w:type="spellStart"/>
      <w:r w:rsidRPr="00030E43">
        <w:rPr>
          <w:rFonts w:ascii="Calibri" w:eastAsia="Times New Roman" w:hAnsi="Calibri" w:cs="Segoe UI"/>
          <w:color w:val="201F1E"/>
          <w:shd w:val="clear" w:color="auto" w:fill="FFFFFF"/>
        </w:rPr>
        <w:t>Mahalanobis</w:t>
      </w:r>
      <w:proofErr w:type="spellEnd"/>
      <w:r w:rsidRPr="00030E43">
        <w:rPr>
          <w:rFonts w:ascii="Calibri" w:eastAsia="Times New Roman" w:hAnsi="Calibri" w:cs="Segoe UI"/>
          <w:color w:val="201F1E"/>
          <w:shd w:val="clear" w:color="auto" w:fill="FFFFFF"/>
        </w:rPr>
        <w:t xml:space="preserve"> distance suggesting they were more breast tumor like (C).</w:t>
      </w:r>
    </w:p>
    <w:p w:rsidR="00390883" w:rsidRDefault="00A34B1C"/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B1C"/>
    <w:rsid w:val="001A6D85"/>
    <w:rsid w:val="006E330B"/>
    <w:rsid w:val="00A34B1C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5537D"/>
  <w15:chartTrackingRefBased/>
  <w15:docId w15:val="{96D8392D-4FD2-4C5A-B368-F31EAC233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B1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4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2021-09-03T12:26:00Z</dcterms:created>
  <dcterms:modified xsi:type="dcterms:W3CDTF">2021-09-03T12:32:00Z</dcterms:modified>
</cp:coreProperties>
</file>