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D06A6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>Supplementary Figure 1.</w:t>
      </w:r>
      <w:r w:rsidRPr="00F31DC8">
        <w:rPr>
          <w:lang w:val="en-US"/>
        </w:rPr>
        <w:t xml:space="preserve"> Panel </w:t>
      </w:r>
      <w:r w:rsidRPr="00F31DC8">
        <w:rPr>
          <w:b/>
          <w:lang w:val="en-US"/>
        </w:rPr>
        <w:t xml:space="preserve">(A). </w:t>
      </w:r>
      <w:r w:rsidRPr="00F31DC8">
        <w:rPr>
          <w:lang w:val="en-US"/>
        </w:rPr>
        <w:t xml:space="preserve">Representative SCRINSHOT image showing the spatial distribution of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 xml:space="preserve"> with epicardial (</w:t>
      </w:r>
      <w:r w:rsidRPr="00F31DC8">
        <w:rPr>
          <w:i/>
          <w:lang w:val="en-US"/>
        </w:rPr>
        <w:t>Col1a2</w:t>
      </w:r>
      <w:r w:rsidRPr="00F31DC8">
        <w:rPr>
          <w:lang w:val="en-US"/>
        </w:rPr>
        <w:t>), endocardial (</w:t>
      </w:r>
      <w:proofErr w:type="spellStart"/>
      <w:r w:rsidRPr="00F31DC8">
        <w:rPr>
          <w:i/>
          <w:lang w:val="en-US"/>
        </w:rPr>
        <w:t>Pecam</w:t>
      </w:r>
      <w:proofErr w:type="spellEnd"/>
      <w:r w:rsidRPr="00F31DC8">
        <w:rPr>
          <w:lang w:val="en-US"/>
        </w:rPr>
        <w:t>) and myocardial (</w:t>
      </w:r>
      <w:r w:rsidRPr="00F31DC8">
        <w:rPr>
          <w:i/>
          <w:lang w:val="en-US"/>
        </w:rPr>
        <w:t>Tnnt2</w:t>
      </w:r>
      <w:r w:rsidRPr="00F31DC8">
        <w:rPr>
          <w:lang w:val="en-US"/>
        </w:rPr>
        <w:t xml:space="preserve">) markers at E13.5 embryonic stage. Quantification is shown as a heatmap, where </w:t>
      </w:r>
      <w:proofErr w:type="gramStart"/>
      <w:r w:rsidRPr="00F31DC8">
        <w:rPr>
          <w:lang w:val="en-US"/>
        </w:rPr>
        <w:t>green color</w:t>
      </w:r>
      <w:proofErr w:type="gramEnd"/>
      <w:r w:rsidRPr="00F31DC8">
        <w:rPr>
          <w:lang w:val="en-US"/>
        </w:rPr>
        <w:t xml:space="preserve"> represents higher colocalization percentages and red indicates lower levels. Higher colocalization is observed at early embryonic stages and transient increases at P2. Panel </w:t>
      </w:r>
      <w:r w:rsidRPr="00F31DC8">
        <w:rPr>
          <w:b/>
          <w:lang w:val="en-US"/>
        </w:rPr>
        <w:t>(B).</w:t>
      </w:r>
      <w:r w:rsidRPr="00F31DC8">
        <w:rPr>
          <w:lang w:val="en-US"/>
        </w:rPr>
        <w:t xml:space="preserve"> Representative SCRINSHOT image showing the spatial distribution of </w:t>
      </w:r>
      <w:r w:rsidRPr="00F31DC8">
        <w:rPr>
          <w:i/>
          <w:lang w:val="en-US"/>
        </w:rPr>
        <w:t xml:space="preserve">Alien </w:t>
      </w:r>
      <w:r w:rsidRPr="00F31DC8">
        <w:rPr>
          <w:lang w:val="en-US"/>
        </w:rPr>
        <w:t>with epicardial (</w:t>
      </w:r>
      <w:r w:rsidRPr="00F31DC8">
        <w:rPr>
          <w:i/>
          <w:lang w:val="en-US"/>
        </w:rPr>
        <w:t>Col1a2</w:t>
      </w:r>
      <w:r w:rsidRPr="00F31DC8">
        <w:rPr>
          <w:lang w:val="en-US"/>
        </w:rPr>
        <w:t>), endocardial (</w:t>
      </w:r>
      <w:proofErr w:type="spellStart"/>
      <w:r w:rsidRPr="00F31DC8">
        <w:rPr>
          <w:i/>
          <w:lang w:val="en-US"/>
        </w:rPr>
        <w:t>Pecam</w:t>
      </w:r>
      <w:proofErr w:type="spellEnd"/>
      <w:r w:rsidRPr="00F31DC8">
        <w:rPr>
          <w:lang w:val="en-US"/>
        </w:rPr>
        <w:t>) and myocardial (</w:t>
      </w:r>
      <w:r w:rsidRPr="00F31DC8">
        <w:rPr>
          <w:i/>
          <w:lang w:val="en-US"/>
        </w:rPr>
        <w:t>Tnnt2</w:t>
      </w:r>
      <w:r w:rsidRPr="00F31DC8">
        <w:rPr>
          <w:lang w:val="en-US"/>
        </w:rPr>
        <w:t xml:space="preserve">) markers at E13.5 embryonic stage, with a progressive decrease in colocalization during cardiac development, reaching a minimum in early postnatal stages, and reactivation at P30. Schemes were made with </w:t>
      </w:r>
      <w:proofErr w:type="spellStart"/>
      <w:r w:rsidRPr="00F31DC8">
        <w:rPr>
          <w:lang w:val="en-US"/>
        </w:rPr>
        <w:t>TissUUmaps</w:t>
      </w:r>
      <w:proofErr w:type="spellEnd"/>
      <w:r w:rsidRPr="00F31DC8">
        <w:rPr>
          <w:lang w:val="en-US"/>
        </w:rPr>
        <w:t xml:space="preserve">. </w:t>
      </w:r>
    </w:p>
    <w:p w14:paraId="5C84D722" w14:textId="77777777" w:rsidR="00F31DC8" w:rsidRPr="00F31DC8" w:rsidRDefault="00F31DC8" w:rsidP="00F31DC8">
      <w:pPr>
        <w:rPr>
          <w:lang w:val="en-US"/>
        </w:rPr>
      </w:pPr>
    </w:p>
    <w:p w14:paraId="6F3E2278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 xml:space="preserve">Supplementary Figure 2. </w:t>
      </w:r>
      <w:r w:rsidRPr="00F31DC8">
        <w:rPr>
          <w:lang w:val="en-US"/>
        </w:rPr>
        <w:t xml:space="preserve">Panel </w:t>
      </w:r>
      <w:r w:rsidRPr="00F31DC8">
        <w:rPr>
          <w:b/>
          <w:lang w:val="en-US"/>
        </w:rPr>
        <w:t>(A)</w:t>
      </w:r>
      <w:r w:rsidRPr="00F31DC8">
        <w:rPr>
          <w:lang w:val="en-US"/>
        </w:rPr>
        <w:t xml:space="preserve">. RT-qPCR analysis confirming the nuclear enrichment of </w:t>
      </w:r>
      <w:r w:rsidRPr="00F31DC8">
        <w:rPr>
          <w:i/>
          <w:lang w:val="en-US"/>
        </w:rPr>
        <w:t>Xist2</w:t>
      </w:r>
      <w:r w:rsidRPr="00F31DC8">
        <w:rPr>
          <w:lang w:val="en-US"/>
        </w:rPr>
        <w:t xml:space="preserve"> in nuclear versus cytoplasmic fractions from HL1 cardiomyocytes, MEC1 and EPIC epicardial cells, and MEVEC endocardial cells. Panel </w:t>
      </w:r>
      <w:r w:rsidRPr="00F31DC8">
        <w:rPr>
          <w:b/>
          <w:lang w:val="en-US"/>
        </w:rPr>
        <w:t>(B)</w:t>
      </w:r>
      <w:r w:rsidRPr="00F31DC8">
        <w:rPr>
          <w:lang w:val="en-US"/>
        </w:rPr>
        <w:t xml:space="preserve">. RT-qPCR validation of effective knockdown and overexpression of </w:t>
      </w:r>
      <w:r w:rsidRPr="00F31DC8">
        <w:rPr>
          <w:i/>
          <w:lang w:val="en-US"/>
        </w:rPr>
        <w:t>Mef2c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Nkx2.5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Pitx2c</w:t>
      </w:r>
      <w:r w:rsidRPr="00F31DC8">
        <w:rPr>
          <w:lang w:val="en-US"/>
        </w:rPr>
        <w:t xml:space="preserve"> and </w:t>
      </w:r>
      <w:proofErr w:type="spellStart"/>
      <w:r w:rsidRPr="00F31DC8">
        <w:rPr>
          <w:i/>
          <w:lang w:val="en-US"/>
        </w:rPr>
        <w:t>Srf</w:t>
      </w:r>
      <w:proofErr w:type="spellEnd"/>
      <w:r w:rsidRPr="00F31DC8">
        <w:rPr>
          <w:i/>
          <w:lang w:val="en-US"/>
        </w:rPr>
        <w:t xml:space="preserve"> </w:t>
      </w:r>
      <w:r w:rsidRPr="00F31DC8">
        <w:rPr>
          <w:lang w:val="en-US"/>
        </w:rPr>
        <w:t>in HL1 cardiomyocytes, MEC1 and EPIC epicardial cells and MEVEC endocardial cells.</w:t>
      </w:r>
    </w:p>
    <w:p w14:paraId="3DBD3DBF" w14:textId="77777777" w:rsidR="00F31DC8" w:rsidRPr="00F31DC8" w:rsidRDefault="00F31DC8" w:rsidP="00F31DC8">
      <w:pPr>
        <w:rPr>
          <w:lang w:val="en-US"/>
        </w:rPr>
      </w:pPr>
    </w:p>
    <w:p w14:paraId="1FF68E72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>Supplementary Figure 3.</w:t>
      </w:r>
      <w:r w:rsidRPr="00F31DC8">
        <w:rPr>
          <w:lang w:val="en-US"/>
        </w:rPr>
        <w:t xml:space="preserve"> Panels </w:t>
      </w:r>
      <w:r w:rsidRPr="00F31DC8">
        <w:rPr>
          <w:b/>
          <w:lang w:val="en-US"/>
        </w:rPr>
        <w:t>(A-C).</w:t>
      </w:r>
      <w:r w:rsidRPr="00F31DC8">
        <w:rPr>
          <w:lang w:val="en-US"/>
        </w:rPr>
        <w:t xml:space="preserve"> Proteins interacting with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 xml:space="preserve"> in MEC1 epicardial cells. Panel </w:t>
      </w:r>
      <w:r w:rsidRPr="00F31DC8">
        <w:rPr>
          <w:b/>
          <w:lang w:val="en-US"/>
        </w:rPr>
        <w:t>(A).</w:t>
      </w:r>
      <w:r w:rsidRPr="00F31DC8">
        <w:rPr>
          <w:lang w:val="en-US"/>
        </w:rPr>
        <w:t xml:space="preserve"> Number of unique interacting proteins compared to controls. Panel </w:t>
      </w:r>
      <w:r w:rsidRPr="00F31DC8">
        <w:rPr>
          <w:b/>
          <w:lang w:val="en-US"/>
        </w:rPr>
        <w:t>(B).</w:t>
      </w:r>
      <w:r w:rsidRPr="00F31DC8">
        <w:rPr>
          <w:lang w:val="en-US"/>
        </w:rPr>
        <w:t xml:space="preserve"> Subcellular distribution of these proteins. Panel </w:t>
      </w:r>
      <w:r w:rsidRPr="00F31DC8">
        <w:rPr>
          <w:b/>
          <w:lang w:val="en-US"/>
        </w:rPr>
        <w:t>(C).</w:t>
      </w:r>
      <w:r w:rsidRPr="00F31DC8">
        <w:rPr>
          <w:lang w:val="en-US"/>
        </w:rPr>
        <w:t xml:space="preserve"> GO analysis showing biological processes and functions related to chromatin organization, nucleosome assembly and cytoplasmic translation. Panels </w:t>
      </w:r>
      <w:r w:rsidRPr="00F31DC8">
        <w:rPr>
          <w:b/>
          <w:lang w:val="en-US"/>
        </w:rPr>
        <w:t>(D-F).</w:t>
      </w:r>
      <w:r w:rsidRPr="00F31DC8">
        <w:rPr>
          <w:lang w:val="en-US"/>
        </w:rPr>
        <w:t xml:space="preserve"> Proteins interacting with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 xml:space="preserve"> in MEVEC endocardial cells. Panel </w:t>
      </w:r>
      <w:r w:rsidRPr="00F31DC8">
        <w:rPr>
          <w:b/>
          <w:lang w:val="en-US"/>
        </w:rPr>
        <w:t>(D).</w:t>
      </w:r>
      <w:r w:rsidRPr="00F31DC8">
        <w:rPr>
          <w:lang w:val="en-US"/>
        </w:rPr>
        <w:t xml:space="preserve"> Number of unique interacting proteins. Panel </w:t>
      </w:r>
      <w:r w:rsidRPr="00F31DC8">
        <w:rPr>
          <w:b/>
          <w:lang w:val="en-US"/>
        </w:rPr>
        <w:t>(E).</w:t>
      </w:r>
      <w:r w:rsidRPr="00F31DC8">
        <w:rPr>
          <w:lang w:val="en-US"/>
        </w:rPr>
        <w:t xml:space="preserve"> Subcellular distribution of these proteins. Panel </w:t>
      </w:r>
      <w:r w:rsidRPr="00F31DC8">
        <w:rPr>
          <w:b/>
          <w:lang w:val="en-US"/>
        </w:rPr>
        <w:t>(F).</w:t>
      </w:r>
      <w:r w:rsidRPr="00F31DC8">
        <w:rPr>
          <w:lang w:val="en-US"/>
        </w:rPr>
        <w:t xml:space="preserve"> GO analysis indicating enrichment in translation, rRNA processing, transcription regulation and protein binding. Panel </w:t>
      </w:r>
      <w:r w:rsidRPr="00F31DC8">
        <w:rPr>
          <w:b/>
          <w:lang w:val="en-US"/>
        </w:rPr>
        <w:t>(G).</w:t>
      </w:r>
      <w:r w:rsidRPr="00F31DC8">
        <w:rPr>
          <w:lang w:val="en-US"/>
        </w:rPr>
        <w:t xml:space="preserve"> Venn diagram comparing </w:t>
      </w:r>
      <w:r w:rsidRPr="00F31DC8">
        <w:rPr>
          <w:i/>
          <w:lang w:val="en-US"/>
        </w:rPr>
        <w:t>Elektra-</w:t>
      </w:r>
      <w:r w:rsidRPr="00F31DC8">
        <w:rPr>
          <w:lang w:val="en-US"/>
        </w:rPr>
        <w:t>associated proteins among MEC1, MEVEC and HL1 cells, showing no overlapping proteins and supporting cell-type-specific interactions.</w:t>
      </w:r>
    </w:p>
    <w:p w14:paraId="50C37EE2" w14:textId="77777777" w:rsidR="00F31DC8" w:rsidRPr="00F31DC8" w:rsidRDefault="00F31DC8" w:rsidP="00F31DC8">
      <w:pPr>
        <w:rPr>
          <w:b/>
          <w:lang w:val="en-US"/>
        </w:rPr>
      </w:pPr>
    </w:p>
    <w:p w14:paraId="76E78B46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 xml:space="preserve">Supplementary Figure 4. </w:t>
      </w:r>
      <w:r w:rsidRPr="00F31DC8">
        <w:rPr>
          <w:lang w:val="en-US"/>
        </w:rPr>
        <w:t xml:space="preserve">Panel </w:t>
      </w:r>
      <w:r w:rsidRPr="00F31DC8">
        <w:rPr>
          <w:b/>
          <w:lang w:val="en-US"/>
        </w:rPr>
        <w:t>(A).</w:t>
      </w:r>
      <w:r w:rsidRPr="00F31DC8">
        <w:rPr>
          <w:lang w:val="en-US"/>
        </w:rPr>
        <w:t xml:space="preserve"> RT-qPCR analyses at 6h post-transfection showing efficient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 xml:space="preserve"> knockdown and resulting changes in ion channel genes with upregulation of </w:t>
      </w:r>
      <w:r w:rsidRPr="00F31DC8">
        <w:rPr>
          <w:i/>
          <w:lang w:val="en-US"/>
        </w:rPr>
        <w:t>Cacnb3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Casq2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Ncx1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Scn5a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Kcnn3</w:t>
      </w:r>
      <w:r w:rsidRPr="00F31DC8">
        <w:rPr>
          <w:lang w:val="en-US"/>
        </w:rPr>
        <w:t xml:space="preserve"> and </w:t>
      </w:r>
      <w:r w:rsidRPr="00F31DC8">
        <w:rPr>
          <w:i/>
          <w:lang w:val="en-US"/>
        </w:rPr>
        <w:t>Kcnk3</w:t>
      </w:r>
      <w:r w:rsidRPr="00F31DC8">
        <w:rPr>
          <w:lang w:val="en-US"/>
        </w:rPr>
        <w:t xml:space="preserve"> and downregulation of </w:t>
      </w:r>
      <w:r w:rsidRPr="00F31DC8">
        <w:rPr>
          <w:i/>
          <w:lang w:val="en-US"/>
        </w:rPr>
        <w:t>Ryr2</w:t>
      </w:r>
      <w:r w:rsidRPr="00F31DC8">
        <w:rPr>
          <w:lang w:val="en-US"/>
        </w:rPr>
        <w:t xml:space="preserve"> and </w:t>
      </w:r>
      <w:r w:rsidRPr="00F31DC8">
        <w:rPr>
          <w:i/>
          <w:lang w:val="en-US"/>
        </w:rPr>
        <w:t>Cacnb4</w:t>
      </w:r>
      <w:r w:rsidRPr="00F31DC8">
        <w:rPr>
          <w:lang w:val="en-US"/>
        </w:rPr>
        <w:t xml:space="preserve"> (n=3). Panel </w:t>
      </w:r>
      <w:r w:rsidRPr="00F31DC8">
        <w:rPr>
          <w:b/>
          <w:lang w:val="en-US"/>
        </w:rPr>
        <w:t>(B).</w:t>
      </w:r>
      <w:r w:rsidRPr="00F31DC8">
        <w:rPr>
          <w:lang w:val="en-US"/>
        </w:rPr>
        <w:t xml:space="preserve"> RT-qPCR analyses at 24h post-transfection, when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 xml:space="preserve"> levels are not significantly changed, showing downregulation of </w:t>
      </w:r>
      <w:proofErr w:type="spellStart"/>
      <w:r w:rsidRPr="00F31DC8">
        <w:rPr>
          <w:i/>
          <w:lang w:val="en-US"/>
        </w:rPr>
        <w:t>Qki</w:t>
      </w:r>
      <w:proofErr w:type="spellEnd"/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Ryr2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Cacna1c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Cacnb2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Cacnb4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Atp2a2</w:t>
      </w:r>
      <w:r w:rsidRPr="00F31DC8">
        <w:rPr>
          <w:lang w:val="en-US"/>
        </w:rPr>
        <w:t xml:space="preserve">, </w:t>
      </w:r>
      <w:r w:rsidRPr="00F31DC8">
        <w:rPr>
          <w:i/>
          <w:lang w:val="en-US"/>
        </w:rPr>
        <w:t>Ncx1</w:t>
      </w:r>
      <w:r w:rsidRPr="00F31DC8">
        <w:rPr>
          <w:lang w:val="en-US"/>
        </w:rPr>
        <w:t xml:space="preserve"> and </w:t>
      </w:r>
      <w:r w:rsidRPr="00F31DC8">
        <w:rPr>
          <w:i/>
          <w:lang w:val="en-US"/>
        </w:rPr>
        <w:t>Scn5a</w:t>
      </w:r>
      <w:r w:rsidRPr="00F31DC8">
        <w:rPr>
          <w:lang w:val="en-US"/>
        </w:rPr>
        <w:t xml:space="preserve">, and upregulation of </w:t>
      </w:r>
      <w:r w:rsidRPr="00F31DC8">
        <w:rPr>
          <w:i/>
          <w:lang w:val="en-US"/>
        </w:rPr>
        <w:t>Cacnb3</w:t>
      </w:r>
      <w:r w:rsidRPr="00F31DC8">
        <w:rPr>
          <w:lang w:val="en-US"/>
        </w:rPr>
        <w:t xml:space="preserve"> (n=3).</w:t>
      </w:r>
    </w:p>
    <w:p w14:paraId="2BD70134" w14:textId="77777777" w:rsidR="00F31DC8" w:rsidRPr="00F31DC8" w:rsidRDefault="00F31DC8" w:rsidP="00F31DC8">
      <w:pPr>
        <w:rPr>
          <w:b/>
          <w:lang w:val="en-US"/>
        </w:rPr>
      </w:pPr>
    </w:p>
    <w:p w14:paraId="7255FCA2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lastRenderedPageBreak/>
        <w:t xml:space="preserve">Supplementary Table 1. </w:t>
      </w:r>
      <w:r w:rsidRPr="00F31DC8">
        <w:rPr>
          <w:lang w:val="en-US"/>
        </w:rPr>
        <w:t>List of the nucleotide sequences corresponding to RT-qPCR primers, biotinylated RNA primers for RNA pull-down assay, siRNAs, ASOs, SCRINSHOT padlock probe and SCRINSHOT detection oligonucleotides.</w:t>
      </w:r>
    </w:p>
    <w:p w14:paraId="67C9BD66" w14:textId="77777777" w:rsidR="00F31DC8" w:rsidRPr="00F31DC8" w:rsidRDefault="00F31DC8" w:rsidP="00F31DC8">
      <w:pPr>
        <w:rPr>
          <w:lang w:val="en-US"/>
        </w:rPr>
      </w:pPr>
    </w:p>
    <w:p w14:paraId="4173D748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>Supplementary Table 2.</w:t>
      </w:r>
      <w:r w:rsidRPr="00F31DC8">
        <w:rPr>
          <w:lang w:val="en-US"/>
        </w:rPr>
        <w:t xml:space="preserve"> List of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>-associated proteins as revealed by PD and MS identification in MEC1 epicardial cells.</w:t>
      </w:r>
    </w:p>
    <w:p w14:paraId="1416CE35" w14:textId="77777777" w:rsidR="00F31DC8" w:rsidRPr="00F31DC8" w:rsidRDefault="00F31DC8" w:rsidP="00F31DC8">
      <w:pPr>
        <w:rPr>
          <w:lang w:val="en-US"/>
        </w:rPr>
      </w:pPr>
    </w:p>
    <w:p w14:paraId="49F1940E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>Supplementary Table 3.</w:t>
      </w:r>
      <w:r w:rsidRPr="00F31DC8">
        <w:rPr>
          <w:lang w:val="en-US"/>
        </w:rPr>
        <w:t xml:space="preserve"> List of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>-associated proteins as revealed by PD and MS identification in MEVEC endocardial cells.</w:t>
      </w:r>
    </w:p>
    <w:p w14:paraId="53C9BDE4" w14:textId="77777777" w:rsidR="00F31DC8" w:rsidRPr="00F31DC8" w:rsidRDefault="00F31DC8" w:rsidP="00F31DC8">
      <w:pPr>
        <w:rPr>
          <w:lang w:val="en-US"/>
        </w:rPr>
      </w:pPr>
    </w:p>
    <w:p w14:paraId="7D86C7BD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>Supplementary Table 4.</w:t>
      </w:r>
      <w:r w:rsidRPr="00F31DC8">
        <w:rPr>
          <w:lang w:val="en-US"/>
        </w:rPr>
        <w:t xml:space="preserve"> List of </w:t>
      </w:r>
      <w:r w:rsidRPr="00F31DC8">
        <w:rPr>
          <w:i/>
          <w:lang w:val="en-US"/>
        </w:rPr>
        <w:t>Elektra</w:t>
      </w:r>
      <w:r w:rsidRPr="00F31DC8">
        <w:rPr>
          <w:lang w:val="en-US"/>
        </w:rPr>
        <w:t>-associated proteins as revealed by PD and MS identification in HL1 cardiomyocyte cells.</w:t>
      </w:r>
    </w:p>
    <w:p w14:paraId="36A99DCA" w14:textId="77777777" w:rsidR="00F31DC8" w:rsidRPr="00F31DC8" w:rsidRDefault="00F31DC8" w:rsidP="00F31DC8">
      <w:pPr>
        <w:rPr>
          <w:b/>
          <w:lang w:val="en-US"/>
        </w:rPr>
      </w:pPr>
    </w:p>
    <w:p w14:paraId="2417193D" w14:textId="77777777" w:rsidR="00F31DC8" w:rsidRPr="00F31DC8" w:rsidRDefault="00F31DC8" w:rsidP="00F31DC8">
      <w:pPr>
        <w:rPr>
          <w:lang w:val="en-US"/>
        </w:rPr>
      </w:pPr>
      <w:r w:rsidRPr="00F31DC8">
        <w:rPr>
          <w:b/>
          <w:lang w:val="en-US"/>
        </w:rPr>
        <w:t>Supplementary Table 5.</w:t>
      </w:r>
      <w:r w:rsidRPr="00F31DC8">
        <w:rPr>
          <w:lang w:val="en-US"/>
        </w:rPr>
        <w:t xml:space="preserve"> List of </w:t>
      </w:r>
      <w:r w:rsidRPr="00F31DC8">
        <w:rPr>
          <w:i/>
          <w:lang w:val="en-US"/>
        </w:rPr>
        <w:t>Alien</w:t>
      </w:r>
      <w:r w:rsidRPr="00F31DC8">
        <w:rPr>
          <w:lang w:val="en-US"/>
        </w:rPr>
        <w:t>-associated proteins as revealed by PD and MS identification in MEC1 epicardial cells.</w:t>
      </w:r>
    </w:p>
    <w:p w14:paraId="43EA162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DC8"/>
    <w:rsid w:val="001D45F9"/>
    <w:rsid w:val="00767E38"/>
    <w:rsid w:val="00866F7D"/>
    <w:rsid w:val="00EE5CC4"/>
    <w:rsid w:val="00F3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A8BFA"/>
  <w15:chartTrackingRefBased/>
  <w15:docId w15:val="{DC7A1476-5BE8-4478-A0FD-FE055287C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1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1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1D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1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1D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1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1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1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1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D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1D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1D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1D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1D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1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1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1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1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1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1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1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1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1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1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1D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1D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1D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1D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2812</Characters>
  <Application>Microsoft Office Word</Application>
  <DocSecurity>0</DocSecurity>
  <Lines>52</Lines>
  <Paragraphs>29</Paragraphs>
  <ScaleCrop>false</ScaleCrop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2025-12-19T10:25:00Z</dcterms:created>
  <dcterms:modified xsi:type="dcterms:W3CDTF">2025-12-19T10:25:00Z</dcterms:modified>
</cp:coreProperties>
</file>