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0E8B6" w14:textId="6D5F1CF4" w:rsidR="00F00FAE" w:rsidRPr="008F64B3" w:rsidRDefault="00F00FAE" w:rsidP="00F00FAE">
      <w:pPr>
        <w:jc w:val="center"/>
        <w:outlineLvl w:val="0"/>
        <w:rPr>
          <w:rFonts w:cs="Times New Roman"/>
          <w:b/>
          <w:lang w:val="en-US"/>
        </w:rPr>
      </w:pPr>
      <w:r w:rsidRPr="008F64B3">
        <w:rPr>
          <w:rFonts w:cs="Times New Roman"/>
          <w:b/>
          <w:lang w:val="en-US"/>
        </w:rPr>
        <w:t>Supplementary Material</w:t>
      </w:r>
      <w:r w:rsidR="00DB249B" w:rsidRPr="008F64B3">
        <w:rPr>
          <w:rFonts w:cs="Times New Roman"/>
          <w:b/>
          <w:lang w:val="en-US"/>
        </w:rPr>
        <w:t xml:space="preserve"> for</w:t>
      </w:r>
    </w:p>
    <w:p w14:paraId="1049D0BC" w14:textId="77777777" w:rsidR="00EC74F9" w:rsidRPr="006C7FC1" w:rsidRDefault="00EC74F9" w:rsidP="00DB249B">
      <w:pPr>
        <w:spacing w:line="360" w:lineRule="auto"/>
        <w:jc w:val="center"/>
        <w:rPr>
          <w:rFonts w:cs="Times New Roman"/>
          <w:b/>
          <w:szCs w:val="32"/>
          <w:lang w:val="en-US"/>
        </w:rPr>
      </w:pPr>
      <w:r w:rsidRPr="006C7FC1">
        <w:rPr>
          <w:b/>
          <w:lang w:val="en-GB"/>
        </w:rPr>
        <w:t>Predicting summer droughts in Central Europe</w:t>
      </w:r>
      <w:r>
        <w:rPr>
          <w:b/>
          <w:lang w:val="en-GB"/>
        </w:rPr>
        <w:t xml:space="preserve"> </w:t>
      </w:r>
      <w:r w:rsidRPr="006C7FC1">
        <w:rPr>
          <w:b/>
          <w:lang w:val="en-GB"/>
        </w:rPr>
        <w:t>from winter NAO</w:t>
      </w:r>
    </w:p>
    <w:p w14:paraId="7AD984F9" w14:textId="77777777" w:rsidR="00EC74F9" w:rsidRPr="008B2DA0" w:rsidRDefault="00EC74F9" w:rsidP="00EC74F9">
      <w:pPr>
        <w:spacing w:before="180" w:after="0" w:line="240" w:lineRule="auto"/>
        <w:contextualSpacing/>
        <w:rPr>
          <w:rFonts w:eastAsia="楷体" w:cs="Times New Roman"/>
          <w:sz w:val="20"/>
          <w:szCs w:val="20"/>
          <w:vertAlign w:val="superscript"/>
          <w:lang w:val="en-US"/>
        </w:rPr>
      </w:pPr>
      <w:r w:rsidRPr="008B2DA0">
        <w:rPr>
          <w:rFonts w:eastAsia="楷体" w:cs="Times New Roman"/>
          <w:sz w:val="20"/>
          <w:szCs w:val="20"/>
          <w:lang w:val="en-GB" w:eastAsia="de-DE"/>
        </w:rPr>
        <w:t>Cong</w:t>
      </w:r>
      <w:r w:rsidRPr="008B2DA0">
        <w:rPr>
          <w:rFonts w:eastAsia="楷体" w:cs="Times New Roman"/>
          <w:sz w:val="20"/>
          <w:szCs w:val="20"/>
          <w:lang w:val="en-US"/>
        </w:rPr>
        <w:t xml:space="preserve"> Jiang </w:t>
      </w:r>
      <w:r w:rsidRPr="008B2DA0">
        <w:rPr>
          <w:rFonts w:eastAsia="楷体" w:cs="Times New Roman"/>
          <w:sz w:val="20"/>
          <w:szCs w:val="20"/>
          <w:vertAlign w:val="superscript"/>
          <w:lang w:val="en-US"/>
        </w:rPr>
        <w:t>1</w:t>
      </w:r>
      <w:r w:rsidRPr="008B2DA0">
        <w:rPr>
          <w:rFonts w:eastAsia="楷体" w:cs="Times New Roman"/>
          <w:sz w:val="20"/>
          <w:szCs w:val="20"/>
          <w:lang w:val="en-US"/>
        </w:rPr>
        <w:t xml:space="preserve">, Chris </w:t>
      </w:r>
      <w:proofErr w:type="spellStart"/>
      <w:r w:rsidRPr="008B2DA0">
        <w:rPr>
          <w:rFonts w:eastAsia="楷体" w:cs="Times New Roman"/>
          <w:sz w:val="20"/>
          <w:szCs w:val="20"/>
          <w:lang w:val="en-US"/>
        </w:rPr>
        <w:t>Soulsby</w:t>
      </w:r>
      <w:proofErr w:type="spellEnd"/>
      <w:r w:rsidRPr="008B2DA0">
        <w:rPr>
          <w:rFonts w:eastAsia="楷体" w:cs="Times New Roman"/>
          <w:sz w:val="20"/>
          <w:szCs w:val="20"/>
          <w:lang w:val="en-US"/>
        </w:rPr>
        <w:t xml:space="preserve"> </w:t>
      </w:r>
      <w:r>
        <w:rPr>
          <w:rFonts w:eastAsia="楷体" w:cs="Times New Roman"/>
          <w:sz w:val="20"/>
          <w:szCs w:val="20"/>
          <w:vertAlign w:val="superscript"/>
          <w:lang w:val="en-US"/>
        </w:rPr>
        <w:t>2</w:t>
      </w:r>
      <w:r w:rsidRPr="008B2DA0">
        <w:rPr>
          <w:rFonts w:eastAsia="楷体" w:cs="Times New Roman"/>
          <w:sz w:val="20"/>
          <w:szCs w:val="20"/>
          <w:vertAlign w:val="superscript"/>
          <w:lang w:val="en-US"/>
        </w:rPr>
        <w:t>,</w:t>
      </w:r>
      <w:r>
        <w:rPr>
          <w:rFonts w:eastAsia="楷体" w:cs="Times New Roman"/>
          <w:sz w:val="20"/>
          <w:szCs w:val="20"/>
          <w:vertAlign w:val="superscript"/>
          <w:lang w:val="en-US"/>
        </w:rPr>
        <w:t>3,1</w:t>
      </w:r>
      <w:r w:rsidRPr="008B2DA0">
        <w:rPr>
          <w:rFonts w:eastAsia="楷体" w:cs="Times New Roman"/>
          <w:sz w:val="20"/>
          <w:szCs w:val="20"/>
          <w:lang w:val="en-US"/>
        </w:rPr>
        <w:t xml:space="preserve">, Hjalmar Laudon </w:t>
      </w:r>
      <w:r>
        <w:rPr>
          <w:rFonts w:eastAsia="楷体" w:cs="Times New Roman"/>
          <w:sz w:val="20"/>
          <w:szCs w:val="20"/>
          <w:vertAlign w:val="superscript"/>
          <w:lang w:val="en-US"/>
        </w:rPr>
        <w:t>3</w:t>
      </w:r>
      <w:r w:rsidRPr="008B2DA0">
        <w:rPr>
          <w:rFonts w:eastAsia="楷体" w:cs="Times New Roman"/>
          <w:sz w:val="20"/>
          <w:szCs w:val="20"/>
          <w:lang w:val="en-US"/>
        </w:rPr>
        <w:t xml:space="preserve">, </w:t>
      </w:r>
      <w:proofErr w:type="spellStart"/>
      <w:r>
        <w:rPr>
          <w:rFonts w:eastAsia="楷体" w:cs="Times New Roman"/>
          <w:sz w:val="20"/>
          <w:szCs w:val="20"/>
          <w:lang w:val="en-US"/>
        </w:rPr>
        <w:t>Songjun</w:t>
      </w:r>
      <w:proofErr w:type="spellEnd"/>
      <w:r>
        <w:rPr>
          <w:rFonts w:eastAsia="楷体" w:cs="Times New Roman"/>
          <w:sz w:val="20"/>
          <w:szCs w:val="20"/>
          <w:lang w:val="en-US"/>
        </w:rPr>
        <w:t xml:space="preserve"> Wu </w:t>
      </w:r>
      <w:r w:rsidRPr="00B73BEC">
        <w:rPr>
          <w:rFonts w:eastAsia="楷体" w:cs="Times New Roman"/>
          <w:sz w:val="20"/>
          <w:szCs w:val="20"/>
          <w:vertAlign w:val="superscript"/>
          <w:lang w:val="en-US"/>
        </w:rPr>
        <w:t>1</w:t>
      </w:r>
      <w:r>
        <w:rPr>
          <w:rFonts w:eastAsia="楷体" w:cs="Times New Roman"/>
          <w:sz w:val="20"/>
          <w:szCs w:val="20"/>
          <w:lang w:val="en-US"/>
        </w:rPr>
        <w:t xml:space="preserve">, </w:t>
      </w:r>
      <w:proofErr w:type="spellStart"/>
      <w:r w:rsidRPr="008B2DA0">
        <w:rPr>
          <w:rFonts w:eastAsia="楷体" w:cs="Times New Roman"/>
          <w:sz w:val="20"/>
          <w:szCs w:val="20"/>
          <w:lang w:val="en-US"/>
        </w:rPr>
        <w:t>Doerthe</w:t>
      </w:r>
      <w:proofErr w:type="spellEnd"/>
      <w:r w:rsidRPr="008B2DA0">
        <w:rPr>
          <w:rFonts w:eastAsia="楷体" w:cs="Times New Roman"/>
          <w:sz w:val="20"/>
          <w:szCs w:val="20"/>
          <w:lang w:val="en-US"/>
        </w:rPr>
        <w:t xml:space="preserve"> </w:t>
      </w:r>
      <w:proofErr w:type="spellStart"/>
      <w:r w:rsidRPr="008B2DA0">
        <w:rPr>
          <w:rFonts w:eastAsia="楷体" w:cs="Times New Roman"/>
          <w:sz w:val="20"/>
          <w:szCs w:val="20"/>
          <w:lang w:val="en-US"/>
        </w:rPr>
        <w:t>Tetzlaff</w:t>
      </w:r>
      <w:proofErr w:type="spellEnd"/>
      <w:r w:rsidRPr="008B2DA0">
        <w:rPr>
          <w:rFonts w:eastAsia="楷体" w:cs="Times New Roman"/>
          <w:sz w:val="20"/>
          <w:szCs w:val="20"/>
          <w:lang w:val="en-US"/>
        </w:rPr>
        <w:t xml:space="preserve"> </w:t>
      </w:r>
      <w:r w:rsidRPr="008B2DA0">
        <w:rPr>
          <w:rFonts w:eastAsia="楷体" w:cs="Times New Roman"/>
          <w:sz w:val="20"/>
          <w:szCs w:val="20"/>
          <w:vertAlign w:val="superscript"/>
          <w:lang w:val="en-US"/>
        </w:rPr>
        <w:t xml:space="preserve">1, </w:t>
      </w:r>
      <w:r>
        <w:rPr>
          <w:rFonts w:eastAsia="楷体" w:cs="Times New Roman"/>
          <w:sz w:val="20"/>
          <w:szCs w:val="20"/>
          <w:vertAlign w:val="superscript"/>
          <w:lang w:val="en-US"/>
        </w:rPr>
        <w:t>4</w:t>
      </w:r>
      <w:r w:rsidRPr="008B2DA0">
        <w:rPr>
          <w:rFonts w:eastAsia="楷体" w:cs="Times New Roman"/>
          <w:sz w:val="20"/>
          <w:szCs w:val="20"/>
          <w:vertAlign w:val="superscript"/>
          <w:lang w:val="en-US"/>
        </w:rPr>
        <w:t xml:space="preserve">, </w:t>
      </w:r>
      <w:r>
        <w:rPr>
          <w:rFonts w:eastAsia="楷体" w:cs="Times New Roman"/>
          <w:sz w:val="20"/>
          <w:szCs w:val="20"/>
          <w:vertAlign w:val="superscript"/>
          <w:lang w:val="en-US"/>
        </w:rPr>
        <w:t>2</w:t>
      </w:r>
    </w:p>
    <w:p w14:paraId="05CF4C02" w14:textId="77777777" w:rsidR="00EC74F9" w:rsidRPr="008B2DA0" w:rsidRDefault="00EC74F9" w:rsidP="00EC74F9">
      <w:pPr>
        <w:snapToGrid w:val="0"/>
        <w:spacing w:before="180" w:after="0" w:line="240" w:lineRule="auto"/>
        <w:rPr>
          <w:rFonts w:eastAsia="楷体" w:cs="Times New Roman"/>
          <w:sz w:val="20"/>
          <w:szCs w:val="20"/>
          <w:lang w:val="en-US"/>
        </w:rPr>
      </w:pPr>
      <w:bookmarkStart w:id="0" w:name="_Hlk195802264"/>
      <w:r w:rsidRPr="008B2DA0">
        <w:rPr>
          <w:rFonts w:eastAsia="楷体" w:cs="Times New Roman"/>
          <w:sz w:val="20"/>
          <w:szCs w:val="20"/>
          <w:vertAlign w:val="superscript"/>
          <w:lang w:val="en-US"/>
        </w:rPr>
        <w:t>1</w:t>
      </w:r>
      <w:r w:rsidRPr="008B2DA0">
        <w:rPr>
          <w:rFonts w:eastAsia="楷体" w:cs="Times New Roman"/>
          <w:sz w:val="20"/>
          <w:szCs w:val="20"/>
          <w:lang w:val="en-US"/>
        </w:rPr>
        <w:t xml:space="preserve"> </w:t>
      </w:r>
      <w:r w:rsidRPr="008B2DA0">
        <w:rPr>
          <w:rFonts w:eastAsia="楷体" w:cs="Times New Roman"/>
          <w:sz w:val="20"/>
          <w:szCs w:val="20"/>
          <w:lang w:val="en-GB" w:eastAsia="de-DE"/>
        </w:rPr>
        <w:t>Leibniz</w:t>
      </w:r>
      <w:r w:rsidRPr="008B2DA0">
        <w:rPr>
          <w:rFonts w:eastAsia="楷体" w:cs="Times New Roman"/>
          <w:sz w:val="20"/>
          <w:szCs w:val="20"/>
          <w:lang w:val="en-US"/>
        </w:rPr>
        <w:t xml:space="preserve">-Institute of </w:t>
      </w:r>
      <w:r w:rsidRPr="008B2DA0">
        <w:rPr>
          <w:rFonts w:eastAsia="楷体" w:cs="Times New Roman"/>
          <w:sz w:val="20"/>
          <w:szCs w:val="20"/>
          <w:lang w:val="en-GB"/>
        </w:rPr>
        <w:t>Freshwater</w:t>
      </w:r>
      <w:r w:rsidRPr="008B2DA0">
        <w:rPr>
          <w:rFonts w:eastAsia="楷体" w:cs="Times New Roman"/>
          <w:sz w:val="20"/>
          <w:szCs w:val="20"/>
          <w:lang w:val="en-US"/>
        </w:rPr>
        <w:t xml:space="preserve"> Ecology and Inland Fisheries (IGB), Department of Ecohydrology and Biogeochemistry, Berlin, Germany</w:t>
      </w:r>
    </w:p>
    <w:bookmarkEnd w:id="0"/>
    <w:p w14:paraId="7CA38C77" w14:textId="77777777" w:rsidR="00EC74F9" w:rsidRPr="008B2DA0" w:rsidRDefault="00EC74F9" w:rsidP="00EC74F9">
      <w:pPr>
        <w:pStyle w:val="Affiliation"/>
        <w:snapToGrid w:val="0"/>
        <w:spacing w:before="0"/>
        <w:contextualSpacing w:val="0"/>
        <w:rPr>
          <w:rFonts w:eastAsia="楷体"/>
          <w:szCs w:val="20"/>
          <w:lang w:val="en-US"/>
        </w:rPr>
      </w:pPr>
      <w:r>
        <w:rPr>
          <w:rFonts w:eastAsia="楷体"/>
          <w:szCs w:val="20"/>
          <w:vertAlign w:val="superscript"/>
          <w:lang w:val="en-US"/>
        </w:rPr>
        <w:t>2</w:t>
      </w:r>
      <w:r w:rsidRPr="008B2DA0">
        <w:rPr>
          <w:rFonts w:eastAsia="楷体"/>
          <w:szCs w:val="20"/>
          <w:lang w:val="en-US"/>
        </w:rPr>
        <w:t xml:space="preserve"> Northern Rivers Institute, </w:t>
      </w:r>
      <w:r w:rsidRPr="008B2DA0">
        <w:rPr>
          <w:rFonts w:eastAsia="楷体"/>
          <w:szCs w:val="20"/>
        </w:rPr>
        <w:t>University</w:t>
      </w:r>
      <w:r w:rsidRPr="008B2DA0">
        <w:rPr>
          <w:rFonts w:eastAsia="楷体"/>
          <w:szCs w:val="20"/>
          <w:lang w:val="en-US"/>
        </w:rPr>
        <w:t xml:space="preserve"> of Aberdeen, Aberdeen, UK</w:t>
      </w:r>
    </w:p>
    <w:p w14:paraId="2950A3B9" w14:textId="77777777" w:rsidR="00EC74F9" w:rsidRPr="008B2DA0" w:rsidRDefault="00EC74F9" w:rsidP="00EC74F9">
      <w:pPr>
        <w:pStyle w:val="PlainText"/>
        <w:snapToGrid w:val="0"/>
        <w:rPr>
          <w:rFonts w:ascii="Times New Roman" w:eastAsia="楷体" w:hAnsi="Times New Roman" w:cs="Times New Roman"/>
          <w:b/>
          <w:sz w:val="20"/>
          <w:szCs w:val="20"/>
          <w:lang w:val="en-US"/>
        </w:rPr>
      </w:pPr>
      <w:r>
        <w:rPr>
          <w:rFonts w:ascii="Times New Roman" w:eastAsia="楷体" w:hAnsi="Times New Roman" w:cs="Times New Roman"/>
          <w:sz w:val="20"/>
          <w:szCs w:val="20"/>
          <w:vertAlign w:val="superscript"/>
          <w:lang w:val="en-US"/>
        </w:rPr>
        <w:t>3</w:t>
      </w:r>
      <w:r w:rsidRPr="008B2DA0">
        <w:rPr>
          <w:rFonts w:ascii="Times New Roman" w:eastAsia="楷体" w:hAnsi="Times New Roman" w:cs="Times New Roman"/>
          <w:sz w:val="20"/>
          <w:szCs w:val="20"/>
          <w:vertAlign w:val="superscript"/>
          <w:lang w:val="en-US"/>
        </w:rPr>
        <w:t xml:space="preserve"> </w:t>
      </w:r>
      <w:r w:rsidRPr="008B2DA0">
        <w:rPr>
          <w:rFonts w:ascii="Times New Roman" w:eastAsia="楷体" w:hAnsi="Times New Roman" w:cs="Times New Roman"/>
          <w:sz w:val="20"/>
          <w:szCs w:val="20"/>
          <w:lang w:val="en-US"/>
        </w:rPr>
        <w:t>Department of Forest Ecology and Management, Swedish University of Agricultural Science (SLU), Sweden</w:t>
      </w:r>
    </w:p>
    <w:p w14:paraId="15A5B8AA" w14:textId="77777777" w:rsidR="00EC74F9" w:rsidRPr="008B2DA0" w:rsidRDefault="00EC74F9" w:rsidP="00EC74F9">
      <w:pPr>
        <w:snapToGrid w:val="0"/>
        <w:spacing w:after="0" w:line="240" w:lineRule="auto"/>
        <w:rPr>
          <w:rFonts w:eastAsia="楷体" w:cs="Times New Roman"/>
          <w:sz w:val="20"/>
          <w:szCs w:val="20"/>
          <w:lang w:val="en-US"/>
        </w:rPr>
      </w:pPr>
      <w:r w:rsidRPr="00B73BEC">
        <w:rPr>
          <w:rFonts w:eastAsia="楷体"/>
          <w:sz w:val="20"/>
          <w:szCs w:val="20"/>
          <w:vertAlign w:val="superscript"/>
          <w:lang w:val="en-US"/>
        </w:rPr>
        <w:t>4</w:t>
      </w:r>
      <w:r>
        <w:rPr>
          <w:rFonts w:eastAsia="楷体"/>
          <w:szCs w:val="20"/>
          <w:lang w:val="en-US"/>
        </w:rPr>
        <w:t xml:space="preserve"> </w:t>
      </w:r>
      <w:r w:rsidRPr="00B73BEC">
        <w:rPr>
          <w:rFonts w:eastAsia="楷体"/>
          <w:sz w:val="20"/>
          <w:szCs w:val="20"/>
          <w:lang w:val="en-US"/>
        </w:rPr>
        <w:t xml:space="preserve">Department of </w:t>
      </w:r>
      <w:r w:rsidRPr="00B73BEC">
        <w:rPr>
          <w:rFonts w:eastAsia="楷体"/>
          <w:sz w:val="20"/>
          <w:szCs w:val="20"/>
          <w:lang w:val="en-GB"/>
        </w:rPr>
        <w:t>Geography</w:t>
      </w:r>
      <w:r w:rsidRPr="00B73BEC">
        <w:rPr>
          <w:rFonts w:eastAsia="楷体"/>
          <w:sz w:val="20"/>
          <w:szCs w:val="20"/>
          <w:lang w:val="en-US"/>
        </w:rPr>
        <w:t>, Humboldt University Berlin, Berlin, Germany</w:t>
      </w:r>
    </w:p>
    <w:p w14:paraId="11AA1E0A" w14:textId="77777777" w:rsidR="00EC74F9" w:rsidRPr="008B2DA0" w:rsidRDefault="00EC74F9" w:rsidP="00EC74F9">
      <w:pPr>
        <w:spacing w:before="120" w:after="360" w:line="240" w:lineRule="auto"/>
        <w:rPr>
          <w:rFonts w:eastAsia="楷体" w:cs="Times New Roman"/>
          <w:bCs/>
          <w:sz w:val="20"/>
          <w:szCs w:val="20"/>
          <w:lang w:val="en-US"/>
        </w:rPr>
      </w:pPr>
      <w:r w:rsidRPr="008B2DA0">
        <w:rPr>
          <w:rFonts w:eastAsia="楷体" w:cs="Times New Roman"/>
          <w:i/>
          <w:sz w:val="20"/>
          <w:szCs w:val="20"/>
          <w:lang w:val="en-GB" w:eastAsia="de-DE"/>
        </w:rPr>
        <w:t>Correspondence to</w:t>
      </w:r>
      <w:r w:rsidRPr="008B2DA0">
        <w:rPr>
          <w:rFonts w:eastAsia="楷体" w:cs="Times New Roman"/>
          <w:bCs/>
          <w:sz w:val="20"/>
          <w:szCs w:val="20"/>
          <w:lang w:val="en-US"/>
        </w:rPr>
        <w:t>: Cong Jiang (cong.jiang@igb-berlin.de)</w:t>
      </w:r>
    </w:p>
    <w:p w14:paraId="2C964766" w14:textId="36FF5675" w:rsidR="00EC74F9" w:rsidRDefault="00EC74F9" w:rsidP="00EC74F9">
      <w:pPr>
        <w:rPr>
          <w:lang w:val="en-US"/>
        </w:rPr>
      </w:pPr>
      <w:bookmarkStart w:id="1" w:name="_GoBack"/>
      <w:bookmarkEnd w:id="1"/>
    </w:p>
    <w:p w14:paraId="7CA4A5F6" w14:textId="747E4126" w:rsidR="00EC74F9" w:rsidRDefault="00EC74F9" w:rsidP="00EC74F9">
      <w:pPr>
        <w:rPr>
          <w:lang w:val="en-US"/>
        </w:rPr>
      </w:pPr>
    </w:p>
    <w:p w14:paraId="2A963622" w14:textId="073782B6" w:rsidR="00EC74F9" w:rsidRDefault="00EC74F9" w:rsidP="00EC74F9">
      <w:pPr>
        <w:rPr>
          <w:b/>
        </w:rPr>
      </w:pPr>
      <w:r w:rsidRPr="00EC74F9">
        <w:rPr>
          <w:b/>
        </w:rPr>
        <w:t xml:space="preserve">Contents </w:t>
      </w:r>
      <w:proofErr w:type="spellStart"/>
      <w:r w:rsidRPr="00EC74F9">
        <w:rPr>
          <w:b/>
        </w:rPr>
        <w:t>of</w:t>
      </w:r>
      <w:proofErr w:type="spellEnd"/>
      <w:r w:rsidRPr="00EC74F9">
        <w:rPr>
          <w:b/>
        </w:rPr>
        <w:t xml:space="preserve"> </w:t>
      </w:r>
      <w:proofErr w:type="spellStart"/>
      <w:r w:rsidRPr="00EC74F9">
        <w:rPr>
          <w:b/>
        </w:rPr>
        <w:t>this</w:t>
      </w:r>
      <w:proofErr w:type="spellEnd"/>
      <w:r w:rsidRPr="00EC74F9">
        <w:rPr>
          <w:b/>
        </w:rPr>
        <w:t xml:space="preserve"> </w:t>
      </w:r>
      <w:proofErr w:type="spellStart"/>
      <w:r w:rsidRPr="00EC74F9">
        <w:rPr>
          <w:b/>
        </w:rPr>
        <w:t>file</w:t>
      </w:r>
      <w:proofErr w:type="spellEnd"/>
    </w:p>
    <w:p w14:paraId="779E219B" w14:textId="7D6B6C85" w:rsidR="00EC74F9" w:rsidRDefault="00EC74F9" w:rsidP="00EC74F9">
      <w:pPr>
        <w:ind w:left="708"/>
        <w:rPr>
          <w:lang w:val="en-US"/>
        </w:rPr>
      </w:pPr>
      <w:r w:rsidRPr="00EC74F9">
        <w:rPr>
          <w:lang w:val="en-US"/>
        </w:rPr>
        <w:t>Figure S1 to Figure S8</w:t>
      </w:r>
    </w:p>
    <w:p w14:paraId="1D2F24C0" w14:textId="7C8EB268" w:rsidR="00EA04A6" w:rsidRPr="00EA04A6" w:rsidRDefault="00EA04A6" w:rsidP="00EC74F9">
      <w:pPr>
        <w:ind w:left="708"/>
        <w:rPr>
          <w:lang w:val="en-US"/>
        </w:rPr>
      </w:pPr>
      <w:r w:rsidRPr="00EA04A6">
        <w:rPr>
          <w:rFonts w:cs="Times New Roman"/>
          <w:lang w:val="en-US"/>
        </w:rPr>
        <w:t>Table S1</w:t>
      </w:r>
    </w:p>
    <w:p w14:paraId="4AFEF322" w14:textId="220014EB" w:rsidR="00EC74F9" w:rsidRPr="00EC74F9" w:rsidRDefault="00EC74F9" w:rsidP="00EC74F9">
      <w:pPr>
        <w:ind w:left="708"/>
        <w:rPr>
          <w:lang w:val="en-US"/>
        </w:rPr>
      </w:pPr>
      <w:r w:rsidRPr="00EC74F9">
        <w:rPr>
          <w:lang w:val="en-US"/>
        </w:rPr>
        <w:t>Text S1</w:t>
      </w:r>
      <w:r>
        <w:rPr>
          <w:lang w:val="en-US"/>
        </w:rPr>
        <w:t xml:space="preserve"> to </w:t>
      </w:r>
      <w:r w:rsidRPr="00EC74F9">
        <w:rPr>
          <w:lang w:val="en-US"/>
        </w:rPr>
        <w:t>Text S</w:t>
      </w:r>
      <w:r>
        <w:rPr>
          <w:lang w:val="en-US"/>
        </w:rPr>
        <w:t>4</w:t>
      </w:r>
    </w:p>
    <w:p w14:paraId="28D64A92" w14:textId="0A82DD87" w:rsidR="00EC74F9" w:rsidRDefault="00EC74F9" w:rsidP="00EC74F9">
      <w:pPr>
        <w:rPr>
          <w:lang w:val="en-US"/>
        </w:rPr>
      </w:pPr>
    </w:p>
    <w:p w14:paraId="59793A84" w14:textId="7255B8C3" w:rsidR="00EC74F9" w:rsidRDefault="00EC74F9" w:rsidP="00EC74F9">
      <w:pPr>
        <w:rPr>
          <w:lang w:val="en-US"/>
        </w:rPr>
      </w:pPr>
    </w:p>
    <w:p w14:paraId="5D9E0859" w14:textId="1A80A808" w:rsidR="00EC74F9" w:rsidRDefault="00EC74F9" w:rsidP="00EC74F9">
      <w:pPr>
        <w:rPr>
          <w:lang w:val="en-US"/>
        </w:rPr>
      </w:pPr>
    </w:p>
    <w:p w14:paraId="54BB0635" w14:textId="537CFECB" w:rsidR="00EC74F9" w:rsidRDefault="00EC74F9" w:rsidP="00EC74F9">
      <w:pPr>
        <w:rPr>
          <w:lang w:val="en-US"/>
        </w:rPr>
      </w:pPr>
    </w:p>
    <w:p w14:paraId="7D479E3D" w14:textId="217FE45A" w:rsidR="00EC74F9" w:rsidRDefault="00EC74F9" w:rsidP="00EC74F9">
      <w:pPr>
        <w:rPr>
          <w:lang w:val="en-US"/>
        </w:rPr>
      </w:pPr>
    </w:p>
    <w:p w14:paraId="426814CE" w14:textId="5D60C837" w:rsidR="00EC74F9" w:rsidRDefault="00EC74F9" w:rsidP="00EC74F9">
      <w:pPr>
        <w:rPr>
          <w:lang w:val="en-US"/>
        </w:rPr>
      </w:pPr>
    </w:p>
    <w:p w14:paraId="64EDDD0A" w14:textId="08076E14" w:rsidR="00EC74F9" w:rsidRDefault="00EC74F9" w:rsidP="00EC74F9">
      <w:pPr>
        <w:rPr>
          <w:lang w:val="en-US"/>
        </w:rPr>
      </w:pPr>
    </w:p>
    <w:p w14:paraId="20169E54" w14:textId="6C8A87F6" w:rsidR="00EC74F9" w:rsidRDefault="00EC74F9" w:rsidP="00EC74F9">
      <w:pPr>
        <w:rPr>
          <w:lang w:val="en-US"/>
        </w:rPr>
      </w:pPr>
    </w:p>
    <w:p w14:paraId="198EEA38" w14:textId="76915053" w:rsidR="00EC74F9" w:rsidRDefault="00EC74F9" w:rsidP="00EC74F9">
      <w:pPr>
        <w:rPr>
          <w:lang w:val="en-US"/>
        </w:rPr>
      </w:pPr>
    </w:p>
    <w:p w14:paraId="3FC377BD" w14:textId="1412AA79" w:rsidR="00EC74F9" w:rsidRDefault="00EC74F9" w:rsidP="00EC74F9">
      <w:pPr>
        <w:rPr>
          <w:lang w:val="en-US"/>
        </w:rPr>
      </w:pPr>
    </w:p>
    <w:p w14:paraId="2B2295A3" w14:textId="4C106181" w:rsidR="00EC74F9" w:rsidRDefault="00EC74F9" w:rsidP="00EC74F9">
      <w:pPr>
        <w:rPr>
          <w:lang w:val="en-US"/>
        </w:rPr>
      </w:pPr>
    </w:p>
    <w:p w14:paraId="2B797AB1" w14:textId="6A2110A0" w:rsidR="00EC74F9" w:rsidRDefault="00EC74F9" w:rsidP="00EC74F9">
      <w:pPr>
        <w:rPr>
          <w:lang w:val="en-US"/>
        </w:rPr>
      </w:pPr>
    </w:p>
    <w:p w14:paraId="1187B6ED" w14:textId="1A42FD09" w:rsidR="00EC74F9" w:rsidRDefault="00EC74F9" w:rsidP="00EC74F9">
      <w:pPr>
        <w:rPr>
          <w:lang w:val="en-US"/>
        </w:rPr>
      </w:pPr>
    </w:p>
    <w:p w14:paraId="16F1FE84" w14:textId="77777777" w:rsidR="00EC74F9" w:rsidRPr="008B2DA0" w:rsidRDefault="00EC74F9" w:rsidP="00EC74F9">
      <w:pPr>
        <w:rPr>
          <w:lang w:val="en-US"/>
        </w:rPr>
      </w:pPr>
    </w:p>
    <w:p w14:paraId="44CC8F5E" w14:textId="77777777" w:rsidR="00F00FAE" w:rsidRPr="008B2DA0" w:rsidRDefault="00F00FAE" w:rsidP="00F00FAE">
      <w:pPr>
        <w:snapToGrid w:val="0"/>
        <w:spacing w:line="360" w:lineRule="auto"/>
        <w:rPr>
          <w:rFonts w:cs="Times New Roman"/>
          <w:lang w:val="en-US"/>
        </w:rPr>
      </w:pPr>
      <w:r w:rsidRPr="008B2DA0">
        <w:rPr>
          <w:noProof/>
        </w:rPr>
        <w:lastRenderedPageBreak/>
        <w:drawing>
          <wp:inline distT="0" distB="0" distL="0" distR="0" wp14:anchorId="077B6173" wp14:editId="23561D6B">
            <wp:extent cx="5731510" cy="204696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046968"/>
                    </a:xfrm>
                    <a:prstGeom prst="rect">
                      <a:avLst/>
                    </a:prstGeom>
                    <a:noFill/>
                    <a:ln>
                      <a:noFill/>
                    </a:ln>
                  </pic:spPr>
                </pic:pic>
              </a:graphicData>
            </a:graphic>
          </wp:inline>
        </w:drawing>
      </w:r>
    </w:p>
    <w:p w14:paraId="76A4EFB9" w14:textId="77777777" w:rsidR="00F00FAE" w:rsidRPr="008B2DA0" w:rsidRDefault="00F00FAE" w:rsidP="00F00FAE">
      <w:pPr>
        <w:snapToGrid w:val="0"/>
        <w:spacing w:line="360" w:lineRule="auto"/>
        <w:rPr>
          <w:rFonts w:cs="Times New Roman"/>
          <w:lang w:val="en-US"/>
        </w:rPr>
      </w:pPr>
      <w:r w:rsidRPr="008B2DA0">
        <w:rPr>
          <w:noProof/>
        </w:rPr>
        <w:drawing>
          <wp:inline distT="0" distB="0" distL="0" distR="0" wp14:anchorId="39B364E4" wp14:editId="3232628F">
            <wp:extent cx="5731510" cy="1968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5731510" cy="1968500"/>
                    </a:xfrm>
                    <a:prstGeom prst="rect">
                      <a:avLst/>
                    </a:prstGeom>
                    <a:noFill/>
                    <a:ln>
                      <a:noFill/>
                    </a:ln>
                  </pic:spPr>
                </pic:pic>
              </a:graphicData>
            </a:graphic>
          </wp:inline>
        </w:drawing>
      </w:r>
    </w:p>
    <w:p w14:paraId="308D7F99" w14:textId="48EA04A7" w:rsidR="00F00FAE" w:rsidRDefault="00F00FAE" w:rsidP="0053297D">
      <w:pPr>
        <w:snapToGrid w:val="0"/>
        <w:spacing w:line="360" w:lineRule="auto"/>
        <w:outlineLvl w:val="1"/>
        <w:rPr>
          <w:rFonts w:cs="Times New Roman"/>
          <w:lang w:val="en-US"/>
        </w:rPr>
      </w:pPr>
      <w:r w:rsidRPr="008B2DA0">
        <w:rPr>
          <w:rFonts w:cs="Times New Roman"/>
          <w:b/>
          <w:lang w:val="en-US"/>
        </w:rPr>
        <w:t xml:space="preserve">Figure S1. </w:t>
      </w:r>
      <w:r w:rsidRPr="008B2DA0">
        <w:rPr>
          <w:rFonts w:cs="Times New Roman"/>
          <w:lang w:val="en-US"/>
        </w:rPr>
        <w:t xml:space="preserve">Correlation heatmaps showing the influence of the North Atlantic Oscillation (NAO) and climate drivers on hydro-ecohydrological variables in the </w:t>
      </w:r>
      <w:proofErr w:type="spellStart"/>
      <w:r w:rsidRPr="008B2DA0">
        <w:rPr>
          <w:rFonts w:cs="Times New Roman"/>
          <w:lang w:val="en-US"/>
        </w:rPr>
        <w:t>Demnitzer</w:t>
      </w:r>
      <w:proofErr w:type="spellEnd"/>
      <w:r w:rsidRPr="008B2DA0">
        <w:rPr>
          <w:rFonts w:cs="Times New Roman"/>
          <w:lang w:val="en-US"/>
        </w:rPr>
        <w:t xml:space="preserve"> Mill Creek catchment (DMC) (a) Detrended correlations between the winter NAO index and subsequent seasonal (winter, spring, summer</w:t>
      </w:r>
      <w:r w:rsidRPr="008B2DA0">
        <w:rPr>
          <w:rFonts w:cs="Times New Roman" w:hint="eastAsia"/>
          <w:lang w:val="en-US"/>
        </w:rPr>
        <w:t>,</w:t>
      </w:r>
      <w:r w:rsidRPr="008B2DA0">
        <w:rPr>
          <w:rFonts w:cs="Times New Roman"/>
          <w:lang w:val="en-US"/>
        </w:rPr>
        <w:t xml:space="preserve"> autumn) climate and hydrological variables. (b) Correlations between seasonal climate drivers (NAO, precipitation, PET) and summer ecohydrological responses, including soil moisture, groundwater recharge, transpiration, groundwater depth, and streamflow. Modeled soil moisture, transpiration, and groundwater recharge at the broadleaf forest site, along with observed groundwater depth and streamflow from gauge stations (Figure 4), are presented. (c–e) Relationships between detrended previous winter NAO, expressed as the December–February (DJF) mean index, and detrended autumn </w:t>
      </w:r>
      <w:r>
        <w:rPr>
          <w:rFonts w:cs="Times New Roman"/>
          <w:lang w:val="en-US"/>
        </w:rPr>
        <w:t>soil moisture</w:t>
      </w:r>
      <w:r w:rsidRPr="008B2DA0">
        <w:rPr>
          <w:rFonts w:cs="Times New Roman"/>
          <w:lang w:val="en-US"/>
        </w:rPr>
        <w:t xml:space="preserve"> anomalies for surface (0–10 cm), lower (10–30 cm), and deep (30–100 cm) layers. Anomalies are relative to the 2000–2024 summer mean for land</w:t>
      </w:r>
      <w:r>
        <w:rPr>
          <w:rFonts w:cs="Times New Roman"/>
          <w:lang w:val="en-US"/>
        </w:rPr>
        <w:t>-</w:t>
      </w:r>
      <w:r w:rsidRPr="008B2DA0">
        <w:rPr>
          <w:rFonts w:cs="Times New Roman"/>
          <w:lang w:val="en-US"/>
        </w:rPr>
        <w:t xml:space="preserve">use </w:t>
      </w:r>
      <w:r>
        <w:rPr>
          <w:rFonts w:cs="Times New Roman"/>
          <w:lang w:val="en-US"/>
        </w:rPr>
        <w:t xml:space="preserve">types: </w:t>
      </w:r>
      <w:r w:rsidRPr="008B2DA0">
        <w:rPr>
          <w:rFonts w:cs="Times New Roman"/>
          <w:lang w:val="en-US"/>
        </w:rPr>
        <w:t>broadleaf forest, conifer forest, agroforest, crop, and grassland. Values represent Pearson correlation coefficients after detrending; asterisks (*) denote statistical significance at p &lt; 0.05.</w:t>
      </w:r>
    </w:p>
    <w:p w14:paraId="3F64DFEE" w14:textId="77777777" w:rsidR="00F00FAE" w:rsidRPr="008B2DA0" w:rsidRDefault="00F00FAE" w:rsidP="00F00FAE">
      <w:pPr>
        <w:snapToGrid w:val="0"/>
        <w:spacing w:line="360" w:lineRule="auto"/>
        <w:rPr>
          <w:rFonts w:cs="Times New Roman"/>
          <w:lang w:val="en-US"/>
        </w:rPr>
      </w:pPr>
      <w:r w:rsidRPr="008B2DA0">
        <w:rPr>
          <w:noProof/>
        </w:rPr>
        <w:lastRenderedPageBreak/>
        <w:drawing>
          <wp:inline distT="0" distB="0" distL="0" distR="0" wp14:anchorId="51FBD8B9" wp14:editId="45B603B4">
            <wp:extent cx="5731510" cy="254952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731510" cy="2549525"/>
                    </a:xfrm>
                    <a:prstGeom prst="rect">
                      <a:avLst/>
                    </a:prstGeom>
                    <a:noFill/>
                    <a:ln>
                      <a:noFill/>
                    </a:ln>
                  </pic:spPr>
                </pic:pic>
              </a:graphicData>
            </a:graphic>
          </wp:inline>
        </w:drawing>
      </w:r>
    </w:p>
    <w:p w14:paraId="1BEF9504" w14:textId="77777777" w:rsidR="00F00FAE" w:rsidRDefault="00F00FAE" w:rsidP="0053297D">
      <w:pPr>
        <w:snapToGrid w:val="0"/>
        <w:spacing w:line="360" w:lineRule="auto"/>
        <w:outlineLvl w:val="1"/>
        <w:rPr>
          <w:rFonts w:cs="Times New Roman"/>
          <w:lang w:val="en-US"/>
        </w:rPr>
      </w:pPr>
      <w:r w:rsidRPr="008B2DA0">
        <w:rPr>
          <w:rFonts w:cs="Times New Roman"/>
          <w:b/>
          <w:lang w:val="en-US"/>
        </w:rPr>
        <w:t>Figure S</w:t>
      </w:r>
      <w:r>
        <w:rPr>
          <w:rFonts w:cs="Times New Roman"/>
          <w:b/>
          <w:lang w:val="en-US"/>
        </w:rPr>
        <w:t>2</w:t>
      </w:r>
      <w:r w:rsidRPr="008B2DA0">
        <w:rPr>
          <w:rFonts w:cs="Times New Roman"/>
          <w:b/>
          <w:lang w:val="en-US"/>
        </w:rPr>
        <w:t>.</w:t>
      </w:r>
      <w:r w:rsidRPr="008B2DA0">
        <w:rPr>
          <w:rFonts w:cs="Times New Roman"/>
          <w:lang w:val="en-US"/>
        </w:rPr>
        <w:t xml:space="preserve"> Monthly time series (left) and intra-annual cycles (right) of </w:t>
      </w:r>
      <w:r>
        <w:rPr>
          <w:rFonts w:cs="Times New Roman"/>
          <w:lang w:val="en-US"/>
        </w:rPr>
        <w:t xml:space="preserve">different </w:t>
      </w:r>
      <w:r w:rsidRPr="008B2DA0">
        <w:rPr>
          <w:rFonts w:cs="Times New Roman"/>
          <w:lang w:val="en-US"/>
        </w:rPr>
        <w:t xml:space="preserve">standardized 1-month drought indices for the </w:t>
      </w:r>
      <w:proofErr w:type="spellStart"/>
      <w:r w:rsidRPr="008B2DA0">
        <w:rPr>
          <w:rFonts w:cs="Times New Roman"/>
          <w:lang w:val="en-US"/>
        </w:rPr>
        <w:t>Demnitzer</w:t>
      </w:r>
      <w:proofErr w:type="spellEnd"/>
      <w:r w:rsidRPr="008B2DA0">
        <w:rPr>
          <w:rFonts w:cs="Times New Roman"/>
          <w:lang w:val="en-US"/>
        </w:rPr>
        <w:t xml:space="preserve"> Mill Creek (DMC) catchment, Germany (2000–2024). Panels show (a, b) SPEI-1, (c, d) SSMI (lower 10–30 cm) for </w:t>
      </w:r>
      <w:r w:rsidRPr="00EF4AD4">
        <w:rPr>
          <w:rFonts w:cs="Times New Roman"/>
          <w:lang w:val="en-US"/>
        </w:rPr>
        <w:t xml:space="preserve">broadleaf </w:t>
      </w:r>
      <w:r w:rsidRPr="008B2DA0">
        <w:rPr>
          <w:rFonts w:cs="Times New Roman"/>
          <w:lang w:val="en-US"/>
        </w:rPr>
        <w:t>forest, and (e, f) SSMI (lower 10–30 cm) for crop. Red shading denotes drought (index &lt; –1) and blue denotes wet anomalies (index &gt; 1). Gray lines indicate all years; colored lines highlight drought years 2018 and 2022.</w:t>
      </w:r>
    </w:p>
    <w:p w14:paraId="51346EFA" w14:textId="77777777" w:rsidR="00F00FAE" w:rsidRPr="008B2DA0" w:rsidRDefault="00F00FAE" w:rsidP="0053297D">
      <w:pPr>
        <w:snapToGrid w:val="0"/>
        <w:spacing w:line="360" w:lineRule="auto"/>
        <w:outlineLvl w:val="0"/>
        <w:rPr>
          <w:rStyle w:val="Emphasis"/>
          <w:rFonts w:cs="Times New Roman"/>
          <w:b/>
          <w:i w:val="0"/>
          <w:lang w:val="en-US"/>
        </w:rPr>
      </w:pPr>
      <w:r w:rsidRPr="008B2DA0">
        <w:rPr>
          <w:rStyle w:val="Emphasis"/>
          <w:rFonts w:cs="Times New Roman"/>
          <w:b/>
          <w:lang w:val="en-US"/>
        </w:rPr>
        <w:t>Text S1. Synoptic-Scale Atmospheric Anomalies Associated with the 2018 and 2022 Droughts in Central Europe</w:t>
      </w:r>
    </w:p>
    <w:p w14:paraId="63925352" w14:textId="77777777" w:rsidR="00F00FAE" w:rsidRPr="008B2DA0" w:rsidRDefault="00F00FAE" w:rsidP="00F00FAE">
      <w:pPr>
        <w:spacing w:line="360" w:lineRule="auto"/>
        <w:rPr>
          <w:rFonts w:cs="Times New Roman"/>
          <w:szCs w:val="32"/>
          <w:lang w:val="en-US"/>
        </w:rPr>
      </w:pPr>
      <w:r w:rsidRPr="008B2DA0">
        <w:rPr>
          <w:rFonts w:cs="Times New Roman"/>
          <w:szCs w:val="32"/>
          <w:lang w:val="en-US"/>
        </w:rPr>
        <w:t>The droughts of 2018 and 2022 (Figure S3) illustrate how synoptic-scale atmospheric anomalies compound ecohydrological drought risk in Central Europe</w:t>
      </w:r>
      <w:r>
        <w:rPr>
          <w:rFonts w:cs="Times New Roman"/>
          <w:szCs w:val="32"/>
          <w:lang w:val="en-US"/>
        </w:rPr>
        <w:t>’s lowlands</w:t>
      </w:r>
      <w:r w:rsidRPr="008B2DA0">
        <w:rPr>
          <w:rFonts w:cs="Times New Roman"/>
          <w:szCs w:val="32"/>
          <w:lang w:val="en-US"/>
        </w:rPr>
        <w:t xml:space="preserve">. Both events were characterized by persistent positive anomalies in 500 </w:t>
      </w:r>
      <w:proofErr w:type="spellStart"/>
      <w:r w:rsidRPr="008B2DA0">
        <w:rPr>
          <w:rFonts w:cs="Times New Roman"/>
          <w:szCs w:val="32"/>
          <w:lang w:val="en-US"/>
        </w:rPr>
        <w:t>hPa</w:t>
      </w:r>
      <w:proofErr w:type="spellEnd"/>
      <w:r w:rsidRPr="008B2DA0">
        <w:rPr>
          <w:rFonts w:cs="Times New Roman"/>
          <w:szCs w:val="32"/>
          <w:lang w:val="en-US"/>
        </w:rPr>
        <w:t xml:space="preserve"> geopotential height (Z500), reflecting quasi-stationary blocking highs that suppressed moisture advection into the region (Figures S3a, S3b). At 850 </w:t>
      </w:r>
      <w:proofErr w:type="spellStart"/>
      <w:r w:rsidRPr="008B2DA0">
        <w:rPr>
          <w:rFonts w:cs="Times New Roman"/>
          <w:szCs w:val="32"/>
          <w:lang w:val="en-US"/>
        </w:rPr>
        <w:t>hPa</w:t>
      </w:r>
      <w:proofErr w:type="spellEnd"/>
      <w:r w:rsidRPr="008B2DA0">
        <w:rPr>
          <w:rFonts w:cs="Times New Roman"/>
          <w:szCs w:val="32"/>
          <w:lang w:val="en-US"/>
        </w:rPr>
        <w:t xml:space="preserve">, easterly wind anomalies reduced onshore Atlantic moisture transport, exacerbating precipitation deficits (Figures S3c, S3d, S3g and S3h). These circulation anomalies coincided with widespread positive surface temperature anomalies, which elevated evaporative demand and accelerated soil moisture depletion (Figures S3e and S3f). Together, the persistence of blocking and altered westerly flow patterns sustained drought conditions across Central Europe during these events, consistent with earlier studies linking atmospheric circulation anomalies to European droughts </w:t>
      </w:r>
      <w:sdt>
        <w:sdtPr>
          <w:rPr>
            <w:rFonts w:cs="Times New Roman"/>
            <w:color w:val="000000"/>
            <w:szCs w:val="32"/>
            <w:lang w:val="en-US"/>
          </w:rPr>
          <w:tag w:val="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"/>
          <w:id w:val="-1410693876"/>
          <w:placeholder>
            <w:docPart w:val="E96725D2C4DC4A878B07FAE558785F6D"/>
          </w:placeholder>
        </w:sdtPr>
        <w:sdtContent>
          <w:r w:rsidRPr="001447DE">
            <w:rPr>
              <w:rFonts w:cs="Times New Roman"/>
              <w:color w:val="000000"/>
              <w:szCs w:val="32"/>
              <w:lang w:val="en-US"/>
            </w:rPr>
            <w:t>(Bakke et al., 2023; Benedict et al., 2021; Buras et al., 2020)</w:t>
          </w:r>
        </w:sdtContent>
      </w:sdt>
      <w:r w:rsidRPr="008B2DA0">
        <w:rPr>
          <w:rFonts w:cs="Times New Roman"/>
          <w:szCs w:val="32"/>
          <w:lang w:val="en-US"/>
        </w:rPr>
        <w:t>.</w:t>
      </w:r>
    </w:p>
    <w:p w14:paraId="7F935D35" w14:textId="77777777" w:rsidR="00F00FAE" w:rsidRPr="008B2DA0" w:rsidRDefault="00F00FAE" w:rsidP="00F00FAE">
      <w:pPr>
        <w:spacing w:line="360" w:lineRule="auto"/>
        <w:rPr>
          <w:rFonts w:cs="Times New Roman"/>
          <w:szCs w:val="32"/>
          <w:lang w:val="en-US"/>
        </w:rPr>
      </w:pPr>
    </w:p>
    <w:p w14:paraId="536BB416" w14:textId="77777777" w:rsidR="00F00FAE" w:rsidRPr="008B2DA0" w:rsidRDefault="00F00FAE" w:rsidP="00F00FAE">
      <w:pPr>
        <w:snapToGrid w:val="0"/>
        <w:spacing w:line="360" w:lineRule="auto"/>
        <w:jc w:val="center"/>
        <w:rPr>
          <w:rFonts w:cs="Times New Roman"/>
          <w:szCs w:val="32"/>
          <w:lang w:val="en-US"/>
        </w:rPr>
      </w:pPr>
      <w:r w:rsidRPr="008B2DA0">
        <w:rPr>
          <w:rFonts w:cs="Times New Roman"/>
          <w:noProof/>
        </w:rPr>
        <w:lastRenderedPageBreak/>
        <w:drawing>
          <wp:inline distT="0" distB="0" distL="0" distR="0" wp14:anchorId="72B8E9B4" wp14:editId="3AEA8C03">
            <wp:extent cx="5731510" cy="636834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731510" cy="6368344"/>
                    </a:xfrm>
                    <a:prstGeom prst="rect">
                      <a:avLst/>
                    </a:prstGeom>
                    <a:noFill/>
                    <a:ln>
                      <a:noFill/>
                    </a:ln>
                  </pic:spPr>
                </pic:pic>
              </a:graphicData>
            </a:graphic>
          </wp:inline>
        </w:drawing>
      </w:r>
    </w:p>
    <w:p w14:paraId="65E89751" w14:textId="77777777" w:rsidR="00F00FAE" w:rsidRPr="008B2DA0" w:rsidRDefault="00F00FAE" w:rsidP="0053297D">
      <w:pPr>
        <w:outlineLvl w:val="1"/>
        <w:rPr>
          <w:rFonts w:cs="Times New Roman"/>
          <w:lang w:val="en-US"/>
        </w:rPr>
      </w:pPr>
      <w:r w:rsidRPr="008B2DA0">
        <w:rPr>
          <w:rStyle w:val="Strong"/>
          <w:rFonts w:cs="Times New Roman"/>
          <w:lang w:val="en-US"/>
        </w:rPr>
        <w:t>Figure S3.</w:t>
      </w:r>
      <w:r w:rsidRPr="008B2DA0">
        <w:rPr>
          <w:rFonts w:cs="Times New Roman"/>
          <w:lang w:val="en-US"/>
        </w:rPr>
        <w:t xml:space="preserve"> Monthly anomalies for </w:t>
      </w:r>
      <w:r w:rsidRPr="008B2DA0">
        <w:rPr>
          <w:rStyle w:val="Strong"/>
          <w:rFonts w:cs="Times New Roman"/>
          <w:lang w:val="en-US"/>
        </w:rPr>
        <w:t>August 2018</w:t>
      </w:r>
      <w:r w:rsidRPr="008B2DA0">
        <w:rPr>
          <w:rFonts w:cs="Times New Roman"/>
          <w:lang w:val="en-US"/>
        </w:rPr>
        <w:t xml:space="preserve"> (left) and</w:t>
      </w:r>
      <w:r w:rsidRPr="008B2DA0">
        <w:rPr>
          <w:rFonts w:cs="Times New Roman"/>
          <w:b/>
          <w:lang w:val="en-US"/>
        </w:rPr>
        <w:t xml:space="preserve"> </w:t>
      </w:r>
      <w:r w:rsidRPr="008B2DA0">
        <w:rPr>
          <w:rStyle w:val="Strong"/>
          <w:rFonts w:cs="Times New Roman"/>
          <w:lang w:val="en-US"/>
        </w:rPr>
        <w:t>March 2022</w:t>
      </w:r>
      <w:r w:rsidRPr="008B2DA0">
        <w:rPr>
          <w:rFonts w:cs="Times New Roman"/>
          <w:lang w:val="en-US"/>
        </w:rPr>
        <w:t xml:space="preserve"> (right): (a–b) 500 </w:t>
      </w:r>
      <w:proofErr w:type="spellStart"/>
      <w:r w:rsidRPr="008B2DA0">
        <w:rPr>
          <w:rFonts w:cs="Times New Roman"/>
          <w:lang w:val="en-US"/>
        </w:rPr>
        <w:t>hPa</w:t>
      </w:r>
      <w:proofErr w:type="spellEnd"/>
      <w:r w:rsidRPr="008B2DA0">
        <w:rPr>
          <w:rFonts w:cs="Times New Roman"/>
          <w:lang w:val="en-US"/>
        </w:rPr>
        <w:t xml:space="preserve"> geopotential height anomalies (Z500; shading, with 250 m contours), (c–d) 850 </w:t>
      </w:r>
      <w:proofErr w:type="spellStart"/>
      <w:r w:rsidRPr="008B2DA0">
        <w:rPr>
          <w:rFonts w:cs="Times New Roman"/>
          <w:lang w:val="en-US"/>
        </w:rPr>
        <w:t>hPa</w:t>
      </w:r>
      <w:proofErr w:type="spellEnd"/>
      <w:r w:rsidRPr="008B2DA0">
        <w:rPr>
          <w:rFonts w:cs="Times New Roman"/>
          <w:lang w:val="en-US"/>
        </w:rPr>
        <w:t xml:space="preserve"> wind anomalies (vectors; reference = 10 m s⁻¹), (e–f) 2 m air temperature anomalies (T2m), and (g–h) precipitation anomalies. Z500, wind, and T2m are shown over the North Atlantic–Europe sector; precipitation over Europe. The DMC site (14.25°E, 52.38°N) is marked by a star. Anomalies are relative to the study climatology.</w:t>
      </w:r>
    </w:p>
    <w:p w14:paraId="2701EAC6" w14:textId="77777777" w:rsidR="00F00FAE" w:rsidRDefault="00F00FAE" w:rsidP="00F00FAE">
      <w:pPr>
        <w:snapToGrid w:val="0"/>
        <w:spacing w:line="360" w:lineRule="auto"/>
        <w:rPr>
          <w:rFonts w:cs="Times New Roman"/>
          <w:lang w:val="en-US"/>
        </w:rPr>
      </w:pPr>
    </w:p>
    <w:p w14:paraId="0F987A6F" w14:textId="77777777" w:rsidR="00F00FAE" w:rsidRDefault="00F00FAE" w:rsidP="00F00FAE">
      <w:pPr>
        <w:snapToGrid w:val="0"/>
        <w:spacing w:line="360" w:lineRule="auto"/>
        <w:rPr>
          <w:rFonts w:cs="Times New Roman"/>
          <w:lang w:val="en-US"/>
        </w:rPr>
      </w:pPr>
    </w:p>
    <w:p w14:paraId="679DB942" w14:textId="77777777" w:rsidR="00F00FAE" w:rsidRPr="008B2DA0" w:rsidRDefault="00F00FAE" w:rsidP="00F00FAE">
      <w:pPr>
        <w:snapToGrid w:val="0"/>
        <w:spacing w:line="360" w:lineRule="auto"/>
        <w:rPr>
          <w:rFonts w:cs="Times New Roman"/>
          <w:lang w:val="en-US"/>
        </w:rPr>
      </w:pPr>
    </w:p>
    <w:p w14:paraId="28D8F703" w14:textId="77777777" w:rsidR="00F00FAE" w:rsidRPr="008B2DA0" w:rsidRDefault="00F00FAE" w:rsidP="0053297D">
      <w:pPr>
        <w:snapToGrid w:val="0"/>
        <w:spacing w:line="360" w:lineRule="auto"/>
        <w:outlineLvl w:val="0"/>
        <w:rPr>
          <w:rStyle w:val="Emphasis"/>
          <w:rFonts w:cs="Times New Roman"/>
          <w:b/>
          <w:i w:val="0"/>
          <w:lang w:val="en-US"/>
        </w:rPr>
      </w:pPr>
      <w:r w:rsidRPr="008B2DA0">
        <w:rPr>
          <w:rStyle w:val="Emphasis"/>
          <w:rFonts w:cs="Times New Roman"/>
          <w:b/>
          <w:lang w:val="en-US"/>
        </w:rPr>
        <w:lastRenderedPageBreak/>
        <w:t>Text S</w:t>
      </w:r>
      <w:r>
        <w:rPr>
          <w:rStyle w:val="Emphasis"/>
          <w:rFonts w:cs="Times New Roman"/>
          <w:b/>
          <w:lang w:val="en-US"/>
        </w:rPr>
        <w:t>2</w:t>
      </w:r>
      <w:r w:rsidRPr="008B2DA0">
        <w:rPr>
          <w:rStyle w:val="Emphasis"/>
          <w:rFonts w:cs="Times New Roman"/>
          <w:b/>
          <w:lang w:val="en-US"/>
        </w:rPr>
        <w:t xml:space="preserve">. </w:t>
      </w:r>
      <w:r w:rsidRPr="00357371">
        <w:rPr>
          <w:rStyle w:val="Emphasis"/>
          <w:rFonts w:cs="Times New Roman"/>
          <w:b/>
          <w:lang w:val="en-US"/>
        </w:rPr>
        <w:t xml:space="preserve">Winter NAO </w:t>
      </w:r>
      <w:r>
        <w:rPr>
          <w:rStyle w:val="Emphasis"/>
          <w:rFonts w:cs="Times New Roman"/>
          <w:b/>
          <w:lang w:val="en-US"/>
        </w:rPr>
        <w:t>and</w:t>
      </w:r>
      <w:r w:rsidRPr="00357371">
        <w:rPr>
          <w:rStyle w:val="Emphasis"/>
          <w:rFonts w:cs="Times New Roman"/>
          <w:b/>
          <w:lang w:val="en-US"/>
        </w:rPr>
        <w:t xml:space="preserve"> Hydroclimatic Variability at the DMC Catchment</w:t>
      </w:r>
    </w:p>
    <w:p w14:paraId="2689065B" w14:textId="77777777" w:rsidR="00F00FAE" w:rsidRPr="008B2DA0" w:rsidRDefault="00F00FAE" w:rsidP="00F00FAE">
      <w:pPr>
        <w:spacing w:line="360" w:lineRule="auto"/>
        <w:rPr>
          <w:rFonts w:cs="Times New Roman"/>
          <w:szCs w:val="32"/>
          <w:lang w:val="en-US"/>
        </w:rPr>
      </w:pPr>
      <w:r w:rsidRPr="008B2DA0">
        <w:rPr>
          <w:rFonts w:cs="Times New Roman"/>
          <w:szCs w:val="32"/>
          <w:lang w:val="en-US"/>
        </w:rPr>
        <w:t xml:space="preserve">Comparison of winter NAO indices with hydroclimatic variability at DMC revealed a strong </w:t>
      </w:r>
      <w:r>
        <w:rPr>
          <w:rFonts w:cs="Times New Roman"/>
          <w:szCs w:val="32"/>
          <w:lang w:val="en-US"/>
        </w:rPr>
        <w:t>c</w:t>
      </w:r>
      <w:r w:rsidRPr="00EF4AD4">
        <w:rPr>
          <w:rFonts w:cs="Times New Roman"/>
          <w:szCs w:val="32"/>
          <w:lang w:val="en-US"/>
        </w:rPr>
        <w:t>orrelation</w:t>
      </w:r>
      <w:r w:rsidRPr="008B2DA0">
        <w:rPr>
          <w:rFonts w:cs="Times New Roman"/>
          <w:szCs w:val="32"/>
          <w:lang w:val="en-US"/>
        </w:rPr>
        <w:t>: positive NAO winters frequently align with dry summers and droughts (Figure S3), while negative NAO winters often precede wetter conditions and even exceptional streamflow peaks, as observed in 2010 (Figure 2</w:t>
      </w:r>
      <w:r>
        <w:rPr>
          <w:rFonts w:cs="Times New Roman"/>
          <w:szCs w:val="32"/>
          <w:lang w:val="en-US"/>
        </w:rPr>
        <w:t>g</w:t>
      </w:r>
      <w:r w:rsidRPr="008B2DA0">
        <w:rPr>
          <w:rFonts w:cs="Times New Roman"/>
          <w:szCs w:val="32"/>
          <w:lang w:val="en-US"/>
        </w:rPr>
        <w:t xml:space="preserve"> and Figure S4e). A pronounced NAO phase shift during 2010–2012 </w:t>
      </w:r>
      <w:sdt>
        <w:sdtPr>
          <w:rPr>
            <w:rFonts w:cs="Times New Roman"/>
            <w:color w:val="000000"/>
            <w:szCs w:val="32"/>
            <w:lang w:val="en-US"/>
          </w:rPr>
          <w:tag w:val="MENDELEY_CITATION_v3_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"/>
          <w:id w:val="-313101906"/>
          <w:placeholder>
            <w:docPart w:val="9F77DCF1C85F4A03AE2061A52C296954"/>
          </w:placeholder>
        </w:sdtPr>
        <w:sdtContent>
          <w:r w:rsidRPr="001447DE">
            <w:rPr>
              <w:rFonts w:cs="Times New Roman"/>
              <w:color w:val="000000"/>
              <w:szCs w:val="32"/>
              <w:lang w:val="en-US"/>
            </w:rPr>
            <w:t>(Santos et al., 2013)</w:t>
          </w:r>
        </w:sdtContent>
      </w:sdt>
      <w:r w:rsidRPr="008B2DA0">
        <w:rPr>
          <w:rFonts w:cs="Times New Roman"/>
          <w:szCs w:val="32"/>
          <w:lang w:val="en-US"/>
        </w:rPr>
        <w:t xml:space="preserve"> coincided with marked declines in summer streamflow and groundwater levels</w:t>
      </w:r>
      <w:r w:rsidRPr="008B2DA0" w:rsidDel="00944119">
        <w:rPr>
          <w:rFonts w:cs="Times New Roman"/>
          <w:szCs w:val="32"/>
          <w:lang w:val="en-US"/>
        </w:rPr>
        <w:t xml:space="preserve"> </w:t>
      </w:r>
      <w:r w:rsidRPr="008B2DA0">
        <w:rPr>
          <w:rFonts w:cs="Times New Roman"/>
          <w:szCs w:val="32"/>
          <w:lang w:val="en-US"/>
        </w:rPr>
        <w:t xml:space="preserve">at the DMC site </w:t>
      </w:r>
      <w:sdt>
        <w:sdtPr>
          <w:rPr>
            <w:rFonts w:cs="Times New Roman"/>
            <w:color w:val="000000"/>
            <w:szCs w:val="32"/>
            <w:lang w:val="en-US"/>
          </w:rPr>
          <w:tag w:val="MENDELEY_CITATION_v3_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"/>
          <w:id w:val="-1722125117"/>
          <w:placeholder>
            <w:docPart w:val="9F77DCF1C85F4A03AE2061A52C296954"/>
          </w:placeholder>
        </w:sdtPr>
        <w:sdtContent>
          <w:r w:rsidRPr="001447DE">
            <w:rPr>
              <w:rFonts w:cs="Times New Roman"/>
              <w:color w:val="000000"/>
              <w:szCs w:val="32"/>
              <w:lang w:val="en-US"/>
            </w:rPr>
            <w:t>(Wu et al., 2021)</w:t>
          </w:r>
        </w:sdtContent>
      </w:sdt>
      <w:r w:rsidRPr="008B2DA0">
        <w:rPr>
          <w:rFonts w:cs="Times New Roman"/>
          <w:szCs w:val="32"/>
          <w:lang w:val="en-US"/>
        </w:rPr>
        <w:t xml:space="preserve">, underscoring the importance of winter teleconnections for subsequent ecohydrological responses. </w:t>
      </w:r>
    </w:p>
    <w:p w14:paraId="71C5A9D9" w14:textId="77777777" w:rsidR="00F00FAE" w:rsidRPr="008B2DA0" w:rsidRDefault="00F00FAE" w:rsidP="00F00FAE">
      <w:pPr>
        <w:snapToGrid w:val="0"/>
        <w:spacing w:line="360" w:lineRule="auto"/>
        <w:rPr>
          <w:rFonts w:cs="Times New Roman"/>
          <w:lang w:val="en-US"/>
        </w:rPr>
      </w:pPr>
    </w:p>
    <w:p w14:paraId="4711CD09" w14:textId="77777777" w:rsidR="00F00FAE" w:rsidRPr="008B2DA0" w:rsidRDefault="00F00FAE" w:rsidP="00F00FAE">
      <w:pPr>
        <w:snapToGrid w:val="0"/>
        <w:spacing w:line="360" w:lineRule="auto"/>
        <w:rPr>
          <w:rFonts w:cs="Times New Roman"/>
          <w:lang w:val="en-US"/>
        </w:rPr>
      </w:pPr>
    </w:p>
    <w:p w14:paraId="10F3BEFE" w14:textId="77777777" w:rsidR="00F00FAE" w:rsidRPr="008B2DA0" w:rsidRDefault="00F00FAE" w:rsidP="00F00FAE">
      <w:pPr>
        <w:rPr>
          <w:rFonts w:cs="Times New Roman"/>
          <w:szCs w:val="32"/>
          <w:lang w:val="en-US"/>
        </w:rPr>
        <w:sectPr w:rsidR="00F00FAE" w:rsidRPr="008B2DA0" w:rsidSect="00B7201D">
          <w:pgSz w:w="11906" w:h="16838"/>
          <w:pgMar w:top="1440" w:right="1440" w:bottom="1440" w:left="1440" w:header="720" w:footer="720" w:gutter="0"/>
          <w:lnNumType w:countBy="1" w:restart="continuous"/>
          <w:cols w:space="720"/>
          <w:docGrid w:linePitch="360"/>
        </w:sectPr>
      </w:pPr>
    </w:p>
    <w:p w14:paraId="71F2DF40" w14:textId="77777777" w:rsidR="00F00FAE" w:rsidRPr="008B2DA0" w:rsidRDefault="00F00FAE" w:rsidP="00F00FAE">
      <w:pPr>
        <w:rPr>
          <w:rFonts w:cs="Times New Roman"/>
          <w:szCs w:val="32"/>
          <w:lang w:val="en-US"/>
        </w:rPr>
      </w:pPr>
    </w:p>
    <w:p w14:paraId="0D6B974F" w14:textId="77777777" w:rsidR="00F00FAE" w:rsidRPr="008B2DA0" w:rsidRDefault="00F00FAE" w:rsidP="00F00FAE">
      <w:pPr>
        <w:jc w:val="center"/>
        <w:rPr>
          <w:rFonts w:cs="Times New Roman"/>
          <w:lang w:val="en-US"/>
        </w:rPr>
      </w:pPr>
      <w:r w:rsidRPr="008B2DA0">
        <w:rPr>
          <w:rFonts w:cs="Times New Roman"/>
          <w:noProof/>
        </w:rPr>
        <w:drawing>
          <wp:inline distT="0" distB="0" distL="0" distR="0" wp14:anchorId="530A1F0A" wp14:editId="46559534">
            <wp:extent cx="6336792" cy="4425696"/>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336792" cy="4425696"/>
                    </a:xfrm>
                    <a:prstGeom prst="rect">
                      <a:avLst/>
                    </a:prstGeom>
                    <a:noFill/>
                    <a:ln>
                      <a:noFill/>
                    </a:ln>
                  </pic:spPr>
                </pic:pic>
              </a:graphicData>
            </a:graphic>
          </wp:inline>
        </w:drawing>
      </w:r>
    </w:p>
    <w:p w14:paraId="73986B51" w14:textId="77777777" w:rsidR="00F00FAE" w:rsidRPr="008B2DA0" w:rsidRDefault="00F00FAE" w:rsidP="0053297D">
      <w:pPr>
        <w:outlineLvl w:val="1"/>
        <w:rPr>
          <w:rFonts w:cs="Times New Roman"/>
          <w:noProof/>
          <w:lang w:val="en-US"/>
        </w:rPr>
        <w:sectPr w:rsidR="00F00FAE" w:rsidRPr="008B2DA0" w:rsidSect="007A0AB2">
          <w:pgSz w:w="16838" w:h="11906" w:orient="landscape"/>
          <w:pgMar w:top="1440" w:right="1440" w:bottom="1440" w:left="1440" w:header="720" w:footer="720" w:gutter="0"/>
          <w:cols w:space="720"/>
          <w:docGrid w:linePitch="360"/>
        </w:sectPr>
      </w:pPr>
      <w:r w:rsidRPr="008B2DA0">
        <w:rPr>
          <w:rFonts w:cs="Times New Roman"/>
          <w:b/>
          <w:lang w:val="en-US"/>
        </w:rPr>
        <w:t>Figure S</w:t>
      </w:r>
      <w:r>
        <w:rPr>
          <w:rFonts w:cs="Times New Roman"/>
          <w:b/>
          <w:lang w:val="en-US"/>
        </w:rPr>
        <w:t>4</w:t>
      </w:r>
      <w:r w:rsidRPr="008B2DA0">
        <w:rPr>
          <w:rFonts w:cs="Times New Roman"/>
          <w:b/>
          <w:lang w:val="en-US"/>
        </w:rPr>
        <w:t>.</w:t>
      </w:r>
      <w:r w:rsidRPr="008B2DA0">
        <w:rPr>
          <w:rFonts w:cs="Times New Roman"/>
          <w:lang w:val="en-US"/>
        </w:rPr>
        <w:t xml:space="preserve"> Time series of observed and derived ecohydrological and climatic variables in the DMC catchment: (a) Precipitation, (b) Air temperature, (c) Leaf area index (LAI) for agroforest, conifer, and broadleaf forests, (d) Potential evapotranspiration (PET), (e) Streamflow, (f) Groundwater level, (g) North Atlantic Oscillation (NAO) index. Shaded areas in the time series indicate negative NAO (red, index &lt; –1) and positive NAO (blue, index &gt; +1). All variables are at daily resolution, except for the NAO index, which is at monthly resolution.</w:t>
      </w:r>
      <w:r w:rsidRPr="008B2DA0">
        <w:rPr>
          <w:rFonts w:cs="Times New Roman"/>
          <w:noProof/>
          <w:lang w:val="en-US"/>
        </w:rPr>
        <w:br w:type="page"/>
      </w:r>
    </w:p>
    <w:p w14:paraId="3959F66A" w14:textId="77777777" w:rsidR="00F00FAE" w:rsidRPr="008B2DA0" w:rsidRDefault="00F00FAE" w:rsidP="00F00FAE">
      <w:pPr>
        <w:snapToGrid w:val="0"/>
        <w:spacing w:line="360" w:lineRule="auto"/>
        <w:rPr>
          <w:rFonts w:cs="Times New Roman"/>
          <w:lang w:val="en-US"/>
        </w:rPr>
      </w:pPr>
    </w:p>
    <w:p w14:paraId="4B4F213D" w14:textId="77777777" w:rsidR="00F00FAE" w:rsidRPr="008B2DA0" w:rsidRDefault="00F00FAE" w:rsidP="00F00FAE">
      <w:pPr>
        <w:snapToGrid w:val="0"/>
        <w:spacing w:line="360" w:lineRule="auto"/>
        <w:rPr>
          <w:rFonts w:cs="Times New Roman"/>
          <w:lang w:val="en-US"/>
        </w:rPr>
      </w:pPr>
      <w:r w:rsidRPr="008B2DA0">
        <w:rPr>
          <w:rFonts w:cs="Times New Roman"/>
          <w:noProof/>
        </w:rPr>
        <w:drawing>
          <wp:inline distT="0" distB="0" distL="0" distR="0" wp14:anchorId="5C49CC2C" wp14:editId="162A9D7C">
            <wp:extent cx="5731510" cy="312627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731510" cy="3126278"/>
                    </a:xfrm>
                    <a:prstGeom prst="rect">
                      <a:avLst/>
                    </a:prstGeom>
                    <a:noFill/>
                    <a:ln>
                      <a:noFill/>
                    </a:ln>
                  </pic:spPr>
                </pic:pic>
              </a:graphicData>
            </a:graphic>
          </wp:inline>
        </w:drawing>
      </w:r>
    </w:p>
    <w:p w14:paraId="35BB0E1B" w14:textId="77777777" w:rsidR="00F00FAE" w:rsidRPr="008B2DA0" w:rsidRDefault="00F00FAE" w:rsidP="0053297D">
      <w:pPr>
        <w:tabs>
          <w:tab w:val="left" w:pos="1853"/>
        </w:tabs>
        <w:snapToGrid w:val="0"/>
        <w:spacing w:line="360" w:lineRule="auto"/>
        <w:outlineLvl w:val="1"/>
        <w:rPr>
          <w:rFonts w:cs="Times New Roman"/>
          <w:lang w:val="en-US"/>
        </w:rPr>
      </w:pPr>
      <w:r w:rsidRPr="008B2DA0">
        <w:rPr>
          <w:rFonts w:cs="Times New Roman"/>
          <w:b/>
          <w:lang w:val="en-US"/>
        </w:rPr>
        <w:t>Figure S</w:t>
      </w:r>
      <w:r>
        <w:rPr>
          <w:rFonts w:cs="Times New Roman"/>
          <w:b/>
          <w:lang w:val="en-US"/>
        </w:rPr>
        <w:t>5</w:t>
      </w:r>
      <w:r w:rsidRPr="008B2DA0">
        <w:rPr>
          <w:rFonts w:cs="Times New Roman"/>
          <w:b/>
          <w:lang w:val="en-US"/>
        </w:rPr>
        <w:t>.</w:t>
      </w:r>
      <w:r w:rsidRPr="008B2DA0">
        <w:rPr>
          <w:rFonts w:cs="Times New Roman"/>
          <w:lang w:val="en-US"/>
        </w:rPr>
        <w:t xml:space="preserve"> Monthly North Atlantic Oscillation (NAO) index values (black line) and winter (DJF) mean NAO (navy </w:t>
      </w:r>
      <w:r>
        <w:rPr>
          <w:rFonts w:cs="Times New Roman"/>
          <w:lang w:val="en-US"/>
        </w:rPr>
        <w:t xml:space="preserve">blue </w:t>
      </w:r>
      <w:r w:rsidRPr="008B2DA0">
        <w:rPr>
          <w:rFonts w:cs="Times New Roman"/>
          <w:lang w:val="en-US"/>
        </w:rPr>
        <w:t>circles and line) for (a) 1950–2024, classified using the 1950–2024 baseline mean (μ) and standard deviation (σ), and (b) 2000–2024, classified using the 2000–2024 baseline. Shaded vertical red and blue bands indicate positive (NAO⁺; DJF ≥ μ + σ) and negative (NAO⁻; DJF ≤ μ – σ) winters, respectively.</w:t>
      </w:r>
      <w:r>
        <w:rPr>
          <w:rFonts w:cs="Times New Roman"/>
          <w:lang w:val="en-US"/>
        </w:rPr>
        <w:t xml:space="preserve"> H</w:t>
      </w:r>
      <w:r w:rsidRPr="000659D1">
        <w:rPr>
          <w:rFonts w:cs="Times New Roman"/>
          <w:lang w:val="en-US"/>
        </w:rPr>
        <w:t>orizontal red and blue dashed lines represent the thresholds of</w:t>
      </w:r>
      <w:r>
        <w:rPr>
          <w:rFonts w:cs="Times New Roman"/>
          <w:lang w:val="en-US"/>
        </w:rPr>
        <w:t xml:space="preserve"> </w:t>
      </w:r>
      <w:r w:rsidRPr="000659D1">
        <w:rPr>
          <w:rFonts w:cs="Times New Roman"/>
          <w:lang w:val="en-US"/>
        </w:rPr>
        <w:t>μ + σ and μ – σ, respectively.</w:t>
      </w:r>
    </w:p>
    <w:p w14:paraId="6418FFB1" w14:textId="525B045A" w:rsidR="00F00FAE" w:rsidRPr="008B2DA0" w:rsidRDefault="00F00FAE" w:rsidP="0053297D">
      <w:pPr>
        <w:outlineLvl w:val="1"/>
        <w:rPr>
          <w:rFonts w:cs="Times New Roman"/>
          <w:lang w:val="en-US"/>
        </w:rPr>
      </w:pPr>
      <w:r w:rsidRPr="008B2DA0">
        <w:rPr>
          <w:rFonts w:cs="Times New Roman"/>
          <w:b/>
          <w:lang w:val="en-US"/>
        </w:rPr>
        <w:t>Table S1.</w:t>
      </w:r>
      <w:r w:rsidRPr="008B2DA0">
        <w:rPr>
          <w:rFonts w:cs="Times New Roman"/>
          <w:lang w:val="en-US"/>
        </w:rPr>
        <w:t xml:space="preserve"> Kling-Gupta Efficiency (KGE) values for soil moisture </w:t>
      </w:r>
      <w:r w:rsidRPr="00FE1130">
        <w:rPr>
          <w:rFonts w:cs="Times New Roman"/>
          <w:szCs w:val="24"/>
          <w:lang w:val="en-US"/>
        </w:rPr>
        <w:t xml:space="preserve">and </w:t>
      </w:r>
      <w:r w:rsidRPr="00AD1241">
        <w:rPr>
          <w:rFonts w:cs="Times New Roman"/>
          <w:szCs w:val="24"/>
          <w:lang w:val="en-US"/>
        </w:rPr>
        <w:t>δ</w:t>
      </w:r>
      <w:r w:rsidRPr="00AD1241">
        <w:rPr>
          <w:rFonts w:cs="Times New Roman"/>
          <w:szCs w:val="24"/>
          <w:vertAlign w:val="superscript"/>
          <w:lang w:val="en-US"/>
        </w:rPr>
        <w:t>2</w:t>
      </w:r>
      <w:r w:rsidRPr="00AD1241">
        <w:rPr>
          <w:rFonts w:cs="Times New Roman"/>
          <w:szCs w:val="24"/>
          <w:lang w:val="en-US"/>
        </w:rPr>
        <w:t>H in soil</w:t>
      </w:r>
      <w:r w:rsidR="00CA153C">
        <w:rPr>
          <w:rFonts w:cs="Times New Roman"/>
          <w:szCs w:val="24"/>
          <w:lang w:val="en-US"/>
        </w:rPr>
        <w:t xml:space="preserve"> </w:t>
      </w:r>
      <w:r w:rsidRPr="00AD1241">
        <w:rPr>
          <w:rFonts w:cs="Times New Roman"/>
          <w:szCs w:val="24"/>
          <w:lang w:val="en-US"/>
        </w:rPr>
        <w:t>water</w:t>
      </w:r>
      <w:r w:rsidRPr="008B2DA0">
        <w:rPr>
          <w:rFonts w:cs="Times New Roman"/>
          <w:lang w:val="en-US"/>
        </w:rPr>
        <w:t>, based on observed values compared to the mean simulated values.</w:t>
      </w:r>
    </w:p>
    <w:tbl>
      <w:tblPr>
        <w:tblStyle w:val="TableGrid"/>
        <w:tblW w:w="5000" w:type="pct"/>
        <w:jc w:val="center"/>
        <w:tblLook w:val="04A0" w:firstRow="1" w:lastRow="0" w:firstColumn="1" w:lastColumn="0" w:noHBand="0" w:noVBand="1"/>
      </w:tblPr>
      <w:tblGrid>
        <w:gridCol w:w="1384"/>
        <w:gridCol w:w="1272"/>
        <w:gridCol w:w="1272"/>
        <w:gridCol w:w="1272"/>
        <w:gridCol w:w="1272"/>
        <w:gridCol w:w="1272"/>
        <w:gridCol w:w="1272"/>
      </w:tblGrid>
      <w:tr w:rsidR="00F00FAE" w:rsidRPr="008B2DA0" w14:paraId="57B0F2A2" w14:textId="77777777" w:rsidTr="000A6213">
        <w:trPr>
          <w:jc w:val="center"/>
        </w:trPr>
        <w:tc>
          <w:tcPr>
            <w:tcW w:w="768" w:type="pct"/>
            <w:vMerge w:val="restart"/>
          </w:tcPr>
          <w:p w14:paraId="2E1619FF"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Forest sites</w:t>
            </w:r>
          </w:p>
        </w:tc>
        <w:tc>
          <w:tcPr>
            <w:tcW w:w="2116" w:type="pct"/>
            <w:gridSpan w:val="3"/>
          </w:tcPr>
          <w:p w14:paraId="20F0064F"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Soil moisture</w:t>
            </w:r>
            <w:r>
              <w:rPr>
                <w:rFonts w:cs="Times New Roman"/>
                <w:sz w:val="20"/>
                <w:szCs w:val="20"/>
                <w:lang w:val="en-US"/>
              </w:rPr>
              <w:t xml:space="preserve"> [-]</w:t>
            </w:r>
          </w:p>
        </w:tc>
        <w:tc>
          <w:tcPr>
            <w:tcW w:w="2116" w:type="pct"/>
            <w:gridSpan w:val="3"/>
          </w:tcPr>
          <w:p w14:paraId="332EC0CB"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Soil water isotope</w:t>
            </w:r>
            <w:r>
              <w:rPr>
                <w:rFonts w:cs="Times New Roman"/>
                <w:sz w:val="20"/>
                <w:szCs w:val="20"/>
                <w:lang w:val="en-US"/>
              </w:rPr>
              <w:t xml:space="preserve"> [-]</w:t>
            </w:r>
          </w:p>
          <w:p w14:paraId="23A6F926"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δ</w:t>
            </w:r>
            <w:r w:rsidRPr="008B2DA0">
              <w:rPr>
                <w:rFonts w:cs="Times New Roman"/>
                <w:sz w:val="20"/>
                <w:szCs w:val="20"/>
                <w:vertAlign w:val="superscript"/>
                <w:lang w:val="en-US"/>
              </w:rPr>
              <w:t>2</w:t>
            </w:r>
            <w:r w:rsidRPr="008B2DA0">
              <w:rPr>
                <w:rFonts w:cs="Times New Roman"/>
                <w:sz w:val="20"/>
                <w:szCs w:val="20"/>
                <w:lang w:val="en-US"/>
              </w:rPr>
              <w:t>H</w:t>
            </w:r>
          </w:p>
        </w:tc>
      </w:tr>
      <w:tr w:rsidR="00F00FAE" w:rsidRPr="008B2DA0" w14:paraId="43B1D1D6" w14:textId="77777777" w:rsidTr="000A6213">
        <w:trPr>
          <w:jc w:val="center"/>
        </w:trPr>
        <w:tc>
          <w:tcPr>
            <w:tcW w:w="768" w:type="pct"/>
            <w:vMerge/>
          </w:tcPr>
          <w:p w14:paraId="3A5903CC" w14:textId="77777777" w:rsidR="00F00FAE" w:rsidRPr="008B2DA0" w:rsidRDefault="00F00FAE" w:rsidP="000A6213">
            <w:pPr>
              <w:jc w:val="center"/>
              <w:rPr>
                <w:rFonts w:cs="Times New Roman"/>
                <w:sz w:val="20"/>
                <w:szCs w:val="20"/>
                <w:lang w:val="en-US"/>
              </w:rPr>
            </w:pPr>
          </w:p>
        </w:tc>
        <w:tc>
          <w:tcPr>
            <w:tcW w:w="705" w:type="pct"/>
          </w:tcPr>
          <w:p w14:paraId="03F385E0"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 xml:space="preserve">Upper soil compartment </w:t>
            </w:r>
          </w:p>
        </w:tc>
        <w:tc>
          <w:tcPr>
            <w:tcW w:w="705" w:type="pct"/>
          </w:tcPr>
          <w:p w14:paraId="306390E8"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Lower soil compartment</w:t>
            </w:r>
          </w:p>
        </w:tc>
        <w:tc>
          <w:tcPr>
            <w:tcW w:w="705" w:type="pct"/>
          </w:tcPr>
          <w:p w14:paraId="76BAE666"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Deep soil compartment</w:t>
            </w:r>
          </w:p>
        </w:tc>
        <w:tc>
          <w:tcPr>
            <w:tcW w:w="705" w:type="pct"/>
          </w:tcPr>
          <w:p w14:paraId="7B25DA40"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Upper soil compartment</w:t>
            </w:r>
          </w:p>
        </w:tc>
        <w:tc>
          <w:tcPr>
            <w:tcW w:w="705" w:type="pct"/>
          </w:tcPr>
          <w:p w14:paraId="7632CB8C"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Lower soil compartment</w:t>
            </w:r>
          </w:p>
        </w:tc>
        <w:tc>
          <w:tcPr>
            <w:tcW w:w="705" w:type="pct"/>
          </w:tcPr>
          <w:p w14:paraId="15B7B545"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Deep soil compartment</w:t>
            </w:r>
          </w:p>
        </w:tc>
      </w:tr>
      <w:tr w:rsidR="00F00FAE" w:rsidRPr="008B2DA0" w14:paraId="0FEBA41D" w14:textId="77777777" w:rsidTr="000A6213">
        <w:trPr>
          <w:jc w:val="center"/>
        </w:trPr>
        <w:tc>
          <w:tcPr>
            <w:tcW w:w="768" w:type="pct"/>
          </w:tcPr>
          <w:p w14:paraId="17CBDA4F"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Broadleaf Forest</w:t>
            </w:r>
          </w:p>
        </w:tc>
        <w:tc>
          <w:tcPr>
            <w:tcW w:w="705" w:type="pct"/>
          </w:tcPr>
          <w:p w14:paraId="0282BAD5"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0.60</w:t>
            </w:r>
          </w:p>
        </w:tc>
        <w:tc>
          <w:tcPr>
            <w:tcW w:w="705" w:type="pct"/>
          </w:tcPr>
          <w:p w14:paraId="6C461E58"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0.72</w:t>
            </w:r>
          </w:p>
        </w:tc>
        <w:tc>
          <w:tcPr>
            <w:tcW w:w="705" w:type="pct"/>
          </w:tcPr>
          <w:p w14:paraId="5907132D"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0.84</w:t>
            </w:r>
          </w:p>
        </w:tc>
        <w:tc>
          <w:tcPr>
            <w:tcW w:w="705" w:type="pct"/>
          </w:tcPr>
          <w:p w14:paraId="7F7783D4"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0.58</w:t>
            </w:r>
          </w:p>
        </w:tc>
        <w:tc>
          <w:tcPr>
            <w:tcW w:w="705" w:type="pct"/>
          </w:tcPr>
          <w:p w14:paraId="27095E18"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0.74</w:t>
            </w:r>
          </w:p>
        </w:tc>
        <w:tc>
          <w:tcPr>
            <w:tcW w:w="705" w:type="pct"/>
          </w:tcPr>
          <w:p w14:paraId="2D6B7EC9"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0.64</w:t>
            </w:r>
          </w:p>
        </w:tc>
      </w:tr>
      <w:tr w:rsidR="00F00FAE" w:rsidRPr="008B2DA0" w14:paraId="5F46F6F5" w14:textId="77777777" w:rsidTr="000A6213">
        <w:trPr>
          <w:jc w:val="center"/>
        </w:trPr>
        <w:tc>
          <w:tcPr>
            <w:tcW w:w="768" w:type="pct"/>
          </w:tcPr>
          <w:p w14:paraId="5E039DC3"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Agroforestry</w:t>
            </w:r>
          </w:p>
        </w:tc>
        <w:tc>
          <w:tcPr>
            <w:tcW w:w="705" w:type="pct"/>
          </w:tcPr>
          <w:p w14:paraId="4BC828A4"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0.72</w:t>
            </w:r>
          </w:p>
        </w:tc>
        <w:tc>
          <w:tcPr>
            <w:tcW w:w="705" w:type="pct"/>
          </w:tcPr>
          <w:p w14:paraId="58CBFD82"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0.76</w:t>
            </w:r>
          </w:p>
        </w:tc>
        <w:tc>
          <w:tcPr>
            <w:tcW w:w="705" w:type="pct"/>
          </w:tcPr>
          <w:p w14:paraId="24C94D94"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0.78</w:t>
            </w:r>
          </w:p>
        </w:tc>
        <w:tc>
          <w:tcPr>
            <w:tcW w:w="705" w:type="pct"/>
          </w:tcPr>
          <w:p w14:paraId="59B1E913"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0.81</w:t>
            </w:r>
          </w:p>
        </w:tc>
        <w:tc>
          <w:tcPr>
            <w:tcW w:w="705" w:type="pct"/>
          </w:tcPr>
          <w:p w14:paraId="19477497"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0.84</w:t>
            </w:r>
          </w:p>
        </w:tc>
        <w:tc>
          <w:tcPr>
            <w:tcW w:w="705" w:type="pct"/>
          </w:tcPr>
          <w:p w14:paraId="655093E7"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0.78</w:t>
            </w:r>
          </w:p>
        </w:tc>
      </w:tr>
      <w:tr w:rsidR="00F00FAE" w:rsidRPr="008B2DA0" w14:paraId="58D11D89" w14:textId="77777777" w:rsidTr="000A6213">
        <w:trPr>
          <w:jc w:val="center"/>
        </w:trPr>
        <w:tc>
          <w:tcPr>
            <w:tcW w:w="768" w:type="pct"/>
          </w:tcPr>
          <w:p w14:paraId="407D0060"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Grassland</w:t>
            </w:r>
          </w:p>
        </w:tc>
        <w:tc>
          <w:tcPr>
            <w:tcW w:w="705" w:type="pct"/>
          </w:tcPr>
          <w:p w14:paraId="168447E2"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0.87</w:t>
            </w:r>
          </w:p>
        </w:tc>
        <w:tc>
          <w:tcPr>
            <w:tcW w:w="705" w:type="pct"/>
          </w:tcPr>
          <w:p w14:paraId="6BC656E1"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0.67</w:t>
            </w:r>
          </w:p>
        </w:tc>
        <w:tc>
          <w:tcPr>
            <w:tcW w:w="705" w:type="pct"/>
          </w:tcPr>
          <w:p w14:paraId="32FFF544"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0.71</w:t>
            </w:r>
          </w:p>
        </w:tc>
        <w:tc>
          <w:tcPr>
            <w:tcW w:w="705" w:type="pct"/>
          </w:tcPr>
          <w:p w14:paraId="2071118A"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0.72</w:t>
            </w:r>
          </w:p>
        </w:tc>
        <w:tc>
          <w:tcPr>
            <w:tcW w:w="705" w:type="pct"/>
          </w:tcPr>
          <w:p w14:paraId="2CBA9AD3"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0.76</w:t>
            </w:r>
          </w:p>
        </w:tc>
        <w:tc>
          <w:tcPr>
            <w:tcW w:w="705" w:type="pct"/>
          </w:tcPr>
          <w:p w14:paraId="0DD25344"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0.60</w:t>
            </w:r>
          </w:p>
        </w:tc>
      </w:tr>
      <w:tr w:rsidR="00F00FAE" w:rsidRPr="008B2DA0" w14:paraId="70D788E5" w14:textId="77777777" w:rsidTr="000A6213">
        <w:trPr>
          <w:jc w:val="center"/>
        </w:trPr>
        <w:tc>
          <w:tcPr>
            <w:tcW w:w="768" w:type="pct"/>
          </w:tcPr>
          <w:p w14:paraId="6966F5B2"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Cropland</w:t>
            </w:r>
          </w:p>
        </w:tc>
        <w:tc>
          <w:tcPr>
            <w:tcW w:w="705" w:type="pct"/>
          </w:tcPr>
          <w:p w14:paraId="2DECA134"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0.53</w:t>
            </w:r>
          </w:p>
        </w:tc>
        <w:tc>
          <w:tcPr>
            <w:tcW w:w="705" w:type="pct"/>
          </w:tcPr>
          <w:p w14:paraId="69F1252D"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0.54</w:t>
            </w:r>
          </w:p>
        </w:tc>
        <w:tc>
          <w:tcPr>
            <w:tcW w:w="705" w:type="pct"/>
          </w:tcPr>
          <w:p w14:paraId="632C0EA8"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0.71</w:t>
            </w:r>
          </w:p>
        </w:tc>
        <w:tc>
          <w:tcPr>
            <w:tcW w:w="705" w:type="pct"/>
          </w:tcPr>
          <w:p w14:paraId="2C3B1EAC"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0.82</w:t>
            </w:r>
          </w:p>
        </w:tc>
        <w:tc>
          <w:tcPr>
            <w:tcW w:w="705" w:type="pct"/>
          </w:tcPr>
          <w:p w14:paraId="73146594"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0.84</w:t>
            </w:r>
          </w:p>
        </w:tc>
        <w:tc>
          <w:tcPr>
            <w:tcW w:w="705" w:type="pct"/>
          </w:tcPr>
          <w:p w14:paraId="7089C856" w14:textId="77777777" w:rsidR="00F00FAE" w:rsidRPr="008B2DA0" w:rsidRDefault="00F00FAE" w:rsidP="000A6213">
            <w:pPr>
              <w:jc w:val="center"/>
              <w:rPr>
                <w:rFonts w:cs="Times New Roman"/>
                <w:sz w:val="20"/>
                <w:szCs w:val="20"/>
                <w:lang w:val="en-US"/>
              </w:rPr>
            </w:pPr>
            <w:r w:rsidRPr="008B2DA0">
              <w:rPr>
                <w:rFonts w:cs="Times New Roman"/>
                <w:sz w:val="20"/>
                <w:szCs w:val="20"/>
                <w:lang w:val="en-US"/>
              </w:rPr>
              <w:t>0.28</w:t>
            </w:r>
          </w:p>
        </w:tc>
      </w:tr>
    </w:tbl>
    <w:p w14:paraId="17ABAA90" w14:textId="77777777" w:rsidR="00F00FAE" w:rsidRPr="008B2DA0" w:rsidRDefault="00F00FAE" w:rsidP="00F00FAE">
      <w:pPr>
        <w:spacing w:line="360" w:lineRule="auto"/>
        <w:rPr>
          <w:rFonts w:cs="Times New Roman"/>
          <w:lang w:val="en-US"/>
        </w:rPr>
      </w:pPr>
    </w:p>
    <w:p w14:paraId="2FBB030C" w14:textId="77777777" w:rsidR="00F00FAE" w:rsidRPr="008B2DA0" w:rsidRDefault="00F00FAE" w:rsidP="00F00FAE">
      <w:pPr>
        <w:spacing w:line="360" w:lineRule="auto"/>
        <w:rPr>
          <w:rFonts w:cs="Times New Roman"/>
          <w:lang w:val="en-US"/>
        </w:rPr>
      </w:pPr>
    </w:p>
    <w:p w14:paraId="3470A7B2" w14:textId="77777777" w:rsidR="00F00FAE" w:rsidRPr="008B2DA0" w:rsidRDefault="00F00FAE" w:rsidP="00F00FAE">
      <w:pPr>
        <w:spacing w:line="360" w:lineRule="auto"/>
        <w:rPr>
          <w:rFonts w:cs="Times New Roman"/>
          <w:lang w:val="en-US"/>
        </w:rPr>
      </w:pPr>
    </w:p>
    <w:p w14:paraId="60DE2450" w14:textId="77777777" w:rsidR="00F00FAE" w:rsidRPr="008B2DA0" w:rsidRDefault="00F00FAE" w:rsidP="00F00FAE">
      <w:pPr>
        <w:spacing w:line="360" w:lineRule="auto"/>
        <w:rPr>
          <w:rFonts w:cs="Times New Roman"/>
          <w:lang w:val="en-US"/>
        </w:rPr>
      </w:pPr>
    </w:p>
    <w:p w14:paraId="45240A4C" w14:textId="77777777" w:rsidR="00F00FAE" w:rsidRPr="008B2DA0" w:rsidRDefault="00F00FAE" w:rsidP="00F00FAE">
      <w:pPr>
        <w:spacing w:line="360" w:lineRule="auto"/>
        <w:rPr>
          <w:rFonts w:cs="Times New Roman"/>
          <w:lang w:val="en-US"/>
        </w:rPr>
      </w:pPr>
    </w:p>
    <w:p w14:paraId="12ABDB68" w14:textId="77777777" w:rsidR="00F00FAE" w:rsidRDefault="00F00FAE" w:rsidP="0053297D">
      <w:pPr>
        <w:snapToGrid w:val="0"/>
        <w:spacing w:line="360" w:lineRule="auto"/>
        <w:outlineLvl w:val="0"/>
        <w:rPr>
          <w:rStyle w:val="Emphasis"/>
          <w:rFonts w:cs="Times New Roman"/>
          <w:b/>
          <w:i w:val="0"/>
          <w:lang w:val="en-US"/>
        </w:rPr>
      </w:pPr>
      <w:r w:rsidRPr="008B2DA0">
        <w:rPr>
          <w:rStyle w:val="Emphasis"/>
          <w:rFonts w:cs="Times New Roman"/>
          <w:b/>
          <w:lang w:val="en-US"/>
        </w:rPr>
        <w:lastRenderedPageBreak/>
        <w:t>Text S</w:t>
      </w:r>
      <w:r>
        <w:rPr>
          <w:rStyle w:val="Emphasis"/>
          <w:rFonts w:cs="Times New Roman"/>
          <w:b/>
          <w:lang w:val="en-US"/>
        </w:rPr>
        <w:t>3</w:t>
      </w:r>
      <w:r w:rsidRPr="008B2DA0">
        <w:rPr>
          <w:rStyle w:val="Emphasis"/>
          <w:rFonts w:cs="Times New Roman"/>
          <w:b/>
          <w:lang w:val="en-US"/>
        </w:rPr>
        <w:t>. Evolution of Drought Indices and Ecohydrological Variables Under Positive and Negative Winter NAO Phases</w:t>
      </w:r>
    </w:p>
    <w:p w14:paraId="660CD76E" w14:textId="77777777" w:rsidR="00F00FAE" w:rsidRPr="00C7118F" w:rsidRDefault="00F00FAE" w:rsidP="00F00FAE">
      <w:pPr>
        <w:snapToGrid w:val="0"/>
        <w:spacing w:line="360" w:lineRule="auto"/>
        <w:rPr>
          <w:rFonts w:cs="Times New Roman"/>
          <w:i/>
          <w:iCs/>
          <w:lang w:val="en-US"/>
        </w:rPr>
      </w:pPr>
      <w:r w:rsidRPr="00C7118F">
        <w:rPr>
          <w:rStyle w:val="Emphasis"/>
          <w:rFonts w:cs="Times New Roman"/>
          <w:i w:val="0"/>
          <w:lang w:val="en-US"/>
        </w:rPr>
        <w:t>Figure S6 indicates that short-term anomalies (SPI-1, SPEI-1) show drier conditions during positive NAO winters from late winter and early spring, with deficits extending into summer. Seasonal-scale anomalies (SPI-3, SPEI-3) begin to diverge between phases from April onward, with positive NAO years remaining drier through summer. Annual-scale anomalies (SPI-12, SPEI-12) display persistent deficits in both precipitation and precipitation–PET balance by the end of positive NAO years. Overall, these patterns demonstrate that winter NAO exerts a cumulative influence on hydroclimatic conditions across multiple timescales, with positive phases progressively preconditioning the basin for drier growing seasons.</w:t>
      </w:r>
    </w:p>
    <w:p w14:paraId="15B18F13" w14:textId="77777777" w:rsidR="00F00FAE" w:rsidRPr="008B2DA0" w:rsidRDefault="00F00FAE" w:rsidP="00F00FAE">
      <w:pPr>
        <w:snapToGrid w:val="0"/>
        <w:spacing w:line="360" w:lineRule="auto"/>
        <w:rPr>
          <w:rFonts w:cs="Times New Roman"/>
          <w:lang w:val="en-US"/>
        </w:rPr>
      </w:pPr>
      <w:r w:rsidRPr="008B2DA0">
        <w:rPr>
          <w:rFonts w:cs="Times New Roman"/>
          <w:lang w:val="en-US"/>
        </w:rPr>
        <w:t>Across all depths, positive NAO winters are associated with negative soil moisture anomalies compared to negative NAO winters, with the strongest deficits occurring in summer (Fig. S7a–f). Negative anomalies first appear in the upper soil layer (starting in April, Figs. S7a, S7b), then in the lower (starting in May, Figs. S7c, S7d) and deep layers (starting in June, Figs. S7e, S7f), indicating an approximate one-month lag in drought propagation through the soil profile. This pattern is similar for standardized index under both cropland and forest cover.</w:t>
      </w:r>
    </w:p>
    <w:p w14:paraId="57CA85E5" w14:textId="77777777" w:rsidR="00F00FAE" w:rsidRPr="008B2DA0" w:rsidRDefault="00F00FAE" w:rsidP="00F00FAE">
      <w:pPr>
        <w:snapToGrid w:val="0"/>
        <w:spacing w:line="360" w:lineRule="auto"/>
        <w:rPr>
          <w:rFonts w:cs="Times New Roman"/>
          <w:lang w:val="en-US"/>
        </w:rPr>
      </w:pPr>
      <w:r w:rsidRPr="008B2DA0">
        <w:rPr>
          <w:rFonts w:cs="Times New Roman"/>
          <w:lang w:val="en-US"/>
        </w:rPr>
        <w:t>Recharge negative anomalies closely align with soil moisture deficits (starting in April, Figs. S7g, S7h) and persist throughout the year in positive NAO years. For transpiration, cropland shows positive anomalies during winter, and both broadleaf forest and cropland exhibit positive anomalies in spring, likely due to warmer winter and spring conditions during positive NAO phases, followed by negative anomalies in summer (starting in June, Figs. 7i, 7j), consistent with the soil moisture anomalies observed in that season.</w:t>
      </w:r>
    </w:p>
    <w:p w14:paraId="0F7F92A9" w14:textId="77777777" w:rsidR="00F00FAE" w:rsidRPr="008B2DA0" w:rsidRDefault="00F00FAE" w:rsidP="00F00FAE">
      <w:pPr>
        <w:snapToGrid w:val="0"/>
        <w:spacing w:line="360" w:lineRule="auto"/>
        <w:rPr>
          <w:rFonts w:cs="Times New Roman"/>
          <w:lang w:val="en-US"/>
        </w:rPr>
      </w:pPr>
      <w:r w:rsidRPr="008B2DA0">
        <w:rPr>
          <w:rFonts w:cs="Times New Roman"/>
          <w:lang w:val="en-US"/>
        </w:rPr>
        <w:t>Standardized streamflow indices are generally much lower in positive NAO years, with deficits beginning in May and reaching their largest values in summer and autumn (Fig. S7k). Positive NAO years also show reduced groundwater levels from May through the following autumn, with deficits continuing over this period (Fig. S7l).</w:t>
      </w:r>
    </w:p>
    <w:p w14:paraId="2C2A2986" w14:textId="77777777" w:rsidR="00F00FAE" w:rsidRPr="008B2DA0" w:rsidRDefault="00F00FAE" w:rsidP="00F00FAE">
      <w:pPr>
        <w:snapToGrid w:val="0"/>
        <w:spacing w:line="360" w:lineRule="auto"/>
        <w:rPr>
          <w:rFonts w:cs="Times New Roman"/>
          <w:lang w:val="en-US"/>
        </w:rPr>
      </w:pPr>
      <w:r w:rsidRPr="008B2DA0">
        <w:rPr>
          <w:rFonts w:cs="Times New Roman"/>
          <w:lang w:val="en-US"/>
        </w:rPr>
        <w:t>Overall, positive winter NAO phases precondition the catchment for ecohydrological drought, with deficits propagating from soil moisture to vegetation water use, streamflow and groundwater storage, and with stronger impacts in cropland areas.</w:t>
      </w:r>
    </w:p>
    <w:p w14:paraId="6887C222" w14:textId="77777777" w:rsidR="00F00FAE" w:rsidRPr="008B2DA0" w:rsidRDefault="00F00FAE" w:rsidP="00F00FAE">
      <w:pPr>
        <w:pStyle w:val="Affiliation"/>
        <w:rPr>
          <w:rStyle w:val="Emphasis"/>
          <w:b/>
          <w:i w:val="0"/>
          <w:lang w:val="en-US"/>
        </w:rPr>
      </w:pPr>
    </w:p>
    <w:p w14:paraId="3B2F84FE" w14:textId="77777777" w:rsidR="00F00FAE" w:rsidRPr="008B2DA0" w:rsidRDefault="00F00FAE" w:rsidP="00F00FAE">
      <w:pPr>
        <w:rPr>
          <w:rFonts w:cs="Times New Roman"/>
          <w:lang w:val="en-US"/>
        </w:rPr>
      </w:pPr>
      <w:r w:rsidRPr="008B2DA0">
        <w:rPr>
          <w:rFonts w:cs="Times New Roman"/>
          <w:noProof/>
        </w:rPr>
        <w:lastRenderedPageBreak/>
        <w:drawing>
          <wp:inline distT="0" distB="0" distL="0" distR="0" wp14:anchorId="7BE86E4B" wp14:editId="1EDC21B1">
            <wp:extent cx="5731510" cy="409384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731510" cy="4093845"/>
                    </a:xfrm>
                    <a:prstGeom prst="rect">
                      <a:avLst/>
                    </a:prstGeom>
                    <a:noFill/>
                    <a:ln>
                      <a:noFill/>
                    </a:ln>
                  </pic:spPr>
                </pic:pic>
              </a:graphicData>
            </a:graphic>
          </wp:inline>
        </w:drawing>
      </w:r>
    </w:p>
    <w:p w14:paraId="290DDAAB" w14:textId="77777777" w:rsidR="00F00FAE" w:rsidRPr="008B2DA0" w:rsidRDefault="00F00FAE" w:rsidP="0053297D">
      <w:pPr>
        <w:outlineLvl w:val="1"/>
        <w:rPr>
          <w:rStyle w:val="Emphasis"/>
          <w:rFonts w:cs="Times New Roman"/>
          <w:i w:val="0"/>
          <w:lang w:val="en-US"/>
        </w:rPr>
      </w:pPr>
      <w:r w:rsidRPr="008B2DA0">
        <w:rPr>
          <w:rStyle w:val="Strong"/>
          <w:rFonts w:cs="Times New Roman"/>
          <w:lang w:val="en-US"/>
        </w:rPr>
        <w:t>Figure S</w:t>
      </w:r>
      <w:r>
        <w:rPr>
          <w:rStyle w:val="Strong"/>
          <w:rFonts w:cs="Times New Roman"/>
          <w:lang w:val="en-US"/>
        </w:rPr>
        <w:t>6</w:t>
      </w:r>
      <w:r w:rsidRPr="008B2DA0">
        <w:rPr>
          <w:rStyle w:val="Strong"/>
          <w:rFonts w:cs="Times New Roman"/>
          <w:lang w:val="en-US"/>
        </w:rPr>
        <w:t xml:space="preserve">. </w:t>
      </w:r>
      <w:r w:rsidRPr="008B2DA0">
        <w:rPr>
          <w:rFonts w:cs="Times New Roman"/>
          <w:lang w:val="en-US"/>
        </w:rPr>
        <w:t xml:space="preserve">Monthly means of standardized precipitation indices (left: SPI-1, SPI-3, SPI-12) and standardized precipitation–evapotranspiration indices (right: SPEI-1, SPEI-3, SPEI-12) in the </w:t>
      </w:r>
      <w:proofErr w:type="spellStart"/>
      <w:r w:rsidRPr="008B2DA0">
        <w:rPr>
          <w:rFonts w:cs="Times New Roman"/>
          <w:lang w:val="en-US"/>
        </w:rPr>
        <w:t>Demnitz</w:t>
      </w:r>
      <w:proofErr w:type="spellEnd"/>
      <w:r w:rsidRPr="008B2DA0">
        <w:rPr>
          <w:rFonts w:cs="Times New Roman"/>
          <w:lang w:val="en-US"/>
        </w:rPr>
        <w:t xml:space="preserve"> Millcreek Basin for positive and negative North Atlantic Oscillation (NAO) winters, averaged over 2000–2024. For each index (separate panels), bars show the mean and standard deviation for each month within winter (DJF), spring (MAM), summer (JJA), and autumn (SON), composited separately for winters with strongly positive (red) and negative (blue) NAO phases. </w:t>
      </w:r>
      <w:r w:rsidRPr="008B2DA0">
        <w:rPr>
          <w:rStyle w:val="Emphasis"/>
          <w:rFonts w:cs="Times New Roman"/>
          <w:lang w:val="en-US"/>
        </w:rPr>
        <w:t>Positive NAO years include 2000, 2012, 2015, 2018, and 2020; negative NAO years include 2010, 2011, and 2021. Error bars represent interannual standard deviation. The x-axis indicates months grouped by season.</w:t>
      </w:r>
    </w:p>
    <w:p w14:paraId="138A9629" w14:textId="77777777" w:rsidR="00F00FAE" w:rsidRPr="008B2DA0" w:rsidRDefault="00F00FAE" w:rsidP="00F00FAE">
      <w:pPr>
        <w:rPr>
          <w:rStyle w:val="Emphasis"/>
          <w:rFonts w:cs="Times New Roman"/>
          <w:b/>
          <w:i w:val="0"/>
          <w:lang w:val="en-US"/>
        </w:rPr>
      </w:pPr>
    </w:p>
    <w:p w14:paraId="46AF53AC" w14:textId="77777777" w:rsidR="00F00FAE" w:rsidRPr="008B2DA0" w:rsidRDefault="00F00FAE" w:rsidP="00F00FAE">
      <w:pPr>
        <w:rPr>
          <w:rStyle w:val="Emphasis"/>
          <w:rFonts w:cs="Times New Roman"/>
          <w:i w:val="0"/>
          <w:lang w:val="en-US"/>
        </w:rPr>
      </w:pPr>
    </w:p>
    <w:p w14:paraId="4F29D0D7" w14:textId="77777777" w:rsidR="00F00FAE" w:rsidRPr="008B2DA0" w:rsidRDefault="00F00FAE" w:rsidP="00F00FAE">
      <w:pPr>
        <w:rPr>
          <w:rFonts w:cs="Times New Roman"/>
          <w:lang w:val="en-US"/>
        </w:rPr>
      </w:pPr>
      <w:r w:rsidRPr="008B2DA0">
        <w:rPr>
          <w:rFonts w:cs="Times New Roman"/>
          <w:noProof/>
        </w:rPr>
        <w:lastRenderedPageBreak/>
        <w:drawing>
          <wp:inline distT="0" distB="0" distL="0" distR="0" wp14:anchorId="7E05533F" wp14:editId="2D5790D3">
            <wp:extent cx="5731510" cy="5272989"/>
            <wp:effectExtent l="0" t="0" r="254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731510" cy="5272989"/>
                    </a:xfrm>
                    <a:prstGeom prst="rect">
                      <a:avLst/>
                    </a:prstGeom>
                    <a:noFill/>
                    <a:ln>
                      <a:noFill/>
                    </a:ln>
                  </pic:spPr>
                </pic:pic>
              </a:graphicData>
            </a:graphic>
          </wp:inline>
        </w:drawing>
      </w:r>
    </w:p>
    <w:p w14:paraId="123D9C67" w14:textId="77777777" w:rsidR="00F00FAE" w:rsidRPr="008B2DA0" w:rsidRDefault="00F00FAE" w:rsidP="0053297D">
      <w:pPr>
        <w:outlineLvl w:val="1"/>
        <w:rPr>
          <w:rFonts w:cs="Times New Roman"/>
          <w:lang w:val="en-US"/>
        </w:rPr>
      </w:pPr>
      <w:r w:rsidRPr="008B2DA0">
        <w:rPr>
          <w:rStyle w:val="Strong"/>
          <w:rFonts w:cs="Times New Roman"/>
          <w:lang w:val="en-US"/>
        </w:rPr>
        <w:t>Figure S7.</w:t>
      </w:r>
      <w:r w:rsidRPr="008B2DA0">
        <w:rPr>
          <w:rFonts w:cs="Times New Roman"/>
          <w:lang w:val="en-US"/>
        </w:rPr>
        <w:t xml:space="preserve"> Monthly standardized ecohydrological </w:t>
      </w:r>
      <w:bookmarkStart w:id="2" w:name="_Hlk205827016"/>
      <w:r w:rsidRPr="008B2DA0">
        <w:rPr>
          <w:rFonts w:cs="Times New Roman"/>
          <w:lang w:val="en-US"/>
        </w:rPr>
        <w:t xml:space="preserve">indices </w:t>
      </w:r>
      <w:bookmarkEnd w:id="2"/>
      <w:r w:rsidRPr="008B2DA0">
        <w:rPr>
          <w:rFonts w:cs="Times New Roman"/>
          <w:lang w:val="en-US"/>
        </w:rPr>
        <w:t xml:space="preserve">(soil moisture at different depths, groundwater, recharge, transpiration, and streamflow) in the </w:t>
      </w:r>
      <w:proofErr w:type="spellStart"/>
      <w:r w:rsidRPr="008B2DA0">
        <w:rPr>
          <w:rFonts w:cs="Times New Roman"/>
          <w:lang w:val="en-US"/>
        </w:rPr>
        <w:t>Demnitz</w:t>
      </w:r>
      <w:proofErr w:type="spellEnd"/>
      <w:r w:rsidRPr="008B2DA0">
        <w:rPr>
          <w:rFonts w:cs="Times New Roman"/>
          <w:lang w:val="en-US"/>
        </w:rPr>
        <w:t xml:space="preserve"> Millcreek Basin (2000–2024) under positive and negative winter NAO years. Each panel shows the mean (± standard deviation) monthly standardized indices, with red bars for positive NAO winters and blue bars for negative NAO winters. Indices are computed for both forest and crop land cover types. See Methods for the standardization procedures.</w:t>
      </w:r>
    </w:p>
    <w:p w14:paraId="60A5DC28" w14:textId="77777777" w:rsidR="00F00FAE" w:rsidRDefault="00F00FAE" w:rsidP="00F00FAE">
      <w:pPr>
        <w:rPr>
          <w:rFonts w:cs="Times New Roman"/>
          <w:lang w:val="en-US"/>
        </w:rPr>
      </w:pPr>
    </w:p>
    <w:p w14:paraId="55FBC1F9" w14:textId="77777777" w:rsidR="00F00FAE" w:rsidRDefault="00F00FAE" w:rsidP="00F00FAE">
      <w:pPr>
        <w:rPr>
          <w:rFonts w:cs="Times New Roman"/>
          <w:lang w:val="en-US"/>
        </w:rPr>
      </w:pPr>
    </w:p>
    <w:p w14:paraId="364D4653" w14:textId="77777777" w:rsidR="00F00FAE" w:rsidRDefault="00F00FAE" w:rsidP="00F00FAE">
      <w:pPr>
        <w:rPr>
          <w:rFonts w:cs="Times New Roman"/>
          <w:lang w:val="en-US"/>
        </w:rPr>
      </w:pPr>
    </w:p>
    <w:p w14:paraId="4D8FA1F6" w14:textId="77777777" w:rsidR="00F00FAE" w:rsidRDefault="00F00FAE" w:rsidP="00F00FAE">
      <w:pPr>
        <w:rPr>
          <w:rFonts w:cs="Times New Roman"/>
          <w:lang w:val="en-US"/>
        </w:rPr>
      </w:pPr>
    </w:p>
    <w:p w14:paraId="1A4542F8" w14:textId="77777777" w:rsidR="00F00FAE" w:rsidRDefault="00F00FAE" w:rsidP="00F00FAE">
      <w:pPr>
        <w:rPr>
          <w:rFonts w:cs="Times New Roman"/>
          <w:lang w:val="en-US"/>
        </w:rPr>
      </w:pPr>
    </w:p>
    <w:p w14:paraId="6E26ED72" w14:textId="77777777" w:rsidR="00F00FAE" w:rsidRDefault="00F00FAE" w:rsidP="00F00FAE">
      <w:pPr>
        <w:rPr>
          <w:rFonts w:cs="Times New Roman"/>
          <w:lang w:val="en-US"/>
        </w:rPr>
      </w:pPr>
    </w:p>
    <w:p w14:paraId="667027F2" w14:textId="77777777" w:rsidR="00F00FAE" w:rsidRDefault="00F00FAE" w:rsidP="00F00FAE">
      <w:pPr>
        <w:rPr>
          <w:rFonts w:cs="Times New Roman"/>
          <w:lang w:val="en-US"/>
        </w:rPr>
      </w:pPr>
    </w:p>
    <w:p w14:paraId="77B960BA" w14:textId="77777777" w:rsidR="00F00FAE" w:rsidRPr="008B2DA0" w:rsidRDefault="00F00FAE" w:rsidP="00F00FAE">
      <w:pPr>
        <w:rPr>
          <w:rFonts w:cs="Times New Roman"/>
          <w:lang w:val="en-US"/>
        </w:rPr>
      </w:pPr>
    </w:p>
    <w:p w14:paraId="1DC0BC67" w14:textId="77777777" w:rsidR="00F00FAE" w:rsidRPr="0074438C" w:rsidRDefault="00F00FAE" w:rsidP="0053297D">
      <w:pPr>
        <w:snapToGrid w:val="0"/>
        <w:spacing w:line="360" w:lineRule="auto"/>
        <w:outlineLvl w:val="0"/>
        <w:rPr>
          <w:rStyle w:val="Emphasis"/>
          <w:b/>
          <w:i w:val="0"/>
          <w:lang w:val="en-US"/>
        </w:rPr>
      </w:pPr>
      <w:r w:rsidRPr="00357371">
        <w:rPr>
          <w:rStyle w:val="Emphasis"/>
          <w:rFonts w:cs="Times New Roman"/>
          <w:b/>
          <w:lang w:val="en-US"/>
        </w:rPr>
        <w:lastRenderedPageBreak/>
        <w:t xml:space="preserve">Text </w:t>
      </w:r>
      <w:r w:rsidRPr="0074438C">
        <w:rPr>
          <w:rStyle w:val="Emphasis"/>
          <w:rFonts w:cs="Times New Roman"/>
          <w:b/>
          <w:bCs/>
          <w:lang w:val="en-US"/>
        </w:rPr>
        <w:t>S4. Relationship between Winter NAO and Vegetation Dynamics in Europe</w:t>
      </w:r>
    </w:p>
    <w:p w14:paraId="06088693" w14:textId="77777777" w:rsidR="00F00FAE" w:rsidRDefault="00F00FAE" w:rsidP="00F00FAE">
      <w:pPr>
        <w:snapToGrid w:val="0"/>
        <w:spacing w:line="360" w:lineRule="auto"/>
        <w:rPr>
          <w:rFonts w:cs="Times New Roman"/>
          <w:szCs w:val="32"/>
          <w:lang w:val="en-US"/>
        </w:rPr>
      </w:pPr>
      <w:r w:rsidRPr="008B2DA0">
        <w:rPr>
          <w:rFonts w:cs="Times New Roman"/>
          <w:szCs w:val="32"/>
          <w:lang w:val="en-US"/>
        </w:rPr>
        <w:t>To explore this further, we also examine how the influence of the winter NAO on hydroclimatic and vegetation conditions across Europe has evolved over the past four decades (Figure S</w:t>
      </w:r>
      <w:r w:rsidRPr="00EF35E5">
        <w:rPr>
          <w:rFonts w:cs="Times New Roman"/>
          <w:szCs w:val="32"/>
          <w:lang w:val="en-US"/>
        </w:rPr>
        <w:t>8</w:t>
      </w:r>
      <w:r w:rsidRPr="008B2DA0">
        <w:rPr>
          <w:rFonts w:cs="Times New Roman"/>
          <w:szCs w:val="32"/>
          <w:lang w:val="en-US"/>
        </w:rPr>
        <w:t>). Figures 8</w:t>
      </w:r>
      <w:r w:rsidRPr="008B2DA0">
        <w:rPr>
          <w:rFonts w:cs="Times New Roman" w:hint="eastAsia"/>
          <w:szCs w:val="32"/>
          <w:lang w:val="en-US"/>
        </w:rPr>
        <w:t>a</w:t>
      </w:r>
      <w:r w:rsidRPr="008B2DA0">
        <w:rPr>
          <w:rFonts w:cs="Times New Roman"/>
          <w:szCs w:val="32"/>
          <w:lang w:val="en-US"/>
        </w:rPr>
        <w:t xml:space="preserve"> and 8b extend this analysis to vegetation dynamics, showing that positive winter NAO phases are associated with higher winter and spring NDVI, particularly in conifer-dominated regions (consistent with Figure S1a). Although the correlations are not always statistically significant in spring, the pattern suggests that warmer positive NAO winters stimulate early leaf development and higher transpiration rates (see Figures S7i–j), leading to elevated pre-summer LAI. However, this early greening and higher leaf area, combined with reduced summer precipitation (Figures 1b, 3</w:t>
      </w:r>
      <w:r>
        <w:rPr>
          <w:rFonts w:cs="Times New Roman"/>
          <w:szCs w:val="32"/>
          <w:lang w:val="en-US"/>
        </w:rPr>
        <w:t>a</w:t>
      </w:r>
      <w:r w:rsidRPr="008B2DA0">
        <w:rPr>
          <w:rFonts w:cs="Times New Roman"/>
          <w:szCs w:val="32"/>
          <w:lang w:val="en-US"/>
        </w:rPr>
        <w:t>–</w:t>
      </w:r>
      <w:r>
        <w:rPr>
          <w:rFonts w:cs="Times New Roman"/>
          <w:szCs w:val="32"/>
          <w:lang w:val="en-US"/>
        </w:rPr>
        <w:t>b</w:t>
      </w:r>
      <w:r w:rsidRPr="008B2DA0">
        <w:rPr>
          <w:rFonts w:cs="Times New Roman"/>
          <w:szCs w:val="32"/>
          <w:lang w:val="en-US"/>
        </w:rPr>
        <w:t>), likely intensifies subsequent summer soil moisture depletion and drought severity.</w:t>
      </w:r>
    </w:p>
    <w:p w14:paraId="101F7000" w14:textId="77777777" w:rsidR="00F00FAE" w:rsidRPr="008B2DA0" w:rsidRDefault="00F00FAE" w:rsidP="00F00FAE">
      <w:pPr>
        <w:snapToGrid w:val="0"/>
        <w:spacing w:line="360" w:lineRule="auto"/>
        <w:rPr>
          <w:rFonts w:cs="Times New Roman"/>
          <w:lang w:val="en-US"/>
        </w:rPr>
      </w:pPr>
      <w:r w:rsidRPr="008B2DA0">
        <w:rPr>
          <w:noProof/>
        </w:rPr>
        <w:drawing>
          <wp:inline distT="0" distB="0" distL="0" distR="0" wp14:anchorId="135BA8BA" wp14:editId="3E649248">
            <wp:extent cx="5731510" cy="2056504"/>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731510" cy="2056504"/>
                    </a:xfrm>
                    <a:prstGeom prst="rect">
                      <a:avLst/>
                    </a:prstGeom>
                    <a:noFill/>
                    <a:ln>
                      <a:noFill/>
                    </a:ln>
                  </pic:spPr>
                </pic:pic>
              </a:graphicData>
            </a:graphic>
          </wp:inline>
        </w:drawing>
      </w:r>
    </w:p>
    <w:p w14:paraId="21186520" w14:textId="77777777" w:rsidR="00F00FAE" w:rsidRPr="008B2DA0" w:rsidRDefault="00F00FAE" w:rsidP="0053297D">
      <w:pPr>
        <w:snapToGrid w:val="0"/>
        <w:spacing w:line="360" w:lineRule="auto"/>
        <w:outlineLvl w:val="1"/>
        <w:rPr>
          <w:rFonts w:cs="Times New Roman"/>
          <w:szCs w:val="20"/>
          <w:lang w:val="en-US"/>
        </w:rPr>
      </w:pPr>
      <w:r w:rsidRPr="008B2DA0">
        <w:rPr>
          <w:rFonts w:cs="Times New Roman"/>
          <w:b/>
          <w:szCs w:val="20"/>
          <w:lang w:val="en-US"/>
        </w:rPr>
        <w:t>Figure S8.</w:t>
      </w:r>
      <w:r w:rsidRPr="008B2DA0">
        <w:rPr>
          <w:rFonts w:cs="Times New Roman"/>
          <w:szCs w:val="20"/>
          <w:lang w:val="en-US"/>
        </w:rPr>
        <w:t xml:space="preserve"> (a) Correlation between winter NAO (DJF) and winter NDVI (JJA) from 1982 to 2022, indicating vegetation response to NAO-induced hydroclimatic anomalies. (b) Correlation between winter NAO (DJF) and spring NDVI (March–May, MAM) from 1982 to 2022, showing the early-season vegetation sensitivity to winter atmospheric circulation anomalies. Warm colors indicate positive correlations, and green colors indicate negative correlations. Dark shades denote statistically significant correlations (p &lt; 0.05), while light shades represent non-significant correlations.</w:t>
      </w:r>
    </w:p>
    <w:p w14:paraId="3FEC4E26" w14:textId="77777777" w:rsidR="00F00FAE" w:rsidRPr="008B2DA0" w:rsidRDefault="00F00FAE" w:rsidP="00F00FAE">
      <w:pPr>
        <w:snapToGrid w:val="0"/>
        <w:spacing w:line="360" w:lineRule="auto"/>
        <w:rPr>
          <w:rFonts w:cs="Times New Roman"/>
          <w:szCs w:val="20"/>
          <w:lang w:val="en-US"/>
        </w:rPr>
      </w:pPr>
    </w:p>
    <w:p w14:paraId="677ED341" w14:textId="77777777" w:rsidR="00F00FAE" w:rsidRPr="001B6C32" w:rsidRDefault="00F00FAE" w:rsidP="00F00FAE">
      <w:pPr>
        <w:rPr>
          <w:lang w:val="en-US"/>
        </w:rPr>
      </w:pPr>
    </w:p>
    <w:p w14:paraId="547CB734" w14:textId="77777777" w:rsidR="00111B85" w:rsidRPr="00F00FAE" w:rsidRDefault="00111B85">
      <w:pPr>
        <w:rPr>
          <w:lang w:val="en-US"/>
        </w:rPr>
      </w:pPr>
    </w:p>
    <w:sectPr w:rsidR="00111B85" w:rsidRPr="00F00FAE">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楷体">
    <w:charset w:val="86"/>
    <w:family w:val="modern"/>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633"/>
    <w:rsid w:val="00111B85"/>
    <w:rsid w:val="0053297D"/>
    <w:rsid w:val="008C7633"/>
    <w:rsid w:val="008F64B3"/>
    <w:rsid w:val="00B7201D"/>
    <w:rsid w:val="00C7118F"/>
    <w:rsid w:val="00CA153C"/>
    <w:rsid w:val="00D646A3"/>
    <w:rsid w:val="00DB249B"/>
    <w:rsid w:val="00EA04A6"/>
    <w:rsid w:val="00EC74F9"/>
    <w:rsid w:val="00F00FA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588D2"/>
  <w15:chartTrackingRefBased/>
  <w15:docId w15:val="{2CB24044-4BD6-4C1C-9969-8B7D625D0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0FAE"/>
    <w:pPr>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00FAE"/>
    <w:rPr>
      <w:b/>
      <w:bCs/>
    </w:rPr>
  </w:style>
  <w:style w:type="character" w:styleId="Emphasis">
    <w:name w:val="Emphasis"/>
    <w:basedOn w:val="DefaultParagraphFont"/>
    <w:uiPriority w:val="20"/>
    <w:qFormat/>
    <w:rsid w:val="00F00FAE"/>
    <w:rPr>
      <w:i/>
      <w:iCs/>
    </w:rPr>
  </w:style>
  <w:style w:type="table" w:styleId="TableGrid">
    <w:name w:val="Table Grid"/>
    <w:basedOn w:val="TableNormal"/>
    <w:uiPriority w:val="39"/>
    <w:rsid w:val="00F00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iliation">
    <w:name w:val="Affiliation"/>
    <w:basedOn w:val="Normal"/>
    <w:link w:val="AffiliationChar"/>
    <w:qFormat/>
    <w:rsid w:val="00F00FAE"/>
    <w:pPr>
      <w:spacing w:before="120" w:after="0" w:line="240" w:lineRule="auto"/>
      <w:contextualSpacing/>
    </w:pPr>
    <w:rPr>
      <w:rFonts w:eastAsia="Times New Roman" w:cs="Times New Roman"/>
      <w:sz w:val="20"/>
      <w:szCs w:val="24"/>
      <w:lang w:val="en-GB" w:eastAsia="de-DE"/>
    </w:rPr>
  </w:style>
  <w:style w:type="character" w:customStyle="1" w:styleId="AffiliationChar">
    <w:name w:val="Affiliation Char"/>
    <w:basedOn w:val="DefaultParagraphFont"/>
    <w:link w:val="Affiliation"/>
    <w:rsid w:val="00F00FAE"/>
    <w:rPr>
      <w:rFonts w:ascii="Times New Roman" w:eastAsia="Times New Roman" w:hAnsi="Times New Roman" w:cs="Times New Roman"/>
      <w:sz w:val="20"/>
      <w:szCs w:val="24"/>
      <w:lang w:val="en-GB" w:eastAsia="de-DE"/>
    </w:rPr>
  </w:style>
  <w:style w:type="character" w:styleId="LineNumber">
    <w:name w:val="line number"/>
    <w:basedOn w:val="DefaultParagraphFont"/>
    <w:uiPriority w:val="99"/>
    <w:semiHidden/>
    <w:unhideWhenUsed/>
    <w:rsid w:val="00B7201D"/>
  </w:style>
  <w:style w:type="paragraph" w:styleId="PlainText">
    <w:name w:val="Plain Text"/>
    <w:basedOn w:val="Normal"/>
    <w:link w:val="PlainTextChar"/>
    <w:uiPriority w:val="99"/>
    <w:unhideWhenUsed/>
    <w:rsid w:val="00EC74F9"/>
    <w:pPr>
      <w:spacing w:after="0" w:line="240" w:lineRule="auto"/>
      <w:jc w:val="left"/>
    </w:pPr>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rsid w:val="00EC74F9"/>
    <w:rPr>
      <w:rFonts w:ascii="Calibri" w:eastAsiaTheme="minorHAnsi" w:hAnsi="Calibri"/>
      <w:szCs w:val="21"/>
      <w:lang w:eastAsia="en-US"/>
    </w:rPr>
  </w:style>
  <w:style w:type="paragraph" w:styleId="ListParagraph">
    <w:name w:val="List Paragraph"/>
    <w:basedOn w:val="Normal"/>
    <w:uiPriority w:val="34"/>
    <w:qFormat/>
    <w:rsid w:val="00EC74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glossaryDocument" Target="glossary/document.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96725D2C4DC4A878B07FAE558785F6D"/>
        <w:category>
          <w:name w:val="General"/>
          <w:gallery w:val="placeholder"/>
        </w:category>
        <w:types>
          <w:type w:val="bbPlcHdr"/>
        </w:types>
        <w:behaviors>
          <w:behavior w:val="content"/>
        </w:behaviors>
        <w:guid w:val="{23D82D0C-965F-45FA-B566-0A8E07408B1A}"/>
      </w:docPartPr>
      <w:docPartBody>
        <w:p w:rsidR="00000000" w:rsidRDefault="005F2A06" w:rsidP="005F2A06">
          <w:pPr>
            <w:pStyle w:val="E96725D2C4DC4A878B07FAE558785F6D"/>
          </w:pPr>
          <w:r w:rsidRPr="00FC247A">
            <w:rPr>
              <w:rStyle w:val="PlaceholderText"/>
            </w:rPr>
            <w:t>Click or tap here to enter text.</w:t>
          </w:r>
        </w:p>
      </w:docPartBody>
    </w:docPart>
    <w:docPart>
      <w:docPartPr>
        <w:name w:val="9F77DCF1C85F4A03AE2061A52C296954"/>
        <w:category>
          <w:name w:val="General"/>
          <w:gallery w:val="placeholder"/>
        </w:category>
        <w:types>
          <w:type w:val="bbPlcHdr"/>
        </w:types>
        <w:behaviors>
          <w:behavior w:val="content"/>
        </w:behaviors>
        <w:guid w:val="{3099C112-1997-40E0-B586-D8E698BAF964}"/>
      </w:docPartPr>
      <w:docPartBody>
        <w:p w:rsidR="00000000" w:rsidRDefault="005F2A06" w:rsidP="005F2A06">
          <w:pPr>
            <w:pStyle w:val="9F77DCF1C85F4A03AE2061A52C296954"/>
          </w:pPr>
          <w:r w:rsidRPr="00FC247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楷体">
    <w:charset w:val="86"/>
    <w:family w:val="modern"/>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06"/>
    <w:rsid w:val="005F2A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2A06"/>
    <w:rPr>
      <w:color w:val="808080"/>
    </w:rPr>
  </w:style>
  <w:style w:type="paragraph" w:customStyle="1" w:styleId="E96725D2C4DC4A878B07FAE558785F6D">
    <w:name w:val="E96725D2C4DC4A878B07FAE558785F6D"/>
    <w:rsid w:val="005F2A06"/>
  </w:style>
  <w:style w:type="paragraph" w:customStyle="1" w:styleId="9F77DCF1C85F4A03AE2061A52C296954">
    <w:name w:val="9F77DCF1C85F4A03AE2061A52C296954"/>
    <w:rsid w:val="005F2A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62001-0DCF-4FC0-9869-48C2D094C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1735</Words>
  <Characters>9894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Cong Jiang</dc:creator>
  <cp:keywords/>
  <dc:description/>
  <cp:lastModifiedBy>Cong Jiang</cp:lastModifiedBy>
  <cp:revision>10</cp:revision>
  <dcterms:created xsi:type="dcterms:W3CDTF">2025-11-11T10:34:00Z</dcterms:created>
  <dcterms:modified xsi:type="dcterms:W3CDTF">2025-11-11T11:45:00Z</dcterms:modified>
</cp:coreProperties>
</file>