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3A1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bottom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Table S</w:t>
      </w:r>
      <w:r>
        <w:rPr>
          <w:rFonts w:hint="eastAsia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. Annotation-based pathway mapping of predicted targets with evidence sources</w:t>
      </w:r>
    </w:p>
    <w:tbl>
      <w:tblPr>
        <w:tblStyle w:val="4"/>
        <w:tblW w:w="147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3"/>
        <w:gridCol w:w="1405"/>
        <w:gridCol w:w="3631"/>
        <w:gridCol w:w="4328"/>
        <w:gridCol w:w="3172"/>
      </w:tblGrid>
      <w:tr w14:paraId="497A2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6C52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UniProt (pig/human)</w:t>
            </w:r>
          </w:p>
        </w:tc>
        <w:tc>
          <w:tcPr>
            <w:tcW w:w="140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D1AB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363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30846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Protein</w:t>
            </w:r>
          </w:p>
        </w:tc>
        <w:tc>
          <w:tcPr>
            <w:tcW w:w="432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3C054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Related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pathway</w:t>
            </w:r>
          </w:p>
        </w:tc>
        <w:tc>
          <w:tcPr>
            <w:tcW w:w="317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406B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Reason for exclusion</w:t>
            </w:r>
          </w:p>
        </w:tc>
      </w:tr>
      <w:tr w14:paraId="0C320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11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Q6Q2J0</w:t>
            </w:r>
          </w:p>
        </w:tc>
        <w:tc>
          <w:tcPr>
            <w:tcW w:w="140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8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MAOA</w:t>
            </w:r>
          </w:p>
        </w:tc>
        <w:tc>
          <w:tcPr>
            <w:tcW w:w="363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40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Amine oxidase A</w:t>
            </w:r>
          </w:p>
        </w:tc>
        <w:tc>
          <w:tcPr>
            <w:tcW w:w="432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A9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Tryptophan/monoamine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metabolism</w:t>
            </w:r>
          </w:p>
        </w:tc>
        <w:tc>
          <w:tcPr>
            <w:tcW w:w="317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EC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77908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EF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Q6PLK3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3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MAOB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E4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Amine oxidase B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C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Tryptophan/monoamine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metabolism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FD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1293C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D3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Q29040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0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ESR1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9A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Estrogen receptor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84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Estrogen signaling pathway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15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6CC6D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65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C9EF58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F2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PTGS1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AF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Prostaglandin G/H synthase 1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F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Arachidonic-acid/prostaglandin axis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7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2D8F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16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Q8SPR3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5D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PTGS2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49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Prostaglandin G/H synthase 2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4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Arachidonic-acid/prostaglandin axis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53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361AC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1C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A3RGC1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22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VDR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BC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Vitamin D3 receptor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BB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Th17 cell differentiation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60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3A0EC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2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A0A5G2R3T9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B1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ERN1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4C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Serine/threonine-protein kinase/endoribonuclease 1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0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Protein processing in endoplasmic reticulum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B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docking NA</w:t>
            </w:r>
          </w:p>
        </w:tc>
      </w:tr>
      <w:tr w14:paraId="156BF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6C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Q16665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4F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HIF1A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F6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Hypoxia-inducible factor 1-alpha 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7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HIF-1 signaling pathway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DA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docking NA</w:t>
            </w:r>
          </w:p>
        </w:tc>
      </w:tr>
      <w:tr w14:paraId="6C42E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69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869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82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AHR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63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Aryl hydrocarbon receptor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F7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Th17 cell differentiation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B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docking NA</w:t>
            </w:r>
          </w:p>
        </w:tc>
      </w:tr>
      <w:tr w14:paraId="05651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42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P10415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44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BCL2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8E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Apoptosis regulator Bcl-2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6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poptosis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F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docking NA</w:t>
            </w:r>
          </w:p>
        </w:tc>
      </w:tr>
      <w:tr w14:paraId="6A81F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D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P19838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A2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NFKB1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59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Nuclear factor NF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κ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 p105 subunit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6D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NF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-κ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 signaling pathway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D3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docking NA</w:t>
            </w:r>
          </w:p>
        </w:tc>
      </w:tr>
      <w:tr w14:paraId="13326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7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56432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11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JUN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2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Transcription factor Jun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BB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MAPK signaling pathway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21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docking NA</w:t>
            </w:r>
          </w:p>
        </w:tc>
      </w:tr>
      <w:tr w14:paraId="29453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10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P42345 (human)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F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MTOR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20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Serine/threonine-protein kinase mTOR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E0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mTOR signaling pathway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22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Swine ortholog/sequence missing</w:t>
            </w:r>
          </w:p>
        </w:tc>
      </w:tr>
      <w:tr w14:paraId="7CD6B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2D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P51449 (human)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3B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RORC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7C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Nuclear receptor ROR-gamma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F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Th17 cell differentiation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1E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Swine ortholog/sequence missing</w:t>
            </w:r>
          </w:p>
        </w:tc>
      </w:tr>
      <w:tr w14:paraId="60DE8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224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6D19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P09917 (human)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17CA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ALOX5</w:t>
            </w:r>
          </w:p>
        </w:tc>
        <w:tc>
          <w:tcPr>
            <w:tcW w:w="36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0652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Polyunsaturated fatty acid 5-lipoxygenase</w:t>
            </w:r>
          </w:p>
        </w:tc>
        <w:tc>
          <w:tcPr>
            <w:tcW w:w="43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B0EA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Arachidonic acid metabolism</w:t>
            </w:r>
          </w:p>
        </w:tc>
        <w:tc>
          <w:tcPr>
            <w:tcW w:w="31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79BB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Swine ortholog/sequence missing</w:t>
            </w:r>
          </w:p>
        </w:tc>
      </w:tr>
    </w:tbl>
    <w:p w14:paraId="5349F65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firstLine="40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sectPr>
          <w:pgSz w:w="16838" w:h="11906" w:orient="landscape"/>
          <w:pgMar w:top="1417" w:right="1417" w:bottom="1417" w:left="1417" w:header="1020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pgNumType w:fmt="decimal"/>
          <w:cols w:space="0" w:num="1"/>
          <w:rtlGutter w:val="0"/>
          <w:docGrid w:type="lines" w:linePitch="336" w:charSpace="0"/>
        </w:sect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*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 xml:space="preserve">Reason for exclusion specifies why a candidate was not included in the core docking set (e.g., docking NA = docking not performed/not prioritized; Swine ortholog/sequence missing = swine ortholog not confirmed or sequence unavailable). The six swine targets prioritized for docking were MAOA, MAOB, ESR1, PTGS1, PTGS2, and VDR.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 xml:space="preserve">Th17 cell: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T helper 17 cells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;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NF-κB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: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 xml:space="preserve"> nuclear factor kappa-B; mTOR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: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 xml:space="preserve"> mechanistic target of rapamycin.</w:t>
      </w:r>
    </w:p>
    <w:p w14:paraId="3079B5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 w:firstLineChars="0"/>
        <w:jc w:val="center"/>
        <w:textAlignment w:val="bottom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Table S</w:t>
      </w:r>
      <w:r>
        <w:rPr>
          <w:rFonts w:hint="eastAsia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. Ligand-agnostic pocket evaluation and grid parameters for prioritized swine targets identified by CoBDock</w:t>
      </w:r>
    </w:p>
    <w:tbl>
      <w:tblPr>
        <w:tblStyle w:val="4"/>
        <w:tblW w:w="13732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019"/>
        <w:gridCol w:w="2284"/>
        <w:gridCol w:w="1867"/>
        <w:gridCol w:w="1925"/>
        <w:gridCol w:w="1933"/>
        <w:gridCol w:w="800"/>
        <w:gridCol w:w="796"/>
        <w:gridCol w:w="950"/>
        <w:gridCol w:w="742"/>
      </w:tblGrid>
      <w:tr w14:paraId="33E40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right"/>
        </w:trPr>
        <w:tc>
          <w:tcPr>
            <w:tcW w:w="1416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96A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Target</w:t>
            </w:r>
          </w:p>
          <w:p w14:paraId="36708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(UniProt ID)</w:t>
            </w:r>
          </w:p>
        </w:tc>
        <w:tc>
          <w:tcPr>
            <w:tcW w:w="1019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201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Gene</w:t>
            </w:r>
          </w:p>
        </w:tc>
        <w:tc>
          <w:tcPr>
            <w:tcW w:w="2284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480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Structure</w:t>
            </w:r>
          </w:p>
          <w:p w14:paraId="000B2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(PDB/AF, chain)</w:t>
            </w:r>
          </w:p>
        </w:tc>
        <w:tc>
          <w:tcPr>
            <w:tcW w:w="1867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D4F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Pocket ID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  <w:p w14:paraId="4D2AD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detection algorithm</w:t>
            </w:r>
          </w:p>
        </w:tc>
        <w:tc>
          <w:tcPr>
            <w:tcW w:w="1925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83D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Grid center</w:t>
            </w:r>
          </w:p>
          <w:p w14:paraId="38881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(x,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y,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; 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1933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F38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Grid size</w:t>
            </w:r>
          </w:p>
          <w:p w14:paraId="63AC9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(x,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y,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; 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3288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886E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Pocket evaluation (ligand-agnostic)</w:t>
            </w:r>
          </w:p>
        </w:tc>
      </w:tr>
      <w:tr w14:paraId="04A68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right"/>
        </w:trPr>
        <w:tc>
          <w:tcPr>
            <w:tcW w:w="1416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F9FF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19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F1C4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84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F95E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67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72C2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925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AF8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A51C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D01C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N </w:t>
            </w:r>
          </w:p>
          <w:p w14:paraId="76F7F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runs</w:t>
            </w:r>
          </w:p>
        </w:tc>
        <w:tc>
          <w:tcPr>
            <w:tcW w:w="79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9DA5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Score mean</w:t>
            </w:r>
          </w:p>
        </w:tc>
        <w:tc>
          <w:tcPr>
            <w:tcW w:w="95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66FD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Score median</w:t>
            </w:r>
          </w:p>
        </w:tc>
        <w:tc>
          <w:tcPr>
            <w:tcW w:w="74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F70C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Score SD</w:t>
            </w:r>
          </w:p>
        </w:tc>
      </w:tr>
      <w:tr w14:paraId="73124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right"/>
        </w:trPr>
        <w:tc>
          <w:tcPr>
            <w:tcW w:w="14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8E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Q6Q2J0</w:t>
            </w:r>
          </w:p>
        </w:tc>
        <w:tc>
          <w:tcPr>
            <w:tcW w:w="101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0C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MAOA</w:t>
            </w:r>
          </w:p>
        </w:tc>
        <w:tc>
          <w:tcPr>
            <w:tcW w:w="228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9D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AlphaFold Q6Q2J0_A</w:t>
            </w:r>
          </w:p>
        </w:tc>
        <w:tc>
          <w:tcPr>
            <w:tcW w:w="18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CA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binding_site_1</w:t>
            </w:r>
          </w:p>
        </w:tc>
        <w:tc>
          <w:tcPr>
            <w:tcW w:w="192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6D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2.98，4.61，-2.58</w:t>
            </w:r>
          </w:p>
        </w:tc>
        <w:tc>
          <w:tcPr>
            <w:tcW w:w="19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41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38.00，37.00，55.00</w:t>
            </w: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1D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79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58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-7.2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18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-7.2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9F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1.07</w:t>
            </w:r>
          </w:p>
        </w:tc>
      </w:tr>
      <w:tr w14:paraId="13245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righ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3C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Q6PLK3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4B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MAOB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09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AlphaFold Q6PLK3_A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2B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binding_site_1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23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0.97，1.55，5.89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3E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26.00，24.00，42.00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50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38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-7.48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70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-7.1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EB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1.34</w:t>
            </w:r>
          </w:p>
        </w:tc>
      </w:tr>
      <w:tr w14:paraId="5EB55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righ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52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Q29040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20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ESR1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01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AlphaFold Q29040_A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CD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binding_site_1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A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0.93, 4.09, -11.99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9C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21.00, 19.00, 21.00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F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47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18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-6.8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17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0.95</w:t>
            </w:r>
          </w:p>
        </w:tc>
      </w:tr>
      <w:tr w14:paraId="6E56D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righ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0A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C9EF58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03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PTGS1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2B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AlphaFold C9EF58_A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9C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binding_site_1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66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7.62，-3.95，7.79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EA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24.00，27.00，33.00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C4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84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D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-6.8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93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0.93</w:t>
            </w:r>
          </w:p>
        </w:tc>
      </w:tr>
      <w:tr w14:paraId="53A82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righ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03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Q8SPR3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D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PTGS2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8D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AlphaFold Q8SPR3_A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F9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binding_site_1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77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-9.56，-4.06，-3.2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0E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26.00，31.00，28.00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8B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23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4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-6.7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E6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</w:t>
            </w:r>
          </w:p>
        </w:tc>
      </w:tr>
      <w:tr w14:paraId="7A4D1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right"/>
        </w:trPr>
        <w:tc>
          <w:tcPr>
            <w:tcW w:w="14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03C8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A3RGC1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497A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VDR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5CF4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AlphaFold A3RGC1_A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0477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binding_site_1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CB4F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12.42，-1.81，-14.74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34E4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29.00，22.00，22.00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863C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1C1F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-7.33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E02B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-7.05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9F03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1.40</w:t>
            </w:r>
          </w:p>
        </w:tc>
      </w:tr>
    </w:tbl>
    <w:p w14:paraId="15B42FE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firstLine="400" w:firstLineChars="200"/>
        <w:jc w:val="both"/>
        <w:textAlignment w:val="auto"/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*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 xml:space="preserve">Pocket evaluation is ligand-agnostic. For each binding site, the CoBDock pipeline performed N runs of sampling to obtain pocket metrics (mean/median/SD; Vina-based scores in kcal·mol⁻¹). Grid center/size are in Å. Pocket ID denotes binding_site_1; the detection algorithm refers to the CoBDock consensus cavity detection. </w:t>
      </w:r>
      <w:r>
        <w:rPr>
          <w:rFonts w:hint="eastAsia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highlight w:val="none"/>
          <w:u w:val="none"/>
          <w:lang w:val="en-US" w:eastAsia="zh-CN" w:bidi="ar"/>
        </w:rPr>
        <w:t>cores indicate relative affinity and are not experimental ΔG. N runs for VDR equals 146, it reflects additional sampling during the automatic procedure.</w:t>
      </w:r>
      <w:bookmarkStart w:id="0" w:name="_GoBack"/>
      <w:bookmarkEnd w:id="0"/>
    </w:p>
    <w:sectPr>
      <w:pgSz w:w="16838" w:h="11906" w:orient="landscape"/>
      <w:pgMar w:top="1417" w:right="1417" w:bottom="1417" w:left="1417" w:header="1020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pgNumType w:fmt="decimal"/>
      <w:cols w:space="0" w:num="1"/>
      <w:rtlGutter w:val="0"/>
      <w:docGrid w:type="lines" w:linePitch="3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D07FA"/>
    <w:rsid w:val="59CD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3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auto"/>
      <w:szCs w:val="24"/>
      <w:lang w:eastAsia="zh-CN"/>
    </w:rPr>
  </w:style>
  <w:style w:type="character" w:styleId="6">
    <w:name w:val="Hyperlink"/>
    <w:basedOn w:val="5"/>
    <w:unhideWhenUsed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2025-11-25T10:13:00Z</dcterms:created>
  <dc:creator>誮钱D爪儿</dc:creator>
  <cp:lastModifiedBy>誮钱D爪儿</cp:lastModifiedBy>
  <dcterms:modified xsi:type="dcterms:W3CDTF">2025-11-25T10:15:35Z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FACC77273EC243F9B7F5559B3D537D7E_11</vt:lpwstr>
  </property>
  <property fmtid="{D5CDD505-2E9C-101B-9397-08002B2CF9AE}" pid="4" name="KSOTemplateDocerSaveRecord">
    <vt:lpwstr>eyJoZGlkIjoiNzY4MTliN2YyYmFlMTNlNmY1ZWI3YWIwZmE4YTZmYzIiLCJ1c2VySWQiOiI2MjE3MTk1MjUifQ==</vt:lpwstr>
  </property>
</Properties>
</file>