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6CFB" w:rsidRDefault="003F6CFB" w:rsidP="003F6CFB">
      <w:pPr>
        <w:spacing w:line="480" w:lineRule="auto"/>
        <w:rPr>
          <w:rFonts w:ascii="Times New Roman" w:hAnsi="Times New Roman" w:cs="Times New Roman"/>
          <w:noProof w:val="0"/>
          <w:sz w:val="20"/>
          <w:szCs w:val="20"/>
        </w:rPr>
      </w:pPr>
      <w:r>
        <w:rPr>
          <w:rFonts w:ascii="Times New Roman" w:hAnsi="Times New Roman" w:cs="Times New Roman"/>
          <w:b/>
          <w:bCs/>
          <w:noProof w:val="0"/>
          <w:sz w:val="36"/>
          <w:szCs w:val="36"/>
        </w:rPr>
        <w:t>A</w:t>
      </w:r>
      <w:r w:rsidRPr="00CE205B">
        <w:rPr>
          <w:rFonts w:ascii="Times New Roman" w:hAnsi="Times New Roman" w:cs="Times New Roman"/>
          <w:b/>
          <w:bCs/>
          <w:noProof w:val="0"/>
          <w:sz w:val="36"/>
          <w:szCs w:val="36"/>
        </w:rPr>
        <w:t>ppendix</w:t>
      </w:r>
      <w:r>
        <w:rPr>
          <w:rFonts w:ascii="Times New Roman" w:hAnsi="Times New Roman" w:cs="Times New Roman"/>
          <w:sz w:val="20"/>
          <w:szCs w:val="20"/>
          <w:lang w:val="en-US" w:eastAsia="en-US"/>
        </w:rPr>
        <w:drawing>
          <wp:inline distT="0" distB="0" distL="0" distR="0" wp14:anchorId="1ABFA619" wp14:editId="4553C73A">
            <wp:extent cx="5590191" cy="505480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00150" cy="5063808"/>
                    </a:xfrm>
                    <a:prstGeom prst="rect">
                      <a:avLst/>
                    </a:prstGeom>
                    <a:noFill/>
                  </pic:spPr>
                </pic:pic>
              </a:graphicData>
            </a:graphic>
          </wp:inline>
        </w:drawing>
      </w:r>
    </w:p>
    <w:p w:rsidR="003F6CFB" w:rsidRPr="00C105E9" w:rsidRDefault="003F6CFB" w:rsidP="003F6CFB">
      <w:pPr>
        <w:spacing w:line="480" w:lineRule="auto"/>
        <w:jc w:val="both"/>
        <w:rPr>
          <w:rFonts w:ascii="Times New Roman" w:hAnsi="Times New Roman" w:cs="Times New Roman"/>
          <w:b/>
          <w:bCs/>
          <w:noProof w:val="0"/>
          <w:sz w:val="24"/>
          <w:szCs w:val="24"/>
        </w:rPr>
      </w:pPr>
      <w:r w:rsidRPr="007E16EE">
        <w:rPr>
          <w:rFonts w:ascii="Times New Roman" w:hAnsi="Times New Roman" w:cs="Times New Roman"/>
          <w:b/>
          <w:bCs/>
          <w:noProof w:val="0"/>
          <w:sz w:val="24"/>
          <w:szCs w:val="24"/>
        </w:rPr>
        <w:t xml:space="preserve">Fig. S1 </w:t>
      </w:r>
      <w:r w:rsidRPr="00C105E9">
        <w:rPr>
          <w:rFonts w:ascii="Times New Roman" w:hAnsi="Times New Roman" w:cs="Times New Roman"/>
          <w:b/>
          <w:bCs/>
          <w:noProof w:val="0"/>
          <w:sz w:val="24"/>
          <w:szCs w:val="24"/>
        </w:rPr>
        <w:t>Comparison of HPLC (mmol/mol) and NMR (Mm) of VFAs in the same rumen samples</w:t>
      </w:r>
    </w:p>
    <w:p w:rsidR="003F6CFB" w:rsidRDefault="003F6CFB" w:rsidP="003F6CFB">
      <w:pPr>
        <w:spacing w:after="120" w:line="480" w:lineRule="auto"/>
        <w:jc w:val="center"/>
        <w:rPr>
          <w:rFonts w:ascii="Times New Roman" w:hAnsi="Times New Roman" w:cs="Times New Roman"/>
          <w:noProof w:val="0"/>
          <w:sz w:val="20"/>
          <w:szCs w:val="20"/>
        </w:rPr>
      </w:pPr>
      <w:r>
        <w:rPr>
          <w:rFonts w:ascii="Times New Roman" w:hAnsi="Times New Roman" w:cs="Times New Roman"/>
          <w:sz w:val="20"/>
          <w:szCs w:val="20"/>
          <w:lang w:val="en-US" w:eastAsia="en-US"/>
        </w:rPr>
        <w:lastRenderedPageBreak/>
        <w:drawing>
          <wp:inline distT="0" distB="0" distL="0" distR="0" wp14:anchorId="3A0ED41D" wp14:editId="65EC206B">
            <wp:extent cx="5683910" cy="3488699"/>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09591" cy="3504462"/>
                    </a:xfrm>
                    <a:prstGeom prst="rect">
                      <a:avLst/>
                    </a:prstGeom>
                    <a:noFill/>
                  </pic:spPr>
                </pic:pic>
              </a:graphicData>
            </a:graphic>
          </wp:inline>
        </w:drawing>
      </w:r>
      <w:r>
        <w:rPr>
          <w:rFonts w:ascii="Times New Roman" w:hAnsi="Times New Roman" w:cs="Times New Roman"/>
          <w:sz w:val="20"/>
          <w:szCs w:val="20"/>
          <w:lang w:val="en-US" w:eastAsia="en-US"/>
        </w:rPr>
        <w:drawing>
          <wp:inline distT="0" distB="0" distL="0" distR="0" wp14:anchorId="2EA49871" wp14:editId="7B78EC48">
            <wp:extent cx="5706884" cy="4557370"/>
            <wp:effectExtent l="0" t="0" r="825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4093" cy="4595070"/>
                    </a:xfrm>
                    <a:prstGeom prst="rect">
                      <a:avLst/>
                    </a:prstGeom>
                    <a:noFill/>
                  </pic:spPr>
                </pic:pic>
              </a:graphicData>
            </a:graphic>
          </wp:inline>
        </w:drawing>
      </w:r>
    </w:p>
    <w:p w:rsidR="003F6CFB" w:rsidRPr="00B15E1F" w:rsidRDefault="003F6CFB" w:rsidP="003F6CFB">
      <w:pPr>
        <w:spacing w:line="480" w:lineRule="auto"/>
        <w:jc w:val="both"/>
        <w:rPr>
          <w:rFonts w:ascii="Times New Roman" w:hAnsi="Times New Roman" w:cs="Times New Roman"/>
          <w:noProof w:val="0"/>
          <w:sz w:val="24"/>
          <w:szCs w:val="24"/>
        </w:rPr>
      </w:pPr>
      <w:r w:rsidRPr="00B15E1F">
        <w:rPr>
          <w:rFonts w:ascii="Times New Roman" w:hAnsi="Times New Roman" w:cs="Times New Roman"/>
          <w:b/>
          <w:bCs/>
          <w:noProof w:val="0"/>
          <w:sz w:val="24"/>
          <w:szCs w:val="24"/>
        </w:rPr>
        <w:lastRenderedPageBreak/>
        <w:t xml:space="preserve">Fig. S2 Data pre-treatment comparison of variable distribution </w:t>
      </w:r>
      <w:r w:rsidRPr="00B15E1F">
        <w:rPr>
          <w:rFonts w:ascii="Times New Roman" w:hAnsi="Times New Roman" w:cs="Times New Roman"/>
          <w:noProof w:val="0"/>
          <w:sz w:val="24"/>
          <w:szCs w:val="24"/>
        </w:rPr>
        <w:t xml:space="preserve">Data pre-treatment results of the NMR and HPLC data of VFAs under six different pre-treatments, including MC, AS, PS, LT, NS and Combine. None represents data without pre-treatment. Line plots show the overall data distribution based on kernel density estimation, before normalization—on the left, and after normalization—on right, while the two horizontal box plots on the bottom show the distributions of individual variables or metabolite concentrations, before and after normalization </w:t>
      </w: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16"/>
          <w:szCs w:val="16"/>
        </w:rPr>
      </w:pPr>
    </w:p>
    <w:p w:rsidR="003F6CFB" w:rsidRDefault="003F6CFB" w:rsidP="003F6CFB">
      <w:pPr>
        <w:spacing w:line="480" w:lineRule="auto"/>
        <w:jc w:val="both"/>
        <w:rPr>
          <w:rFonts w:ascii="Times New Roman" w:hAnsi="Times New Roman" w:cs="Times New Roman"/>
          <w:noProof w:val="0"/>
          <w:sz w:val="20"/>
          <w:szCs w:val="20"/>
        </w:rPr>
      </w:pPr>
    </w:p>
    <w:p w:rsidR="003F6CFB" w:rsidRDefault="003F6CFB" w:rsidP="003F6CFB">
      <w:pPr>
        <w:spacing w:after="120" w:line="480" w:lineRule="auto"/>
        <w:jc w:val="center"/>
        <w:rPr>
          <w:rFonts w:ascii="Times New Roman" w:hAnsi="Times New Roman" w:cs="Times New Roman"/>
          <w:noProof w:val="0"/>
          <w:sz w:val="20"/>
          <w:szCs w:val="20"/>
        </w:rPr>
      </w:pPr>
      <w:r>
        <w:rPr>
          <w:rFonts w:ascii="Times New Roman" w:hAnsi="Times New Roman" w:cs="Times New Roman"/>
          <w:sz w:val="20"/>
          <w:szCs w:val="20"/>
          <w:lang w:val="en-US" w:eastAsia="en-US"/>
        </w:rPr>
        <w:lastRenderedPageBreak/>
        <w:drawing>
          <wp:inline distT="0" distB="0" distL="0" distR="0" wp14:anchorId="690D8010" wp14:editId="45F6D408">
            <wp:extent cx="5527053" cy="3394253"/>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595498" cy="3436286"/>
                    </a:xfrm>
                    <a:prstGeom prst="rect">
                      <a:avLst/>
                    </a:prstGeom>
                    <a:noFill/>
                  </pic:spPr>
                </pic:pic>
              </a:graphicData>
            </a:graphic>
          </wp:inline>
        </w:drawing>
      </w:r>
    </w:p>
    <w:p w:rsidR="003F6CFB" w:rsidRDefault="003F6CFB" w:rsidP="003F6CFB">
      <w:pPr>
        <w:spacing w:after="120" w:line="480" w:lineRule="auto"/>
        <w:jc w:val="center"/>
        <w:rPr>
          <w:rFonts w:ascii="Times New Roman" w:hAnsi="Times New Roman" w:cs="Times New Roman"/>
          <w:noProof w:val="0"/>
          <w:sz w:val="20"/>
          <w:szCs w:val="20"/>
        </w:rPr>
      </w:pPr>
      <w:r>
        <w:rPr>
          <w:rFonts w:ascii="Times New Roman" w:hAnsi="Times New Roman" w:cs="Times New Roman"/>
          <w:sz w:val="20"/>
          <w:szCs w:val="20"/>
          <w:lang w:val="en-US" w:eastAsia="en-US"/>
        </w:rPr>
        <w:drawing>
          <wp:inline distT="0" distB="0" distL="0" distR="0" wp14:anchorId="2931182A" wp14:editId="5B78D441">
            <wp:extent cx="5749748" cy="4631254"/>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846873" cy="4709485"/>
                    </a:xfrm>
                    <a:prstGeom prst="rect">
                      <a:avLst/>
                    </a:prstGeom>
                    <a:noFill/>
                  </pic:spPr>
                </pic:pic>
              </a:graphicData>
            </a:graphic>
          </wp:inline>
        </w:drawing>
      </w:r>
    </w:p>
    <w:p w:rsidR="003F6CFB" w:rsidRPr="00B15E1F" w:rsidRDefault="003F6CFB" w:rsidP="003F6CFB">
      <w:pPr>
        <w:spacing w:line="480" w:lineRule="auto"/>
        <w:jc w:val="both"/>
        <w:rPr>
          <w:rFonts w:ascii="Times New Roman" w:hAnsi="Times New Roman" w:cs="Times New Roman"/>
          <w:b/>
          <w:bCs/>
          <w:noProof w:val="0"/>
          <w:sz w:val="24"/>
          <w:szCs w:val="24"/>
        </w:rPr>
      </w:pPr>
      <w:r w:rsidRPr="00B15E1F">
        <w:rPr>
          <w:rFonts w:ascii="Times New Roman" w:hAnsi="Times New Roman" w:cs="Times New Roman"/>
          <w:b/>
          <w:bCs/>
          <w:noProof w:val="0"/>
          <w:sz w:val="24"/>
          <w:szCs w:val="24"/>
        </w:rPr>
        <w:lastRenderedPageBreak/>
        <w:t xml:space="preserve">Fig. S3 Data pre-treatment comparison of sample distribution </w:t>
      </w:r>
      <w:r w:rsidRPr="00B15E1F">
        <w:rPr>
          <w:rFonts w:ascii="Times New Roman" w:hAnsi="Times New Roman" w:cs="Times New Roman"/>
          <w:noProof w:val="0"/>
          <w:sz w:val="24"/>
          <w:szCs w:val="24"/>
        </w:rPr>
        <w:t>Data pre-treatment results of the NMR and HPLC data of VFAs under six different pre-treatments, including MC, AS, PS, LT, NS and Combine. None represents data without pre-treatment. Line plots show the overall data distribution based on kernel density estimation, before normalization—on the left, and after normalization—on right, while the two horizontal box plots on the bottom show the distributions of individual variables or metabolite concentrations, before and after normalization</w:t>
      </w:r>
    </w:p>
    <w:p w:rsidR="003F6CFB" w:rsidRDefault="003F6CFB" w:rsidP="003F6CFB">
      <w:pPr>
        <w:spacing w:after="120" w:line="480" w:lineRule="auto"/>
        <w:jc w:val="right"/>
        <w:rPr>
          <w:rFonts w:ascii="Times New Roman" w:hAnsi="Times New Roman" w:cs="Times New Roman"/>
          <w:noProof w:val="0"/>
          <w:sz w:val="20"/>
          <w:szCs w:val="20"/>
        </w:rPr>
        <w:sectPr w:rsidR="003F6CFB" w:rsidSect="00295C8D">
          <w:pgSz w:w="11906" w:h="16838"/>
          <w:pgMar w:top="1440" w:right="1440" w:bottom="1440" w:left="1440" w:header="708" w:footer="708" w:gutter="0"/>
          <w:lnNumType w:countBy="1" w:restart="continuous"/>
          <w:cols w:space="708"/>
          <w:docGrid w:linePitch="360"/>
        </w:sectPr>
      </w:pPr>
    </w:p>
    <w:p w:rsidR="003F6CFB" w:rsidRDefault="003F6CFB" w:rsidP="003F6CFB">
      <w:pPr>
        <w:spacing w:after="120" w:line="480" w:lineRule="auto"/>
        <w:jc w:val="center"/>
        <w:rPr>
          <w:rFonts w:ascii="Times New Roman" w:hAnsi="Times New Roman" w:cs="Times New Roman"/>
          <w:sz w:val="20"/>
          <w:szCs w:val="20"/>
        </w:rPr>
      </w:pPr>
      <w:r>
        <w:rPr>
          <w:rFonts w:ascii="Times New Roman" w:hAnsi="Times New Roman" w:cs="Times New Roman"/>
          <w:sz w:val="20"/>
          <w:szCs w:val="20"/>
          <w:lang w:val="en-US" w:eastAsia="en-US"/>
        </w:rPr>
        <w:lastRenderedPageBreak/>
        <w:drawing>
          <wp:inline distT="0" distB="0" distL="0" distR="0" wp14:anchorId="4573A904" wp14:editId="0127CB69">
            <wp:extent cx="8844077" cy="5047981"/>
            <wp:effectExtent l="0" t="0" r="0"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903700" cy="5082012"/>
                    </a:xfrm>
                    <a:prstGeom prst="rect">
                      <a:avLst/>
                    </a:prstGeom>
                    <a:noFill/>
                  </pic:spPr>
                </pic:pic>
              </a:graphicData>
            </a:graphic>
          </wp:inline>
        </w:drawing>
      </w:r>
    </w:p>
    <w:p w:rsidR="003F6CFB" w:rsidRPr="00B15E1F" w:rsidRDefault="003F6CFB" w:rsidP="003F6CFB">
      <w:pPr>
        <w:spacing w:line="480" w:lineRule="auto"/>
        <w:jc w:val="both"/>
        <w:rPr>
          <w:rFonts w:ascii="Times New Roman" w:hAnsi="Times New Roman" w:cs="Times New Roman"/>
          <w:b/>
          <w:bCs/>
          <w:noProof w:val="0"/>
          <w:sz w:val="24"/>
          <w:szCs w:val="24"/>
        </w:rPr>
      </w:pPr>
      <w:r w:rsidRPr="00B15E1F">
        <w:rPr>
          <w:rFonts w:ascii="Times New Roman" w:hAnsi="Times New Roman" w:cs="Times New Roman"/>
          <w:b/>
          <w:bCs/>
          <w:noProof w:val="0"/>
          <w:sz w:val="24"/>
          <w:szCs w:val="24"/>
        </w:rPr>
        <w:lastRenderedPageBreak/>
        <w:t xml:space="preserve">Fig. S4 Correlation heatmaps comparison of HPLC and NMR sample data </w:t>
      </w:r>
      <w:r w:rsidRPr="00B15E1F">
        <w:rPr>
          <w:rFonts w:ascii="Times New Roman" w:hAnsi="Times New Roman" w:cs="Times New Roman"/>
          <w:noProof w:val="0"/>
          <w:sz w:val="24"/>
          <w:szCs w:val="24"/>
        </w:rPr>
        <w:t>Pearson correlation heatmaps of the NMR and HPLC data of VFAs under six different pre-treatments, including MC, AS, PS, LT, NS and Combine. None represents data without pre-treatment. The blue colour indicates that the correlation coefficient is close to 1, and the red colour indicates that the correlation coefficient is close to -1.</w:t>
      </w:r>
      <w:r w:rsidRPr="00B15E1F">
        <w:rPr>
          <w:sz w:val="24"/>
          <w:szCs w:val="24"/>
        </w:rPr>
        <w:t xml:space="preserve"> </w:t>
      </w:r>
      <w:r w:rsidRPr="00B15E1F">
        <w:rPr>
          <w:rFonts w:ascii="Times New Roman" w:hAnsi="Times New Roman" w:cs="Times New Roman"/>
          <w:noProof w:val="0"/>
          <w:sz w:val="24"/>
          <w:szCs w:val="24"/>
        </w:rPr>
        <w:t>The lines on the heat map indicate hierarchical clustering results.</w:t>
      </w:r>
      <w:r w:rsidRPr="00B15E1F">
        <w:rPr>
          <w:rFonts w:ascii="Times New Roman" w:hAnsi="Times New Roman" w:cs="Times New Roman" w:hint="eastAsia"/>
          <w:noProof w:val="0"/>
          <w:sz w:val="24"/>
          <w:szCs w:val="24"/>
        </w:rPr>
        <w:t xml:space="preserve"> </w:t>
      </w:r>
      <w:r w:rsidRPr="00B15E1F">
        <w:rPr>
          <w:rFonts w:ascii="Times New Roman" w:hAnsi="Times New Roman" w:cs="Times New Roman"/>
          <w:noProof w:val="0"/>
          <w:sz w:val="24"/>
          <w:szCs w:val="24"/>
        </w:rPr>
        <w:t xml:space="preserve">* Indicates a significant correlation, </w:t>
      </w:r>
      <w:r w:rsidRPr="00B15E1F">
        <w:rPr>
          <w:rFonts w:ascii="Times New Roman" w:hAnsi="Times New Roman" w:cs="Times New Roman"/>
          <w:i/>
          <w:iCs/>
          <w:noProof w:val="0"/>
          <w:sz w:val="24"/>
          <w:szCs w:val="24"/>
        </w:rPr>
        <w:t>p</w:t>
      </w:r>
      <w:r w:rsidRPr="00B15E1F">
        <w:rPr>
          <w:rFonts w:ascii="Times New Roman" w:hAnsi="Times New Roman" w:cs="Times New Roman"/>
          <w:noProof w:val="0"/>
          <w:sz w:val="24"/>
          <w:szCs w:val="24"/>
        </w:rPr>
        <w:t xml:space="preserve">&lt;0.05 </w:t>
      </w:r>
    </w:p>
    <w:p w:rsidR="003F6CFB" w:rsidRDefault="003F6CFB" w:rsidP="003F6CFB">
      <w:pPr>
        <w:spacing w:line="480" w:lineRule="auto"/>
        <w:jc w:val="center"/>
        <w:rPr>
          <w:rFonts w:ascii="Times New Roman" w:hAnsi="Times New Roman" w:cs="Times New Roman"/>
          <w:b/>
          <w:bCs/>
          <w:noProof w:val="0"/>
          <w:sz w:val="16"/>
          <w:szCs w:val="16"/>
        </w:rPr>
      </w:pPr>
    </w:p>
    <w:p w:rsidR="003F6CFB" w:rsidRPr="00671AC5" w:rsidRDefault="003F6CFB" w:rsidP="003F6CFB">
      <w:pPr>
        <w:spacing w:line="480" w:lineRule="auto"/>
        <w:jc w:val="center"/>
        <w:rPr>
          <w:rFonts w:ascii="Times New Roman" w:hAnsi="Times New Roman" w:cs="Times New Roman"/>
          <w:b/>
          <w:bCs/>
          <w:noProof w:val="0"/>
          <w:sz w:val="16"/>
          <w:szCs w:val="16"/>
        </w:rPr>
      </w:pPr>
    </w:p>
    <w:p w:rsidR="003F6CFB" w:rsidRDefault="003F6CFB" w:rsidP="003F6CFB">
      <w:pPr>
        <w:spacing w:after="120" w:line="480" w:lineRule="auto"/>
        <w:jc w:val="both"/>
        <w:rPr>
          <w:rFonts w:ascii="Times New Roman" w:hAnsi="Times New Roman" w:cs="Times New Roman"/>
          <w:noProof w:val="0"/>
          <w:sz w:val="20"/>
          <w:szCs w:val="20"/>
        </w:rPr>
      </w:pPr>
      <w:r>
        <w:rPr>
          <w:rFonts w:ascii="Times New Roman" w:hAnsi="Times New Roman" w:cs="Times New Roman"/>
          <w:sz w:val="20"/>
          <w:szCs w:val="20"/>
          <w:lang w:val="en-US" w:eastAsia="en-US"/>
        </w:rPr>
        <w:lastRenderedPageBreak/>
        <w:drawing>
          <wp:inline distT="0" distB="0" distL="0" distR="0" wp14:anchorId="6EB31D29" wp14:editId="68729991">
            <wp:extent cx="8844077" cy="3803041"/>
            <wp:effectExtent l="0" t="0" r="0" b="6985"/>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875543" cy="3816571"/>
                    </a:xfrm>
                    <a:prstGeom prst="rect">
                      <a:avLst/>
                    </a:prstGeom>
                    <a:noFill/>
                  </pic:spPr>
                </pic:pic>
              </a:graphicData>
            </a:graphic>
          </wp:inline>
        </w:drawing>
      </w:r>
    </w:p>
    <w:p w:rsidR="003F6CFB" w:rsidRPr="00EC243F" w:rsidRDefault="003F6CFB" w:rsidP="003F6CFB">
      <w:pPr>
        <w:spacing w:line="480" w:lineRule="auto"/>
        <w:jc w:val="both"/>
        <w:rPr>
          <w:rFonts w:ascii="Times New Roman" w:hAnsi="Times New Roman" w:cs="Times New Roman"/>
          <w:b/>
          <w:bCs/>
          <w:noProof w:val="0"/>
          <w:sz w:val="24"/>
          <w:szCs w:val="24"/>
        </w:rPr>
      </w:pPr>
      <w:r w:rsidRPr="00EC243F">
        <w:rPr>
          <w:rFonts w:ascii="Times New Roman" w:hAnsi="Times New Roman" w:cs="Times New Roman"/>
          <w:b/>
          <w:bCs/>
          <w:noProof w:val="0"/>
          <w:sz w:val="24"/>
          <w:szCs w:val="24"/>
        </w:rPr>
        <w:t>Fig. S5 PLS-DA analysis Cross-validation results</w:t>
      </w:r>
      <w:r w:rsidRPr="00EC243F">
        <w:rPr>
          <w:rFonts w:ascii="Times New Roman" w:hAnsi="Times New Roman" w:cs="Times New Roman" w:hint="eastAsia"/>
          <w:noProof w:val="0"/>
          <w:sz w:val="24"/>
          <w:szCs w:val="24"/>
        </w:rPr>
        <w:t xml:space="preserve"> </w:t>
      </w:r>
      <w:r w:rsidRPr="00EC243F">
        <w:rPr>
          <w:rFonts w:ascii="Times New Roman" w:hAnsi="Times New Roman" w:cs="Times New Roman"/>
          <w:noProof w:val="0"/>
          <w:sz w:val="24"/>
          <w:szCs w:val="24"/>
        </w:rPr>
        <w:t>PLS-DA analysis Cross-validation results</w:t>
      </w:r>
      <w:r w:rsidRPr="00EC243F">
        <w:rPr>
          <w:rFonts w:ascii="Times New Roman" w:hAnsi="Times New Roman" w:cs="Times New Roman" w:hint="eastAsia"/>
          <w:noProof w:val="0"/>
          <w:sz w:val="24"/>
          <w:szCs w:val="24"/>
        </w:rPr>
        <w:t xml:space="preserve"> of the NMR and HPLC data of VFAs under six different pre-treatments, including MC, AS, PS, LT,</w:t>
      </w:r>
      <w:r w:rsidRPr="00EC243F">
        <w:rPr>
          <w:rFonts w:ascii="Times New Roman" w:hAnsi="Times New Roman" w:cs="Times New Roman"/>
          <w:noProof w:val="0"/>
          <w:sz w:val="24"/>
          <w:szCs w:val="24"/>
        </w:rPr>
        <w:t xml:space="preserve"> </w:t>
      </w:r>
      <w:r w:rsidRPr="00EC243F">
        <w:rPr>
          <w:rFonts w:ascii="Times New Roman" w:hAnsi="Times New Roman" w:cs="Times New Roman" w:hint="eastAsia"/>
          <w:noProof w:val="0"/>
          <w:sz w:val="24"/>
          <w:szCs w:val="24"/>
        </w:rPr>
        <w:t xml:space="preserve">NS and Combine. None represents data without pre-treatment. </w:t>
      </w:r>
      <w:r w:rsidRPr="00EC243F">
        <w:rPr>
          <w:rFonts w:ascii="Times New Roman" w:hAnsi="Times New Roman" w:cs="Times New Roman"/>
          <w:noProof w:val="0"/>
          <w:sz w:val="24"/>
          <w:szCs w:val="24"/>
        </w:rPr>
        <w:t>The sum of squares captured by the model-R</w:t>
      </w:r>
      <w:r w:rsidRPr="00EC243F">
        <w:rPr>
          <w:rFonts w:ascii="Times New Roman" w:hAnsi="Times New Roman" w:cs="Times New Roman"/>
          <w:noProof w:val="0"/>
          <w:sz w:val="24"/>
          <w:szCs w:val="24"/>
          <w:vertAlign w:val="superscript"/>
        </w:rPr>
        <w:t>2</w:t>
      </w:r>
      <w:r w:rsidRPr="00EC243F">
        <w:rPr>
          <w:rFonts w:ascii="Times New Roman" w:hAnsi="Times New Roman" w:cs="Times New Roman"/>
          <w:noProof w:val="0"/>
          <w:sz w:val="24"/>
          <w:szCs w:val="24"/>
        </w:rPr>
        <w:t>, the cross-validated Q</w:t>
      </w:r>
      <w:r w:rsidRPr="00EC243F">
        <w:rPr>
          <w:rFonts w:ascii="Times New Roman" w:hAnsi="Times New Roman" w:cs="Times New Roman"/>
          <w:noProof w:val="0"/>
          <w:sz w:val="24"/>
          <w:szCs w:val="24"/>
          <w:vertAlign w:val="superscript"/>
        </w:rPr>
        <w:t>2</w:t>
      </w:r>
      <w:r w:rsidRPr="00EC243F">
        <w:rPr>
          <w:rFonts w:ascii="Times New Roman" w:hAnsi="Times New Roman" w:cs="Times New Roman"/>
          <w:noProof w:val="0"/>
          <w:sz w:val="24"/>
          <w:szCs w:val="24"/>
        </w:rPr>
        <w:t>, and the prediction accuracy-Accuracy. The default criterion is Q</w:t>
      </w:r>
      <w:r w:rsidRPr="00EC243F">
        <w:rPr>
          <w:rFonts w:ascii="Times New Roman" w:hAnsi="Times New Roman" w:cs="Times New Roman"/>
          <w:noProof w:val="0"/>
          <w:sz w:val="24"/>
          <w:szCs w:val="24"/>
          <w:vertAlign w:val="superscript"/>
        </w:rPr>
        <w:t>2</w:t>
      </w:r>
      <w:r w:rsidRPr="00EC243F">
        <w:rPr>
          <w:rFonts w:ascii="Times New Roman" w:hAnsi="Times New Roman" w:cs="Times New Roman"/>
          <w:noProof w:val="0"/>
          <w:sz w:val="24"/>
          <w:szCs w:val="24"/>
        </w:rPr>
        <w:t>, red star indicates that a three-component model is the best. PLS-DA performs 10-fold cross-validation on the top five principal components.</w:t>
      </w:r>
    </w:p>
    <w:p w:rsidR="00342BD7" w:rsidRDefault="00342BD7">
      <w:bookmarkStart w:id="0" w:name="_GoBack"/>
      <w:bookmarkEnd w:id="0"/>
    </w:p>
    <w:sectPr w:rsidR="00342BD7" w:rsidSect="00295C8D">
      <w:pgSz w:w="16838" w:h="11906" w:orient="landscape"/>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CFB"/>
    <w:rsid w:val="00342BD7"/>
    <w:rsid w:val="003F6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D934B"/>
  <w15:chartTrackingRefBased/>
  <w15:docId w15:val="{7FCBB080-357D-4FB5-9612-7E53BD4CF8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6CFB"/>
    <w:rPr>
      <w:rFonts w:eastAsiaTheme="minorEastAsia"/>
      <w:noProof/>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3F6C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338</Words>
  <Characters>1931</Characters>
  <Application>Microsoft Office Word</Application>
  <DocSecurity>0</DocSecurity>
  <Lines>16</Lines>
  <Paragraphs>4</Paragraphs>
  <ScaleCrop>false</ScaleCrop>
  <Company>Springer Nature IT</Company>
  <LinksUpToDate>false</LinksUpToDate>
  <CharactersWithSpaces>2265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2021-08-19T17:36:00Z</dcterms:created>
  <dcterms:modified xsi:type="dcterms:W3CDTF">2021-08-19T17:36:00Z</dcterms:modified>
</cp:coreProperties>
</file>