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BEDBAC" w14:textId="77777777" w:rsidR="003D7F31" w:rsidRDefault="003D7F31" w:rsidP="003D7F31">
      <w:pPr>
        <w:jc w:val="center"/>
      </w:pPr>
      <w:r w:rsidRPr="00A220D4">
        <w:rPr>
          <w:rFonts w:ascii="Times New Roman" w:hAnsi="Times New Roman" w:cs="Times New Roman" w:hint="eastAsia"/>
          <w:b/>
          <w:bCs/>
          <w:sz w:val="32"/>
          <w:szCs w:val="40"/>
        </w:rPr>
        <w:t>S</w:t>
      </w:r>
      <w:r w:rsidRPr="00A220D4">
        <w:rPr>
          <w:rFonts w:ascii="Times New Roman" w:hAnsi="Times New Roman" w:cs="Times New Roman"/>
          <w:b/>
          <w:bCs/>
          <w:sz w:val="32"/>
          <w:szCs w:val="40"/>
        </w:rPr>
        <w:t>upplementary Information</w:t>
      </w:r>
    </w:p>
    <w:p w14:paraId="37FE40A2" w14:textId="6F3768AC" w:rsidR="003D7F31" w:rsidRPr="003555C2" w:rsidRDefault="00CB07DB" w:rsidP="003D7F31">
      <w:pPr>
        <w:jc w:val="center"/>
        <w:rPr>
          <w:rFonts w:ascii="Times New Roman" w:hAnsi="Times New Roman" w:cs="Times New Roman"/>
          <w:b/>
          <w:bCs/>
          <w:sz w:val="32"/>
          <w:szCs w:val="40"/>
        </w:rPr>
      </w:pPr>
      <w:r w:rsidRPr="00CB07DB">
        <w:rPr>
          <w:rFonts w:ascii="Times New Roman" w:hAnsi="Times New Roman" w:cs="Times New Roman"/>
          <w:b/>
          <w:bCs/>
          <w:sz w:val="28"/>
          <w:szCs w:val="36"/>
        </w:rPr>
        <w:t>Urban morphology, not scale, dominates building-operational carbon emissions across 520 million buildings in China</w:t>
      </w:r>
    </w:p>
    <w:p w14:paraId="65E55A68" w14:textId="77777777" w:rsidR="00826784" w:rsidRPr="0087367D" w:rsidRDefault="00826784" w:rsidP="00826784">
      <w:pPr>
        <w:jc w:val="left"/>
        <w:rPr>
          <w:rFonts w:ascii="Times New Roman" w:hAnsi="Times New Roman" w:cs="Times New Roman"/>
          <w:b/>
          <w:bCs/>
        </w:rPr>
      </w:pPr>
      <w:r w:rsidRPr="0087367D">
        <w:rPr>
          <w:rFonts w:ascii="Times New Roman" w:hAnsi="Times New Roman" w:cs="Times New Roman"/>
        </w:rPr>
        <w:t>Yuxin Chen</w:t>
      </w:r>
      <w:r w:rsidRPr="0087367D">
        <w:rPr>
          <w:rFonts w:ascii="Times New Roman" w:hAnsi="Times New Roman" w:cs="Times New Roman"/>
          <w:vertAlign w:val="superscript"/>
        </w:rPr>
        <w:t>1</w:t>
      </w:r>
      <w:r w:rsidRPr="0087367D">
        <w:rPr>
          <w:rFonts w:ascii="Times New Roman" w:hAnsi="Times New Roman" w:cs="Times New Roman"/>
        </w:rPr>
        <w:t xml:space="preserve">, </w:t>
      </w:r>
      <w:proofErr w:type="spellStart"/>
      <w:r w:rsidRPr="0087367D">
        <w:rPr>
          <w:rFonts w:ascii="Times New Roman" w:hAnsi="Times New Roman" w:cs="Times New Roman"/>
        </w:rPr>
        <w:t>Kaipeng</w:t>
      </w:r>
      <w:proofErr w:type="spellEnd"/>
      <w:r w:rsidRPr="0087367D">
        <w:rPr>
          <w:rFonts w:ascii="Times New Roman" w:hAnsi="Times New Roman" w:cs="Times New Roman"/>
        </w:rPr>
        <w:t xml:space="preserve"> Ren</w:t>
      </w:r>
      <w:r w:rsidRPr="0087367D">
        <w:rPr>
          <w:rFonts w:ascii="Times New Roman" w:hAnsi="Times New Roman" w:cs="Times New Roman"/>
          <w:vertAlign w:val="superscript"/>
        </w:rPr>
        <w:t>2</w:t>
      </w:r>
      <w:r w:rsidRPr="0087367D">
        <w:rPr>
          <w:rFonts w:ascii="Times New Roman" w:hAnsi="Times New Roman" w:cs="Times New Roman"/>
        </w:rPr>
        <w:t>, Yida Sun</w:t>
      </w:r>
      <w:r w:rsidRPr="0087367D">
        <w:rPr>
          <w:rFonts w:ascii="Times New Roman" w:hAnsi="Times New Roman" w:cs="Times New Roman"/>
          <w:vertAlign w:val="superscript"/>
        </w:rPr>
        <w:t>1</w:t>
      </w:r>
      <w:r w:rsidRPr="0087367D">
        <w:rPr>
          <w:rFonts w:ascii="Times New Roman" w:hAnsi="Times New Roman" w:cs="Times New Roman"/>
        </w:rPr>
        <w:t xml:space="preserve">, </w:t>
      </w:r>
      <w:proofErr w:type="spellStart"/>
      <w:r w:rsidRPr="0087367D">
        <w:rPr>
          <w:rStyle w:val="af6"/>
          <w:rFonts w:ascii="Times New Roman" w:hAnsi="Times New Roman" w:cs="Times New Roman"/>
          <w:b w:val="0"/>
          <w:bCs w:val="0"/>
        </w:rPr>
        <w:t>Diling</w:t>
      </w:r>
      <w:proofErr w:type="spellEnd"/>
      <w:r w:rsidRPr="0087367D">
        <w:rPr>
          <w:rStyle w:val="af6"/>
          <w:rFonts w:ascii="Times New Roman" w:hAnsi="Times New Roman" w:cs="Times New Roman"/>
          <w:b w:val="0"/>
          <w:bCs w:val="0"/>
        </w:rPr>
        <w:t xml:space="preserve"> Liang</w:t>
      </w:r>
      <w:r w:rsidRPr="0087367D">
        <w:rPr>
          <w:rStyle w:val="af6"/>
          <w:rFonts w:ascii="Times New Roman" w:hAnsi="Times New Roman" w:cs="Times New Roman"/>
          <w:b w:val="0"/>
          <w:bCs w:val="0"/>
          <w:vertAlign w:val="superscript"/>
        </w:rPr>
        <w:t>3</w:t>
      </w:r>
      <w:r w:rsidRPr="0087367D">
        <w:rPr>
          <w:rStyle w:val="af6"/>
          <w:rFonts w:ascii="Times New Roman" w:hAnsi="Times New Roman" w:cs="Times New Roman"/>
          <w:b w:val="0"/>
          <w:bCs w:val="0"/>
        </w:rPr>
        <w:t>,</w:t>
      </w:r>
      <w:r w:rsidRPr="0087367D">
        <w:rPr>
          <w:rFonts w:ascii="Times New Roman" w:hAnsi="Times New Roman"/>
        </w:rPr>
        <w:t xml:space="preserve"> </w:t>
      </w:r>
      <w:r>
        <w:rPr>
          <w:rStyle w:val="af6"/>
          <w:rFonts w:ascii="Times New Roman" w:hAnsi="Times New Roman" w:cs="Times New Roman"/>
          <w:b w:val="0"/>
          <w:bCs w:val="0"/>
        </w:rPr>
        <w:t>Q</w:t>
      </w:r>
      <w:r>
        <w:rPr>
          <w:rStyle w:val="af6"/>
          <w:rFonts w:ascii="Times New Roman" w:hAnsi="Times New Roman" w:cs="Times New Roman" w:hint="eastAsia"/>
          <w:b w:val="0"/>
          <w:bCs w:val="0"/>
        </w:rPr>
        <w:t>uan</w:t>
      </w:r>
      <w:r>
        <w:rPr>
          <w:rStyle w:val="af6"/>
          <w:rFonts w:ascii="Times New Roman" w:hAnsi="Times New Roman" w:cs="Times New Roman"/>
          <w:b w:val="0"/>
          <w:bCs w:val="0"/>
        </w:rPr>
        <w:t xml:space="preserve"> W</w:t>
      </w:r>
      <w:r>
        <w:rPr>
          <w:rStyle w:val="af6"/>
          <w:rFonts w:ascii="Times New Roman" w:hAnsi="Times New Roman" w:cs="Times New Roman" w:hint="eastAsia"/>
          <w:b w:val="0"/>
          <w:bCs w:val="0"/>
        </w:rPr>
        <w:t>en</w:t>
      </w:r>
      <w:r>
        <w:rPr>
          <w:rStyle w:val="af6"/>
          <w:rFonts w:ascii="Times New Roman" w:hAnsi="Times New Roman" w:cs="Times New Roman"/>
          <w:b w:val="0"/>
          <w:bCs w:val="0"/>
          <w:vertAlign w:val="superscript"/>
        </w:rPr>
        <w:t>1</w:t>
      </w:r>
      <w:r w:rsidRPr="0087367D">
        <w:rPr>
          <w:rStyle w:val="af6"/>
          <w:rFonts w:ascii="Times New Roman" w:hAnsi="Times New Roman" w:cs="Times New Roman"/>
          <w:b w:val="0"/>
          <w:bCs w:val="0"/>
        </w:rPr>
        <w:t>,</w:t>
      </w:r>
      <w:r>
        <w:rPr>
          <w:rStyle w:val="af6"/>
          <w:rFonts w:ascii="Times New Roman" w:hAnsi="Times New Roman" w:cs="Times New Roman"/>
          <w:b w:val="0"/>
          <w:bCs w:val="0"/>
        </w:rPr>
        <w:t xml:space="preserve"> Y</w:t>
      </w:r>
      <w:r>
        <w:rPr>
          <w:rStyle w:val="af6"/>
          <w:rFonts w:ascii="Times New Roman" w:hAnsi="Times New Roman" w:cs="Times New Roman" w:hint="eastAsia"/>
          <w:b w:val="0"/>
          <w:bCs w:val="0"/>
        </w:rPr>
        <w:t>uli</w:t>
      </w:r>
      <w:r>
        <w:rPr>
          <w:rStyle w:val="af6"/>
          <w:rFonts w:ascii="Times New Roman" w:hAnsi="Times New Roman" w:cs="Times New Roman"/>
          <w:b w:val="0"/>
          <w:bCs w:val="0"/>
        </w:rPr>
        <w:t xml:space="preserve"> S</w:t>
      </w:r>
      <w:r>
        <w:rPr>
          <w:rStyle w:val="af6"/>
          <w:rFonts w:ascii="Times New Roman" w:hAnsi="Times New Roman" w:cs="Times New Roman" w:hint="eastAsia"/>
          <w:b w:val="0"/>
          <w:bCs w:val="0"/>
        </w:rPr>
        <w:t>han</w:t>
      </w:r>
      <w:r w:rsidRPr="00B605FF">
        <w:rPr>
          <w:rStyle w:val="af6"/>
          <w:rFonts w:ascii="Times New Roman" w:hAnsi="Times New Roman" w:cs="Times New Roman"/>
          <w:b w:val="0"/>
          <w:bCs w:val="0"/>
          <w:vertAlign w:val="superscript"/>
        </w:rPr>
        <w:t>4</w:t>
      </w:r>
      <w:r>
        <w:rPr>
          <w:rStyle w:val="af6"/>
          <w:rFonts w:ascii="Times New Roman" w:hAnsi="Times New Roman" w:cs="Times New Roman"/>
          <w:b w:val="0"/>
          <w:bCs w:val="0"/>
        </w:rPr>
        <w:t>,</w:t>
      </w:r>
      <w:r w:rsidRPr="0087367D">
        <w:rPr>
          <w:rStyle w:val="af6"/>
          <w:rFonts w:ascii="Times New Roman" w:hAnsi="Times New Roman" w:cs="Times New Roman"/>
          <w:b w:val="0"/>
          <w:bCs w:val="0"/>
        </w:rPr>
        <w:t xml:space="preserve"> Dabo Guan</w:t>
      </w:r>
      <w:r w:rsidRPr="0087367D">
        <w:rPr>
          <w:rStyle w:val="af6"/>
          <w:rFonts w:ascii="Times New Roman" w:hAnsi="Times New Roman" w:cs="Times New Roman"/>
          <w:b w:val="0"/>
          <w:bCs w:val="0"/>
          <w:vertAlign w:val="superscript"/>
        </w:rPr>
        <w:t>1</w:t>
      </w:r>
      <w:r>
        <w:rPr>
          <w:rStyle w:val="af6"/>
          <w:rFonts w:ascii="Times New Roman" w:hAnsi="Times New Roman" w:cs="Times New Roman"/>
          <w:b w:val="0"/>
          <w:bCs w:val="0"/>
          <w:vertAlign w:val="superscript"/>
        </w:rPr>
        <w:t>,3</w:t>
      </w:r>
      <w:r w:rsidRPr="0087367D">
        <w:rPr>
          <w:rStyle w:val="af6"/>
          <w:rFonts w:ascii="Times New Roman" w:hAnsi="Times New Roman" w:cs="Times New Roman"/>
          <w:b w:val="0"/>
          <w:bCs w:val="0"/>
          <w:vertAlign w:val="superscript"/>
        </w:rPr>
        <w:t xml:space="preserve"> *</w:t>
      </w:r>
    </w:p>
    <w:p w14:paraId="2ACA35DA" w14:textId="77777777" w:rsidR="00826784" w:rsidRPr="0087367D" w:rsidRDefault="00826784" w:rsidP="00826784">
      <w:pPr>
        <w:jc w:val="center"/>
        <w:rPr>
          <w:rFonts w:ascii="Times New Roman" w:hAnsi="Times New Roman" w:cs="Times New Roman"/>
        </w:rPr>
      </w:pPr>
    </w:p>
    <w:p w14:paraId="2A80BF84" w14:textId="77777777" w:rsidR="00826784" w:rsidRPr="0087367D" w:rsidRDefault="00826784" w:rsidP="00826784">
      <w:pPr>
        <w:rPr>
          <w:rStyle w:val="af6"/>
          <w:rFonts w:ascii="Times New Roman" w:hAnsi="Times New Roman" w:cs="Times New Roman"/>
          <w:b w:val="0"/>
          <w:bCs w:val="0"/>
        </w:rPr>
      </w:pPr>
      <w:r w:rsidRPr="0087367D">
        <w:rPr>
          <w:rStyle w:val="af6"/>
          <w:rFonts w:ascii="Times New Roman" w:hAnsi="Times New Roman" w:cs="Times New Roman" w:hint="eastAsia"/>
          <w:b w:val="0"/>
          <w:bCs w:val="0"/>
        </w:rPr>
        <w:t>A</w:t>
      </w:r>
      <w:r w:rsidRPr="0087367D">
        <w:rPr>
          <w:rStyle w:val="af6"/>
          <w:rFonts w:ascii="Times New Roman" w:hAnsi="Times New Roman" w:cs="Times New Roman"/>
          <w:b w:val="0"/>
          <w:bCs w:val="0"/>
        </w:rPr>
        <w:t>ffiliations:</w:t>
      </w:r>
    </w:p>
    <w:p w14:paraId="28400432" w14:textId="77777777" w:rsidR="00826784" w:rsidRPr="0087367D" w:rsidRDefault="00826784" w:rsidP="00826784">
      <w:pPr>
        <w:pStyle w:val="af"/>
        <w:numPr>
          <w:ilvl w:val="0"/>
          <w:numId w:val="4"/>
        </w:numPr>
        <w:ind w:firstLineChars="0"/>
        <w:rPr>
          <w:rStyle w:val="af6"/>
          <w:rFonts w:ascii="Times New Roman" w:hAnsi="Times New Roman" w:cs="Times New Roman"/>
          <w:b w:val="0"/>
          <w:bCs w:val="0"/>
        </w:rPr>
      </w:pPr>
      <w:r w:rsidRPr="0087367D">
        <w:rPr>
          <w:rStyle w:val="af6"/>
          <w:rFonts w:ascii="Times New Roman" w:hAnsi="Times New Roman" w:cs="Times New Roman"/>
          <w:b w:val="0"/>
          <w:bCs w:val="0"/>
        </w:rPr>
        <w:t>Department of Earth System Science, Tsinghua University, Beijing 100084, China.</w:t>
      </w:r>
    </w:p>
    <w:p w14:paraId="3AEDB274" w14:textId="77777777" w:rsidR="00826784" w:rsidRPr="0087367D" w:rsidRDefault="00826784" w:rsidP="00826784">
      <w:pPr>
        <w:pStyle w:val="af"/>
        <w:numPr>
          <w:ilvl w:val="0"/>
          <w:numId w:val="4"/>
        </w:numPr>
        <w:ind w:firstLineChars="0"/>
        <w:rPr>
          <w:rStyle w:val="af6"/>
          <w:rFonts w:ascii="Times New Roman" w:hAnsi="Times New Roman" w:cs="Times New Roman"/>
          <w:b w:val="0"/>
          <w:bCs w:val="0"/>
        </w:rPr>
      </w:pPr>
      <w:r w:rsidRPr="0087367D">
        <w:rPr>
          <w:rStyle w:val="af6"/>
          <w:rFonts w:ascii="Times New Roman" w:hAnsi="Times New Roman" w:cs="Times New Roman"/>
          <w:b w:val="0"/>
          <w:bCs w:val="0"/>
        </w:rPr>
        <w:t>College of Science, China University of Petroleum (Beijing)</w:t>
      </w:r>
      <w:r w:rsidRPr="0087367D">
        <w:rPr>
          <w:rStyle w:val="af6"/>
          <w:rFonts w:ascii="Times New Roman" w:hAnsi="Times New Roman" w:cs="Times New Roman" w:hint="eastAsia"/>
          <w:b w:val="0"/>
          <w:bCs w:val="0"/>
        </w:rPr>
        <w:t>,</w:t>
      </w:r>
      <w:r w:rsidRPr="0087367D">
        <w:rPr>
          <w:rStyle w:val="af6"/>
          <w:rFonts w:ascii="Times New Roman" w:hAnsi="Times New Roman" w:cs="Times New Roman"/>
          <w:b w:val="0"/>
          <w:bCs w:val="0"/>
        </w:rPr>
        <w:t xml:space="preserve"> Beijing 102249, China.</w:t>
      </w:r>
    </w:p>
    <w:p w14:paraId="4BE3E023" w14:textId="77777777" w:rsidR="00826784" w:rsidRDefault="00826784" w:rsidP="00826784">
      <w:pPr>
        <w:pStyle w:val="af"/>
        <w:numPr>
          <w:ilvl w:val="0"/>
          <w:numId w:val="4"/>
        </w:numPr>
        <w:ind w:firstLineChars="0"/>
        <w:rPr>
          <w:rStyle w:val="af6"/>
          <w:rFonts w:ascii="Times New Roman" w:hAnsi="Times New Roman" w:cs="Times New Roman"/>
          <w:b w:val="0"/>
          <w:bCs w:val="0"/>
        </w:rPr>
      </w:pPr>
      <w:r w:rsidRPr="0087367D">
        <w:rPr>
          <w:rStyle w:val="af6"/>
          <w:rFonts w:ascii="Times New Roman" w:hAnsi="Times New Roman" w:cs="Times New Roman"/>
          <w:b w:val="0"/>
          <w:bCs w:val="0"/>
        </w:rPr>
        <w:t>The Bartlett School of Sustainable Construction, University College London, London WC1E 7HB, UK.</w:t>
      </w:r>
    </w:p>
    <w:p w14:paraId="300256F4" w14:textId="001A69F2" w:rsidR="003D7F31" w:rsidRPr="00047E54" w:rsidRDefault="00826784" w:rsidP="00826784">
      <w:pPr>
        <w:pStyle w:val="af"/>
        <w:numPr>
          <w:ilvl w:val="0"/>
          <w:numId w:val="4"/>
        </w:numPr>
        <w:ind w:firstLineChars="0"/>
        <w:rPr>
          <w:rFonts w:ascii="Times New Roman" w:hAnsi="Times New Roman" w:cs="Times New Roman"/>
        </w:rPr>
      </w:pPr>
      <w:r w:rsidRPr="00047E54">
        <w:rPr>
          <w:rStyle w:val="af6"/>
          <w:rFonts w:ascii="Times New Roman" w:hAnsi="Times New Roman" w:cs="Times New Roman"/>
          <w:b w:val="0"/>
          <w:bCs w:val="0"/>
        </w:rPr>
        <w:t>School of Geography, Earth and Environmental Sciences, University of Birmingham, Birmingham B15 2TT, UK</w:t>
      </w:r>
    </w:p>
    <w:p w14:paraId="66C2B0CE" w14:textId="2A4B553F" w:rsidR="000B11A6" w:rsidRDefault="003D7F31" w:rsidP="006B262C">
      <w:pPr>
        <w:pStyle w:val="1"/>
      </w:pPr>
      <w:r w:rsidRPr="000F5285">
        <w:t>Supplementary</w:t>
      </w:r>
      <w:r>
        <w:t xml:space="preserve"> Figure</w:t>
      </w:r>
    </w:p>
    <w:p w14:paraId="20F7EE15" w14:textId="304A8703" w:rsidR="006B262C" w:rsidRDefault="006B262C" w:rsidP="000B11A6">
      <w:r>
        <w:rPr>
          <w:noProof/>
        </w:rPr>
        <w:drawing>
          <wp:inline distT="0" distB="0" distL="0" distR="0" wp14:anchorId="362A4BB7" wp14:editId="55D6B0ED">
            <wp:extent cx="5274310" cy="2696210"/>
            <wp:effectExtent l="0" t="0" r="2540" b="8890"/>
            <wp:docPr id="54737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7666" name=""/>
                    <pic:cNvPicPr/>
                  </pic:nvPicPr>
                  <pic:blipFill>
                    <a:blip r:embed="rId7"/>
                    <a:stretch>
                      <a:fillRect/>
                    </a:stretch>
                  </pic:blipFill>
                  <pic:spPr>
                    <a:xfrm>
                      <a:off x="0" y="0"/>
                      <a:ext cx="5274310" cy="2696210"/>
                    </a:xfrm>
                    <a:prstGeom prst="rect">
                      <a:avLst/>
                    </a:prstGeom>
                  </pic:spPr>
                </pic:pic>
              </a:graphicData>
            </a:graphic>
          </wp:inline>
        </w:drawing>
      </w:r>
    </w:p>
    <w:p w14:paraId="37A82705" w14:textId="2908649B" w:rsidR="000B11A6" w:rsidRPr="00B000FB" w:rsidRDefault="00B000FB" w:rsidP="00B000FB">
      <w:pPr>
        <w:rPr>
          <w:rFonts w:ascii="Times" w:hAnsi="Times"/>
          <w:b/>
          <w:bCs/>
          <w:kern w:val="44"/>
          <w:szCs w:val="44"/>
        </w:rPr>
      </w:pPr>
      <w:r w:rsidRPr="00B000FB">
        <w:rPr>
          <w:rStyle w:val="10"/>
        </w:rPr>
        <w:t>Supplementary Fig. 1 | Details of the Chinese individual building database.</w:t>
      </w:r>
      <w:r>
        <w:rPr>
          <w:rStyle w:val="10"/>
          <w:b w:val="0"/>
          <w:bCs w:val="0"/>
        </w:rPr>
        <w:t xml:space="preserve"> </w:t>
      </w:r>
      <w:r w:rsidRPr="00B000FB">
        <w:rPr>
          <w:rStyle w:val="10"/>
        </w:rPr>
        <w:t>a</w:t>
      </w:r>
      <w:r w:rsidRPr="00B000FB">
        <w:rPr>
          <w:rStyle w:val="10"/>
          <w:b w:val="0"/>
          <w:bCs w:val="0"/>
        </w:rPr>
        <w:t xml:space="preserve"> </w:t>
      </w:r>
      <w:proofErr w:type="gramStart"/>
      <w:r w:rsidRPr="00B000FB">
        <w:rPr>
          <w:rStyle w:val="10"/>
          <w:b w:val="0"/>
          <w:bCs w:val="0"/>
        </w:rPr>
        <w:t>shows</w:t>
      </w:r>
      <w:proofErr w:type="gramEnd"/>
      <w:r w:rsidRPr="00B000FB">
        <w:rPr>
          <w:rStyle w:val="10"/>
          <w:b w:val="0"/>
          <w:bCs w:val="0"/>
        </w:rPr>
        <w:t xml:space="preserve"> the number of individual buildings within the study coverage of this paper, measured in number of structures</w:t>
      </w:r>
      <w:r>
        <w:rPr>
          <w:rStyle w:val="10"/>
          <w:rFonts w:hint="eastAsia"/>
          <w:b w:val="0"/>
          <w:bCs w:val="0"/>
        </w:rPr>
        <w:t>.</w:t>
      </w:r>
      <w:r>
        <w:rPr>
          <w:rStyle w:val="10"/>
          <w:b w:val="0"/>
          <w:bCs w:val="0"/>
        </w:rPr>
        <w:t xml:space="preserve"> </w:t>
      </w:r>
      <w:r w:rsidRPr="00B000FB">
        <w:rPr>
          <w:rStyle w:val="10"/>
        </w:rPr>
        <w:t>b</w:t>
      </w:r>
      <w:r w:rsidRPr="00B000FB">
        <w:rPr>
          <w:rStyle w:val="10"/>
          <w:b w:val="0"/>
          <w:bCs w:val="0"/>
        </w:rPr>
        <w:t xml:space="preserve"> presents a magnified view of Shanghai from panel </w:t>
      </w:r>
      <w:r w:rsidRPr="00B000FB">
        <w:rPr>
          <w:rStyle w:val="10"/>
        </w:rPr>
        <w:t>a</w:t>
      </w:r>
      <w:r>
        <w:rPr>
          <w:rStyle w:val="10"/>
          <w:b w:val="0"/>
          <w:bCs w:val="0"/>
        </w:rPr>
        <w:t>, while</w:t>
      </w:r>
      <w:r>
        <w:rPr>
          <w:rStyle w:val="10"/>
        </w:rPr>
        <w:t xml:space="preserve"> </w:t>
      </w:r>
      <w:r w:rsidRPr="00B000FB">
        <w:rPr>
          <w:rStyle w:val="10"/>
        </w:rPr>
        <w:t>c</w:t>
      </w:r>
      <w:r w:rsidRPr="00B000FB">
        <w:rPr>
          <w:rStyle w:val="10"/>
          <w:b w:val="0"/>
          <w:bCs w:val="0"/>
        </w:rPr>
        <w:t xml:space="preserve"> provides a further zoomed-in illustration of a selected area in Shanghai, where pink polygons represent footprints of individual buildings</w:t>
      </w:r>
      <w:r>
        <w:rPr>
          <w:rStyle w:val="10"/>
          <w:b w:val="0"/>
          <w:bCs w:val="0"/>
        </w:rPr>
        <w:t xml:space="preserve">. </w:t>
      </w:r>
      <w:r w:rsidRPr="00B000FB">
        <w:rPr>
          <w:rStyle w:val="10"/>
        </w:rPr>
        <w:t>d</w:t>
      </w:r>
      <w:r w:rsidRPr="00B000FB">
        <w:rPr>
          <w:rStyle w:val="10"/>
          <w:b w:val="0"/>
          <w:bCs w:val="0"/>
        </w:rPr>
        <w:t xml:space="preserve"> displays the number of individual buildings by province (unit: 10,000 buildings), with bar colors indicating the geographical region of each province.</w:t>
      </w:r>
    </w:p>
    <w:p w14:paraId="577478CE" w14:textId="77777777" w:rsidR="006B262C" w:rsidRDefault="006B262C" w:rsidP="000B11A6"/>
    <w:p w14:paraId="741E413E" w14:textId="77777777" w:rsidR="006B262C" w:rsidRDefault="006B262C" w:rsidP="000B11A6"/>
    <w:p w14:paraId="3E414741" w14:textId="77777777" w:rsidR="006B262C" w:rsidRPr="000B11A6" w:rsidRDefault="006B262C" w:rsidP="000B11A6"/>
    <w:p w14:paraId="38F9501A" w14:textId="599EEF1E" w:rsidR="00351864" w:rsidRDefault="003D7F31">
      <w:r>
        <w:rPr>
          <w:noProof/>
        </w:rPr>
        <w:lastRenderedPageBreak/>
        <w:drawing>
          <wp:inline distT="0" distB="0" distL="0" distR="0" wp14:anchorId="414830E8" wp14:editId="4D531B89">
            <wp:extent cx="5274310" cy="2941955"/>
            <wp:effectExtent l="0" t="0" r="2540" b="0"/>
            <wp:docPr id="388482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8222" name=""/>
                    <pic:cNvPicPr/>
                  </pic:nvPicPr>
                  <pic:blipFill>
                    <a:blip r:embed="rId8"/>
                    <a:stretch>
                      <a:fillRect/>
                    </a:stretch>
                  </pic:blipFill>
                  <pic:spPr>
                    <a:xfrm>
                      <a:off x="0" y="0"/>
                      <a:ext cx="5274310" cy="2941955"/>
                    </a:xfrm>
                    <a:prstGeom prst="rect">
                      <a:avLst/>
                    </a:prstGeom>
                  </pic:spPr>
                </pic:pic>
              </a:graphicData>
            </a:graphic>
          </wp:inline>
        </w:drawing>
      </w:r>
    </w:p>
    <w:p w14:paraId="3C438B11" w14:textId="3EC05C4A" w:rsidR="003D7F31" w:rsidRDefault="003D7F31">
      <w:pPr>
        <w:rPr>
          <w:rFonts w:ascii="Times New Roman" w:hAnsi="Times New Roman" w:cs="Times New Roman"/>
          <w:noProof/>
          <w:sz w:val="20"/>
          <w:szCs w:val="40"/>
        </w:rPr>
      </w:pPr>
      <w:r w:rsidRPr="003D7F31">
        <w:rPr>
          <w:rStyle w:val="10"/>
        </w:rPr>
        <w:t>Supplementary Fig.</w:t>
      </w:r>
      <w:r w:rsidR="000B11A6">
        <w:rPr>
          <w:rStyle w:val="10"/>
        </w:rPr>
        <w:t>2</w:t>
      </w:r>
      <w:r w:rsidRPr="003D7F31">
        <w:rPr>
          <w:rStyle w:val="10"/>
        </w:rPr>
        <w:t xml:space="preserve"> | Information map of point-source power plants in China by energy type.</w:t>
      </w:r>
      <w:r>
        <w:rPr>
          <w:noProof/>
        </w:rPr>
        <w:t xml:space="preserve"> </w:t>
      </w:r>
      <w:r w:rsidR="00DD500E" w:rsidRPr="00DD500E">
        <w:rPr>
          <w:rFonts w:ascii="Times New Roman" w:hAnsi="Times New Roman" w:cs="Times New Roman"/>
          <w:noProof/>
          <w:sz w:val="20"/>
          <w:szCs w:val="40"/>
        </w:rPr>
        <w:t xml:space="preserve">This figure depicts the spatial distribution and energy composition of point-source power plants across China. </w:t>
      </w:r>
      <w:r w:rsidR="00DD500E" w:rsidRPr="00B15838">
        <w:rPr>
          <w:rFonts w:ascii="Times New Roman" w:hAnsi="Times New Roman" w:cs="Times New Roman"/>
          <w:b/>
          <w:bCs/>
          <w:noProof/>
          <w:sz w:val="20"/>
          <w:szCs w:val="40"/>
        </w:rPr>
        <w:t>a</w:t>
      </w:r>
      <w:r w:rsidR="00DD500E" w:rsidRPr="00DD500E">
        <w:rPr>
          <w:rFonts w:ascii="Times New Roman" w:hAnsi="Times New Roman" w:cs="Times New Roman"/>
          <w:noProof/>
          <w:sz w:val="20"/>
          <w:szCs w:val="40"/>
        </w:rPr>
        <w:t>, National overview showing all identified power generation units. b–g, Enlarged views of six major urban agglomerations: Harbin–Changchun (</w:t>
      </w:r>
      <w:r w:rsidR="00DD500E" w:rsidRPr="00B15838">
        <w:rPr>
          <w:rFonts w:ascii="Times New Roman" w:hAnsi="Times New Roman" w:cs="Times New Roman"/>
          <w:b/>
          <w:bCs/>
          <w:noProof/>
          <w:sz w:val="20"/>
          <w:szCs w:val="40"/>
        </w:rPr>
        <w:t>b</w:t>
      </w:r>
      <w:r w:rsidR="00DD500E" w:rsidRPr="00DD500E">
        <w:rPr>
          <w:rFonts w:ascii="Times New Roman" w:hAnsi="Times New Roman" w:cs="Times New Roman"/>
          <w:noProof/>
          <w:sz w:val="20"/>
          <w:szCs w:val="40"/>
        </w:rPr>
        <w:t>), Beijing–Tianjin–Hebei (</w:t>
      </w:r>
      <w:r w:rsidR="00DD500E" w:rsidRPr="00B15838">
        <w:rPr>
          <w:rFonts w:ascii="Times New Roman" w:hAnsi="Times New Roman" w:cs="Times New Roman"/>
          <w:b/>
          <w:bCs/>
          <w:noProof/>
          <w:sz w:val="20"/>
          <w:szCs w:val="40"/>
        </w:rPr>
        <w:t>c</w:t>
      </w:r>
      <w:r w:rsidR="00DD500E" w:rsidRPr="00DD500E">
        <w:rPr>
          <w:rFonts w:ascii="Times New Roman" w:hAnsi="Times New Roman" w:cs="Times New Roman"/>
          <w:noProof/>
          <w:sz w:val="20"/>
          <w:szCs w:val="40"/>
        </w:rPr>
        <w:t>), Yangtze River Delta (</w:t>
      </w:r>
      <w:r w:rsidR="00DD500E" w:rsidRPr="00B15838">
        <w:rPr>
          <w:rFonts w:ascii="Times New Roman" w:hAnsi="Times New Roman" w:cs="Times New Roman"/>
          <w:b/>
          <w:bCs/>
          <w:noProof/>
          <w:sz w:val="20"/>
          <w:szCs w:val="40"/>
        </w:rPr>
        <w:t>d</w:t>
      </w:r>
      <w:r w:rsidR="00DD500E" w:rsidRPr="00DD500E">
        <w:rPr>
          <w:rFonts w:ascii="Times New Roman" w:hAnsi="Times New Roman" w:cs="Times New Roman"/>
          <w:noProof/>
          <w:sz w:val="20"/>
          <w:szCs w:val="40"/>
        </w:rPr>
        <w:t>), Chengdu–Chongqing (</w:t>
      </w:r>
      <w:r w:rsidR="00DD500E" w:rsidRPr="00B15838">
        <w:rPr>
          <w:rFonts w:ascii="Times New Roman" w:hAnsi="Times New Roman" w:cs="Times New Roman"/>
          <w:b/>
          <w:bCs/>
          <w:noProof/>
          <w:sz w:val="20"/>
          <w:szCs w:val="40"/>
        </w:rPr>
        <w:t>e</w:t>
      </w:r>
      <w:r w:rsidR="00DD500E" w:rsidRPr="00DD500E">
        <w:rPr>
          <w:rFonts w:ascii="Times New Roman" w:hAnsi="Times New Roman" w:cs="Times New Roman"/>
          <w:noProof/>
          <w:sz w:val="20"/>
          <w:szCs w:val="40"/>
        </w:rPr>
        <w:t>), Middle Yangtze River (</w:t>
      </w:r>
      <w:r w:rsidR="00DD500E" w:rsidRPr="00B15838">
        <w:rPr>
          <w:rFonts w:ascii="Times New Roman" w:hAnsi="Times New Roman" w:cs="Times New Roman"/>
          <w:b/>
          <w:bCs/>
          <w:noProof/>
          <w:sz w:val="20"/>
          <w:szCs w:val="40"/>
        </w:rPr>
        <w:t>f</w:t>
      </w:r>
      <w:r w:rsidR="00DD500E" w:rsidRPr="00DD500E">
        <w:rPr>
          <w:rFonts w:ascii="Times New Roman" w:hAnsi="Times New Roman" w:cs="Times New Roman"/>
          <w:noProof/>
          <w:sz w:val="20"/>
          <w:szCs w:val="40"/>
        </w:rPr>
        <w:t>), and Pearl River Delta (</w:t>
      </w:r>
      <w:r w:rsidR="00DD500E" w:rsidRPr="00B15838">
        <w:rPr>
          <w:rFonts w:ascii="Times New Roman" w:hAnsi="Times New Roman" w:cs="Times New Roman"/>
          <w:b/>
          <w:bCs/>
          <w:noProof/>
          <w:sz w:val="20"/>
          <w:szCs w:val="40"/>
        </w:rPr>
        <w:t>g</w:t>
      </w:r>
      <w:r w:rsidR="00DD500E" w:rsidRPr="00DD500E">
        <w:rPr>
          <w:rFonts w:ascii="Times New Roman" w:hAnsi="Times New Roman" w:cs="Times New Roman"/>
          <w:noProof/>
          <w:sz w:val="20"/>
          <w:szCs w:val="40"/>
        </w:rPr>
        <w:t>). Each power plant is classified by energy type, corresponding to codes 01–34 in the legend: (01) coal-fired, (02) petroleum coke, (03) oil shale, (04) oil-fired, (05) syngas from coal gasification, (06) blast furnace gas, (07) coke oven gas, (08) Corex gas, (09) refinery off-gas or industrial process gas, (10) waste gas, (11) coal mine gas, (12) coalbed methane, (13) liquefied petroleum gas (LPG), (14) liquefied natural gas (LNG), (15) gas-fired, (16) oil-gasified crude or refined residue, (17) refuse incineration, (18) landfill gas, (19) sewage digestion gas, (20) biogas, (21) agricultural waste and energy crop, (22) bagasse, (23) wood or wood waste, (24) syngas from wood or biomass gasification, (25) black liquor, (26) waste heat, (27) unknown, (28) hydrogen, (29) geothermal, (30) uranium, (31) hydropower, (32) onshore wind, (33) offshore wind, and (34) solar.</w:t>
      </w:r>
    </w:p>
    <w:p w14:paraId="46945D4E" w14:textId="77777777" w:rsidR="00B000FB" w:rsidRDefault="00B000FB">
      <w:pPr>
        <w:rPr>
          <w:rFonts w:ascii="Times New Roman" w:hAnsi="Times New Roman" w:cs="Times New Roman"/>
          <w:noProof/>
          <w:sz w:val="20"/>
          <w:szCs w:val="40"/>
        </w:rPr>
      </w:pPr>
    </w:p>
    <w:p w14:paraId="6F0FA677" w14:textId="77777777" w:rsidR="00B000FB" w:rsidRDefault="00B000FB">
      <w:pPr>
        <w:rPr>
          <w:rFonts w:ascii="Times New Roman" w:hAnsi="Times New Roman" w:cs="Times New Roman"/>
          <w:noProof/>
          <w:sz w:val="20"/>
          <w:szCs w:val="40"/>
        </w:rPr>
      </w:pPr>
    </w:p>
    <w:p w14:paraId="1F651D83" w14:textId="77777777" w:rsidR="00B000FB" w:rsidRDefault="00B000FB">
      <w:pPr>
        <w:rPr>
          <w:rFonts w:ascii="Times New Roman" w:hAnsi="Times New Roman" w:cs="Times New Roman"/>
          <w:noProof/>
          <w:sz w:val="20"/>
          <w:szCs w:val="40"/>
        </w:rPr>
      </w:pPr>
    </w:p>
    <w:p w14:paraId="3297DF95" w14:textId="77777777" w:rsidR="00B000FB" w:rsidRDefault="00B000FB">
      <w:pPr>
        <w:rPr>
          <w:rFonts w:ascii="Times New Roman" w:hAnsi="Times New Roman" w:cs="Times New Roman"/>
          <w:noProof/>
          <w:sz w:val="20"/>
          <w:szCs w:val="40"/>
        </w:rPr>
      </w:pPr>
    </w:p>
    <w:p w14:paraId="6655309F" w14:textId="77777777" w:rsidR="00B000FB" w:rsidRDefault="00B000FB">
      <w:pPr>
        <w:rPr>
          <w:rFonts w:ascii="Times New Roman" w:hAnsi="Times New Roman" w:cs="Times New Roman"/>
          <w:noProof/>
          <w:sz w:val="20"/>
          <w:szCs w:val="40"/>
        </w:rPr>
      </w:pPr>
    </w:p>
    <w:p w14:paraId="79EFA6A7" w14:textId="77777777" w:rsidR="00B000FB" w:rsidRDefault="00B000FB">
      <w:pPr>
        <w:rPr>
          <w:rFonts w:ascii="Times New Roman" w:hAnsi="Times New Roman" w:cs="Times New Roman"/>
          <w:noProof/>
          <w:sz w:val="20"/>
          <w:szCs w:val="40"/>
        </w:rPr>
      </w:pPr>
    </w:p>
    <w:p w14:paraId="206ECE36" w14:textId="77777777" w:rsidR="00B000FB" w:rsidRDefault="00B000FB">
      <w:pPr>
        <w:rPr>
          <w:rFonts w:ascii="Times New Roman" w:hAnsi="Times New Roman" w:cs="Times New Roman"/>
          <w:noProof/>
          <w:sz w:val="20"/>
          <w:szCs w:val="40"/>
        </w:rPr>
      </w:pPr>
    </w:p>
    <w:p w14:paraId="00CFD0A2" w14:textId="77777777" w:rsidR="00B000FB" w:rsidRDefault="00B000FB">
      <w:pPr>
        <w:rPr>
          <w:rFonts w:ascii="Times New Roman" w:hAnsi="Times New Roman" w:cs="Times New Roman"/>
          <w:noProof/>
          <w:sz w:val="20"/>
          <w:szCs w:val="40"/>
        </w:rPr>
      </w:pPr>
    </w:p>
    <w:p w14:paraId="34D744C2" w14:textId="77777777" w:rsidR="00B000FB" w:rsidRDefault="00B000FB">
      <w:pPr>
        <w:rPr>
          <w:rFonts w:ascii="Times New Roman" w:hAnsi="Times New Roman" w:cs="Times New Roman"/>
          <w:noProof/>
          <w:sz w:val="20"/>
          <w:szCs w:val="40"/>
        </w:rPr>
      </w:pPr>
    </w:p>
    <w:p w14:paraId="574983F8" w14:textId="77777777" w:rsidR="00B000FB" w:rsidRDefault="00B000FB">
      <w:pPr>
        <w:rPr>
          <w:rFonts w:ascii="Times New Roman" w:hAnsi="Times New Roman" w:cs="Times New Roman"/>
          <w:noProof/>
          <w:sz w:val="20"/>
          <w:szCs w:val="40"/>
        </w:rPr>
      </w:pPr>
    </w:p>
    <w:p w14:paraId="2EC19199" w14:textId="77777777" w:rsidR="00415753" w:rsidRPr="003555C2" w:rsidRDefault="00415753" w:rsidP="00415753">
      <w:pPr>
        <w:rPr>
          <w:rFonts w:ascii="Times New Roman" w:hAnsi="Times New Roman" w:cs="Times New Roman"/>
        </w:rPr>
      </w:pPr>
    </w:p>
    <w:p w14:paraId="52FB576C" w14:textId="1C747243" w:rsidR="00415753" w:rsidRPr="003555C2" w:rsidRDefault="00F85256" w:rsidP="00415753">
      <w:pPr>
        <w:rPr>
          <w:rFonts w:ascii="Times New Roman" w:hAnsi="Times New Roman" w:cs="Times New Roman"/>
        </w:rPr>
      </w:pPr>
      <w:r>
        <w:rPr>
          <w:noProof/>
        </w:rPr>
        <w:lastRenderedPageBreak/>
        <w:drawing>
          <wp:inline distT="0" distB="0" distL="0" distR="0" wp14:anchorId="3A502A5D" wp14:editId="125740E9">
            <wp:extent cx="5274310" cy="5709920"/>
            <wp:effectExtent l="0" t="0" r="2540" b="5080"/>
            <wp:docPr id="1052884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8469" name=""/>
                    <pic:cNvPicPr/>
                  </pic:nvPicPr>
                  <pic:blipFill>
                    <a:blip r:embed="rId9"/>
                    <a:stretch>
                      <a:fillRect/>
                    </a:stretch>
                  </pic:blipFill>
                  <pic:spPr>
                    <a:xfrm>
                      <a:off x="0" y="0"/>
                      <a:ext cx="5274310" cy="5709920"/>
                    </a:xfrm>
                    <a:prstGeom prst="rect">
                      <a:avLst/>
                    </a:prstGeom>
                  </pic:spPr>
                </pic:pic>
              </a:graphicData>
            </a:graphic>
          </wp:inline>
        </w:drawing>
      </w:r>
    </w:p>
    <w:p w14:paraId="0F55B6F5" w14:textId="1E3DDDBC" w:rsidR="00415753" w:rsidRPr="003555C2" w:rsidRDefault="00415753" w:rsidP="00415753">
      <w:pPr>
        <w:pStyle w:val="1"/>
        <w:rPr>
          <w:rFonts w:ascii="Times New Roman" w:hAnsi="Times New Roman" w:cs="Times New Roman"/>
        </w:rPr>
      </w:pPr>
      <w:r w:rsidRPr="001B1882">
        <w:t>Supplementary Fig.3 | Comparison of power generation structure and renewable energy utilization rates in representative cities.</w:t>
      </w:r>
      <w:r w:rsidRPr="003555C2">
        <w:rPr>
          <w:rFonts w:ascii="Times New Roman" w:hAnsi="Times New Roman" w:cs="Times New Roman"/>
        </w:rPr>
        <w:t xml:space="preserve"> </w:t>
      </w:r>
      <w:r w:rsidR="00DD500E" w:rsidRPr="00B15838">
        <w:rPr>
          <w:rFonts w:ascii="Times New Roman" w:hAnsi="Times New Roman" w:cs="Times New Roman"/>
        </w:rPr>
        <w:t>a–e</w:t>
      </w:r>
      <w:r w:rsidR="00DD500E" w:rsidRPr="00DD500E">
        <w:rPr>
          <w:rFonts w:ascii="Times New Roman" w:hAnsi="Times New Roman" w:cs="Times New Roman"/>
          <w:b w:val="0"/>
          <w:bCs w:val="0"/>
        </w:rPr>
        <w:t xml:space="preserve">, Power generation composition of five representative cities—Shenzhen, Yangzhou, Guiyang, Lanzhou, and Daqing. Each panel combines a bar chart and a composite pie chart. The bar charts illustrate point-source power generation units within city boundaries, where the x-axis denotes installed capacity (MW) for each unit and the y-axis represents the commissioning year. The accompanying pie charts show the proportional contributions of local point-source units by energy type and imported electricity to total power generation. </w:t>
      </w:r>
      <w:r w:rsidR="00DD500E" w:rsidRPr="00B15838">
        <w:rPr>
          <w:rFonts w:ascii="Times New Roman" w:hAnsi="Times New Roman" w:cs="Times New Roman"/>
        </w:rPr>
        <w:t>f</w:t>
      </w:r>
      <w:r w:rsidR="00DD500E" w:rsidRPr="00DD500E">
        <w:rPr>
          <w:rFonts w:ascii="Times New Roman" w:hAnsi="Times New Roman" w:cs="Times New Roman"/>
          <w:b w:val="0"/>
          <w:bCs w:val="0"/>
        </w:rPr>
        <w:t>, Comparison of renewable energy utilization rates among the five cities. Light red dots represent Scheme 1, in which the urban building footprint includes all building types (residential, commercial, and public), whereas dark red dots represent Scheme 2, which considers only commercial and public building footprints in the calculation.</w:t>
      </w:r>
    </w:p>
    <w:p w14:paraId="69D03B11" w14:textId="52E8C66C" w:rsidR="00415753" w:rsidRPr="003555C2" w:rsidRDefault="00B063AA" w:rsidP="00B063AA">
      <w:pPr>
        <w:rPr>
          <w:rFonts w:ascii="Times New Roman" w:hAnsi="Times New Roman" w:cs="Times New Roman"/>
        </w:rPr>
      </w:pPr>
      <w:r w:rsidRPr="00B063AA">
        <w:rPr>
          <w:rFonts w:ascii="Times New Roman" w:hAnsi="Times New Roman" w:cs="Times New Roman"/>
        </w:rPr>
        <w:t xml:space="preserve">Carbon emissions during the operational phase of buildings are strongly correlated with the emission intensity of the electricity sector, as indirect electricity use constitutes a substantially larger share of </w:t>
      </w:r>
      <w:r w:rsidRPr="00B063AA">
        <w:rPr>
          <w:rFonts w:ascii="Times New Roman" w:hAnsi="Times New Roman" w:cs="Times New Roman"/>
        </w:rPr>
        <w:lastRenderedPageBreak/>
        <w:t>total energy consumption than direct fuel use. This critical linkage necessitates a detailed disaggregation of urban power generation structures to accurately evaluate how regional electricity mixes influence building-related emissions. Our analysis integrates operational parameters from 30,745 point-source power generation units across China, encompassing installed capacity, 35 distinct fuel types, and operational status. By coupling city-specific, fuel-diverse supply-side facilities into the model, we capture the environmental implications of their evolving configurations over time.</w:t>
      </w:r>
      <w:r>
        <w:rPr>
          <w:rFonts w:ascii="Times New Roman" w:hAnsi="Times New Roman" w:cs="Times New Roman" w:hint="eastAsia"/>
        </w:rPr>
        <w:t xml:space="preserve"> </w:t>
      </w:r>
      <w:r w:rsidRPr="00B063AA">
        <w:rPr>
          <w:rFonts w:ascii="Times New Roman" w:hAnsi="Times New Roman" w:cs="Times New Roman"/>
        </w:rPr>
        <w:t>Model-based calculations reveal a clear gradient in the carbon intensity of electricity across the five representative cities: Shenzhen (0.159 kg CO₂ kWh⁻¹), Guiyang (0.542), Yangzhou (0.546), Lanzhou (0.659), and Daqing (0.974). This gradient not only reflects the varying degrees of power-sector decarbonization among cities but also underscores the decisive influence of regional energy supply structures and resource endowments on urban emission profiles.</w:t>
      </w:r>
      <w:r>
        <w:rPr>
          <w:rFonts w:ascii="Times New Roman" w:hAnsi="Times New Roman" w:cs="Times New Roman"/>
        </w:rPr>
        <w:t xml:space="preserve"> </w:t>
      </w:r>
    </w:p>
    <w:p w14:paraId="7476E832" w14:textId="77777777" w:rsidR="00415753" w:rsidRPr="003555C2" w:rsidRDefault="00415753" w:rsidP="00415753">
      <w:pPr>
        <w:rPr>
          <w:rFonts w:ascii="Times New Roman" w:hAnsi="Times New Roman" w:cs="Times New Roman"/>
        </w:rPr>
      </w:pPr>
    </w:p>
    <w:p w14:paraId="10B6AB05" w14:textId="74630D22" w:rsidR="00415753" w:rsidRPr="003555C2" w:rsidRDefault="00B063AA" w:rsidP="00415753">
      <w:pPr>
        <w:rPr>
          <w:rFonts w:ascii="Times New Roman" w:hAnsi="Times New Roman" w:cs="Times New Roman"/>
        </w:rPr>
      </w:pPr>
      <w:r w:rsidRPr="00B063AA">
        <w:rPr>
          <w:rFonts w:ascii="Times New Roman" w:hAnsi="Times New Roman" w:cs="Times New Roman"/>
        </w:rPr>
        <w:t>Shenzhen records the lowest carbon intensity among the five cities (0.159 kg CO₂ kWh⁻¹), reflecting its highly diversified and clean-energy-oriented electricity mix. Nuclear power (UR) dominates generation at 63.5%, providing a stable baseload supply with near-zero operational emissions. This is complemented by renewable sources—hydropower (WAT, 14.2%) and natural gas–based generation from liquefied natural gas (LNG, 9.2%) and pipeline gas (GAS, 6.9%)—which together produce substantially lower emissions than coal. Moreover, Shenzhen has advanced waste-to-energy integration, with waste heat recovery (WSTH, 3.6%) and refuse incineration (REF, 2.5%) contributing to a circular and resource-efficient energy system. Collectively, these features underscore how sustained investment in a non–fossil-fuel-dominated power infrastructure underpins Shenzhen’s superior carbon performance.</w:t>
      </w:r>
    </w:p>
    <w:p w14:paraId="4ACBA52C" w14:textId="77777777" w:rsidR="00415753" w:rsidRPr="003555C2" w:rsidRDefault="00415753" w:rsidP="00415753">
      <w:pPr>
        <w:rPr>
          <w:rFonts w:ascii="Times New Roman" w:hAnsi="Times New Roman" w:cs="Times New Roman"/>
        </w:rPr>
      </w:pPr>
    </w:p>
    <w:p w14:paraId="018C7855" w14:textId="001B80CC" w:rsidR="00415753" w:rsidRPr="003555C2" w:rsidRDefault="00B063AA" w:rsidP="00415753">
      <w:pPr>
        <w:rPr>
          <w:rFonts w:ascii="Times New Roman" w:hAnsi="Times New Roman" w:cs="Times New Roman"/>
        </w:rPr>
      </w:pPr>
      <w:r w:rsidRPr="00B063AA">
        <w:rPr>
          <w:rFonts w:ascii="Times New Roman" w:hAnsi="Times New Roman" w:cs="Times New Roman"/>
        </w:rPr>
        <w:t>Guiyang and Yangzhou exhibit remarkably similar electricity carbon intensities, yet the energy pathways leading to these outcomes differ sharply—highlighting how regional resource endowments shape urban energy structures. In hydropower-rich Guiyang, coal-based generation (COAL, 66.8%) remains dominant; however, a substantial share of hydropower (WAT, 28.6%), supplemented by wind (WIND, 3.7%) and waste-to-energy (REF, 0.9%), offsets the carbon intensity of coal, maintaining an overall moderate level of 0.542 kg CO₂ kWh⁻¹. In contrast, Yangzhou’s electricity mix reflects both its transitional stage and historical legacy as an eastern coastal city. While coal contributes a smaller share (COAL, 48.9%) than in Guiyang, oil-fired generation (31.4%)—a typically more carbon-intensive source—elevates its emissions baseline. Nonetheless, Yangzhou’s rapid expansion of renewables, with solar (SUN, 9.8%), wind (WIND, 5.0%), and waste-to-energy (REF, 4.8%) collectively accounting for nearly 20% of generation, has reduced its overall carbon intensity to 0.546 kg CO₂ kWh⁻¹, signaling tangible progress in its energy transition.</w:t>
      </w:r>
    </w:p>
    <w:p w14:paraId="04F10536" w14:textId="77777777" w:rsidR="00415753" w:rsidRPr="003555C2" w:rsidRDefault="00415753" w:rsidP="00415753">
      <w:pPr>
        <w:rPr>
          <w:rFonts w:ascii="Times New Roman" w:hAnsi="Times New Roman" w:cs="Times New Roman"/>
        </w:rPr>
      </w:pPr>
    </w:p>
    <w:p w14:paraId="2D61A22A" w14:textId="03FDBAD3" w:rsidR="00415753" w:rsidRPr="003555C2" w:rsidRDefault="00B063AA" w:rsidP="00415753">
      <w:pPr>
        <w:rPr>
          <w:rFonts w:ascii="Times New Roman" w:hAnsi="Times New Roman" w:cs="Times New Roman"/>
        </w:rPr>
      </w:pPr>
      <w:r w:rsidRPr="00B063AA">
        <w:rPr>
          <w:rFonts w:ascii="Times New Roman" w:hAnsi="Times New Roman" w:cs="Times New Roman"/>
        </w:rPr>
        <w:t xml:space="preserve">Lanzhou and Daqing display notably high electricity carbon intensities, underscoring the structural constraints faced by traditional industrial cities in decarbonizing their power systems. Lanzhou’s electricity supply remains dominated by local coal-fired generation (COAL, 66.5%), the principal contributor to its carbon intensity of 0.659 kg CO₂ kWh⁻¹. However, the city benefits from hydropower supplied by the Yellow River, with hydroelectricity (WAT) comprising 29.2% of its mix—partially mitigating the emissions impact of its fossil dependence. Daqing exemplifies the inertia characteristic of legacy energy systems. Despite impressive progress in renewable deployment—wind (WIND, 36.8%) and solar (SUN, 12.7%) together approaching 50% of total </w:t>
      </w:r>
      <w:r w:rsidRPr="00B063AA">
        <w:rPr>
          <w:rFonts w:ascii="Times New Roman" w:hAnsi="Times New Roman" w:cs="Times New Roman"/>
        </w:rPr>
        <w:lastRenderedPageBreak/>
        <w:t>generation—the entrenched dominance of coal (COAL, 45.1%) continues to anchor the city’s carbon intensity at 0.974 kg CO₂ kWh⁻¹, the highest among all cities studied. This outcome illustrates that in long-industrialized regions, scaling up clean energy must be accompanied by the accelerated phase-out of high-carbon assets to achieve substantive reductions in electricity-related emissions.</w:t>
      </w:r>
      <w:r w:rsidR="00415753" w:rsidRPr="003555C2">
        <w:rPr>
          <w:rFonts w:ascii="Times New Roman" w:hAnsi="Times New Roman" w:cs="Times New Roman"/>
        </w:rPr>
        <w:t xml:space="preserve"> </w:t>
      </w:r>
    </w:p>
    <w:p w14:paraId="1596F76A" w14:textId="77777777" w:rsidR="00415753" w:rsidRPr="003555C2" w:rsidRDefault="00415753" w:rsidP="00415753">
      <w:pPr>
        <w:rPr>
          <w:rFonts w:ascii="Times New Roman" w:hAnsi="Times New Roman" w:cs="Times New Roman"/>
        </w:rPr>
      </w:pPr>
    </w:p>
    <w:p w14:paraId="5B9E6301" w14:textId="5EE3E3A7" w:rsidR="00415753" w:rsidRPr="003555C2" w:rsidRDefault="00B063AA" w:rsidP="00415753">
      <w:pPr>
        <w:rPr>
          <w:rFonts w:ascii="Times New Roman" w:hAnsi="Times New Roman" w:cs="Times New Roman"/>
        </w:rPr>
      </w:pPr>
      <w:r w:rsidRPr="00B063AA">
        <w:rPr>
          <w:rFonts w:ascii="Times New Roman" w:hAnsi="Times New Roman" w:cs="Times New Roman"/>
        </w:rPr>
        <w:t>A horizontal comparison reveals substantial disparities in renewable energy utilization among the five cities, reflecting the combined influence of regional resource endowments, building structural characteristics, and policy orientation. Yangzhou (Scheme 2: 2.959 kW km⁻²·h) exhibits the most outstanding performance, driven by large-scale photovoltaic (PV) deployment on commercial and industrial buildings—where industrial structures account for over 40% of installations—supported by proactive local policy incentives. Its utilization far exceeds that of other cities, such as Shenzhen (0.101 kW km⁻²·h), underscoring the structural advantage of industrial-oriented cities in distributed solar development. Both Daqing (Scheme 2: 0.335 kW km⁻²·h) and Lanzhou (0.433 kW km⁻²·h) show significant increases in utilization rates after excluding residential buildings, with rises of 175% and 130%, respectively. This concentration reflects the clustering of PV installations in low-density industrial zones—Daqing’s industrial buildings average 5–10 km² in footprint—and in public institutions, where over 60% of school and hospital rooftops are utilized in Lanzhou. In contrast, Shenzhen’s low utilization rate is constrained by its ultra-high building density and predominantly residential urban structure, with residential land use exceeding 60%. The dominance of high-rise buildings severely limits rooftop availability, highlighting the developmental bottlenecks faced by high-density cities under conventional rooftop PV models.</w:t>
      </w:r>
    </w:p>
    <w:p w14:paraId="6648F61D" w14:textId="77777777" w:rsidR="00415753" w:rsidRPr="003555C2" w:rsidRDefault="00415753" w:rsidP="00415753">
      <w:pPr>
        <w:rPr>
          <w:rFonts w:ascii="Times New Roman" w:hAnsi="Times New Roman" w:cs="Times New Roman"/>
        </w:rPr>
      </w:pPr>
    </w:p>
    <w:p w14:paraId="76339DDC" w14:textId="559C8462" w:rsidR="00B000FB" w:rsidRDefault="001338E4" w:rsidP="00415753">
      <w:pPr>
        <w:rPr>
          <w:rFonts w:ascii="Times New Roman" w:hAnsi="Times New Roman" w:cs="Times New Roman"/>
          <w:noProof/>
          <w:sz w:val="20"/>
          <w:szCs w:val="40"/>
        </w:rPr>
      </w:pPr>
      <w:r w:rsidRPr="001338E4">
        <w:rPr>
          <w:rFonts w:ascii="Times New Roman" w:hAnsi="Times New Roman" w:cs="Times New Roman"/>
        </w:rPr>
        <w:t>Longitudinally, building type exerts a pronounced influence on renewable energy utilization. Across all cases, the results under Scheme 2 (considering only commercial and public buildings) are consistently higher than those under Scheme 1 (all building types), with Daqing and Yangzhou exhibiting the greatest increases. This finding underscores the pivotal role of commercial and industrial cities—typically characterized by medium-to-low floor area ratios—in enhancing PV hosting capacity. In contrast, although Guiyang (0.215 kW km⁻²·h) demonstrates improvement under Scheme 2, its potential remains limited by frequent cloud cover and mountainous topography, revealing the dual constraints of natural environment and urban morphology on PV efficiency. Quantitative analysis further indicates that even after excluding residential buildings, residential-dominated cities such as Shenzhen experience only modest gains (a 53% increase), underscoring the need to transition from conventional rooftop systems toward integrated solutions such as building-integrated photovoltaics (BIPV) and three-dimensional PV applications (e.g., elevated highways or curtain walls) to overcome spatial limitations associated with extreme volumetric density.</w:t>
      </w:r>
      <w:r w:rsidR="004B7E72">
        <w:rPr>
          <w:rFonts w:ascii="Times New Roman" w:hAnsi="Times New Roman" w:cs="Times New Roman"/>
        </w:rPr>
        <w:t xml:space="preserve"> </w:t>
      </w:r>
      <w:r w:rsidRPr="001338E4">
        <w:rPr>
          <w:rFonts w:ascii="Times New Roman" w:hAnsi="Times New Roman" w:cs="Times New Roman"/>
        </w:rPr>
        <w:t>In summary, disparities in urban renewable energy utilization are shaped not only by installed capacity but also by the spatial configuration of buildings, the availability of solar resources, and the adaptability of local policies. Future urban PV planning should integrate considerations of building density, typology, and policy frameworks to design differentiated development pathways, thereby enhancing the precision and effectiveness of urban energy transition strategies.</w:t>
      </w:r>
    </w:p>
    <w:p w14:paraId="24D712CB" w14:textId="4D3A5F9D" w:rsidR="003D7F31" w:rsidRPr="00A220D4" w:rsidRDefault="003D7F31" w:rsidP="003D7F31">
      <w:pPr>
        <w:pStyle w:val="1"/>
      </w:pPr>
      <w:r w:rsidRPr="000F5285">
        <w:lastRenderedPageBreak/>
        <w:t>Supplementary</w:t>
      </w:r>
      <w:r>
        <w:t xml:space="preserve"> Table</w:t>
      </w:r>
    </w:p>
    <w:p w14:paraId="57EF305C" w14:textId="157F5A66" w:rsidR="00A759DD" w:rsidRPr="003555C2" w:rsidRDefault="00A759DD" w:rsidP="00A759DD">
      <w:pPr>
        <w:jc w:val="center"/>
        <w:rPr>
          <w:rFonts w:ascii="Times New Roman" w:hAnsi="Times New Roman" w:cs="Times New Roman"/>
        </w:rPr>
      </w:pPr>
      <w:r w:rsidRPr="003D7F31">
        <w:rPr>
          <w:rFonts w:ascii="Times New Roman" w:hAnsi="Times New Roman" w:cs="Times New Roman"/>
        </w:rPr>
        <w:t xml:space="preserve">Supplementary Table </w:t>
      </w:r>
      <w:r>
        <w:rPr>
          <w:rFonts w:ascii="Times New Roman" w:hAnsi="Times New Roman" w:cs="Times New Roman"/>
        </w:rPr>
        <w:t>1</w:t>
      </w:r>
      <w:r w:rsidRPr="003D7F31">
        <w:rPr>
          <w:rFonts w:ascii="Times New Roman" w:hAnsi="Times New Roman" w:cs="Times New Roman"/>
        </w:rPr>
        <w:t xml:space="preserve"> | </w:t>
      </w:r>
      <w:r w:rsidRPr="00A759DD">
        <w:rPr>
          <w:rFonts w:ascii="Times New Roman" w:hAnsi="Times New Roman" w:cs="Times New Roman"/>
        </w:rPr>
        <w:t>Mapping of point of interest (POI) types to building categories</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977"/>
        <w:gridCol w:w="3543"/>
      </w:tblGrid>
      <w:tr w:rsidR="00123109" w:rsidRPr="00123109" w14:paraId="66A552D9" w14:textId="77777777" w:rsidTr="00123109">
        <w:trPr>
          <w:trHeight w:val="306"/>
          <w:jc w:val="center"/>
        </w:trPr>
        <w:tc>
          <w:tcPr>
            <w:tcW w:w="1980" w:type="dxa"/>
            <w:shd w:val="clear" w:color="000000" w:fill="FFFFFF"/>
            <w:vAlign w:val="center"/>
            <w:hideMark/>
          </w:tcPr>
          <w:p w14:paraId="11116971" w14:textId="77777777" w:rsidR="00123109" w:rsidRPr="00123109" w:rsidRDefault="00123109" w:rsidP="00123109">
            <w:pPr>
              <w:widowControl/>
              <w:jc w:val="left"/>
              <w:rPr>
                <w:rFonts w:ascii="Times New Roman" w:eastAsia="等线" w:hAnsi="Times New Roman" w:cs="Times New Roman"/>
                <w:b/>
                <w:bCs/>
                <w:color w:val="0F1115"/>
                <w:kern w:val="0"/>
                <w:szCs w:val="21"/>
              </w:rPr>
            </w:pPr>
            <w:r w:rsidRPr="00123109">
              <w:rPr>
                <w:rFonts w:ascii="Times New Roman" w:eastAsia="等线" w:hAnsi="Times New Roman" w:cs="Times New Roman"/>
                <w:b/>
                <w:bCs/>
                <w:color w:val="0F1115"/>
                <w:kern w:val="0"/>
                <w:szCs w:val="21"/>
              </w:rPr>
              <w:t>Primary Category</w:t>
            </w:r>
          </w:p>
        </w:tc>
        <w:tc>
          <w:tcPr>
            <w:tcW w:w="2977" w:type="dxa"/>
            <w:shd w:val="clear" w:color="000000" w:fill="FFFFFF"/>
            <w:vAlign w:val="center"/>
            <w:hideMark/>
          </w:tcPr>
          <w:p w14:paraId="6406D95C" w14:textId="77777777" w:rsidR="00123109" w:rsidRPr="00123109" w:rsidRDefault="00123109" w:rsidP="00123109">
            <w:pPr>
              <w:widowControl/>
              <w:jc w:val="left"/>
              <w:rPr>
                <w:rFonts w:ascii="Times New Roman" w:eastAsia="等线" w:hAnsi="Times New Roman" w:cs="Times New Roman"/>
                <w:b/>
                <w:bCs/>
                <w:color w:val="0F1115"/>
                <w:kern w:val="0"/>
                <w:szCs w:val="21"/>
              </w:rPr>
            </w:pPr>
            <w:r w:rsidRPr="00123109">
              <w:rPr>
                <w:rFonts w:ascii="Times New Roman" w:eastAsia="等线" w:hAnsi="Times New Roman" w:cs="Times New Roman"/>
                <w:b/>
                <w:bCs/>
                <w:color w:val="0F1115"/>
                <w:kern w:val="0"/>
                <w:szCs w:val="21"/>
              </w:rPr>
              <w:t>Secondary Category</w:t>
            </w:r>
          </w:p>
        </w:tc>
        <w:tc>
          <w:tcPr>
            <w:tcW w:w="3543" w:type="dxa"/>
            <w:shd w:val="clear" w:color="000000" w:fill="FFFFFF"/>
            <w:vAlign w:val="center"/>
            <w:hideMark/>
          </w:tcPr>
          <w:p w14:paraId="75CD78EF" w14:textId="77777777" w:rsidR="00123109" w:rsidRPr="00123109" w:rsidRDefault="00123109" w:rsidP="00123109">
            <w:pPr>
              <w:widowControl/>
              <w:jc w:val="left"/>
              <w:rPr>
                <w:rFonts w:ascii="Times New Roman" w:eastAsia="等线" w:hAnsi="Times New Roman" w:cs="Times New Roman"/>
                <w:b/>
                <w:bCs/>
                <w:color w:val="0F1115"/>
                <w:kern w:val="0"/>
                <w:szCs w:val="21"/>
              </w:rPr>
            </w:pPr>
            <w:r w:rsidRPr="00123109">
              <w:rPr>
                <w:rFonts w:ascii="Times New Roman" w:eastAsia="等线" w:hAnsi="Times New Roman" w:cs="Times New Roman"/>
                <w:b/>
                <w:bCs/>
                <w:color w:val="0F1115"/>
                <w:kern w:val="0"/>
                <w:szCs w:val="21"/>
              </w:rPr>
              <w:t>Specific Classification / Notes</w:t>
            </w:r>
          </w:p>
        </w:tc>
      </w:tr>
      <w:tr w:rsidR="00123109" w:rsidRPr="00123109" w14:paraId="2059E923" w14:textId="77777777" w:rsidTr="00123109">
        <w:trPr>
          <w:trHeight w:val="300"/>
          <w:jc w:val="center"/>
        </w:trPr>
        <w:tc>
          <w:tcPr>
            <w:tcW w:w="1980" w:type="dxa"/>
            <w:vMerge w:val="restart"/>
            <w:shd w:val="clear" w:color="000000" w:fill="FFFFFF"/>
            <w:vAlign w:val="center"/>
            <w:hideMark/>
          </w:tcPr>
          <w:p w14:paraId="6F682991" w14:textId="58F5E9E5"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Residential Buildings - Urban</w:t>
            </w:r>
          </w:p>
        </w:tc>
        <w:tc>
          <w:tcPr>
            <w:tcW w:w="2977" w:type="dxa"/>
            <w:vMerge w:val="restart"/>
            <w:shd w:val="clear" w:color="000000" w:fill="FFFFFF"/>
            <w:vAlign w:val="center"/>
            <w:hideMark/>
          </w:tcPr>
          <w:p w14:paraId="0A0F9E9C" w14:textId="7DD91790"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Place Names and Address Information</w:t>
            </w:r>
          </w:p>
        </w:tc>
        <w:tc>
          <w:tcPr>
            <w:tcW w:w="3543" w:type="dxa"/>
            <w:shd w:val="clear" w:color="000000" w:fill="FFFFFF"/>
            <w:vAlign w:val="center"/>
            <w:hideMark/>
          </w:tcPr>
          <w:p w14:paraId="14446EC3"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House number information</w:t>
            </w:r>
          </w:p>
        </w:tc>
      </w:tr>
      <w:tr w:rsidR="00123109" w:rsidRPr="00123109" w14:paraId="19913868" w14:textId="77777777" w:rsidTr="00123109">
        <w:trPr>
          <w:trHeight w:val="282"/>
          <w:jc w:val="center"/>
        </w:trPr>
        <w:tc>
          <w:tcPr>
            <w:tcW w:w="1980" w:type="dxa"/>
            <w:vMerge/>
            <w:shd w:val="clear" w:color="000000" w:fill="FFFFFF"/>
            <w:vAlign w:val="center"/>
            <w:hideMark/>
          </w:tcPr>
          <w:p w14:paraId="3451A354" w14:textId="0D674C20" w:rsidR="00123109" w:rsidRPr="00123109" w:rsidRDefault="00123109" w:rsidP="00123109">
            <w:pPr>
              <w:jc w:val="left"/>
              <w:rPr>
                <w:rFonts w:ascii="Times New Roman" w:eastAsia="等线" w:hAnsi="Times New Roman" w:cs="Times New Roman"/>
                <w:color w:val="0F1115"/>
                <w:kern w:val="0"/>
                <w:szCs w:val="21"/>
              </w:rPr>
            </w:pPr>
          </w:p>
        </w:tc>
        <w:tc>
          <w:tcPr>
            <w:tcW w:w="2977" w:type="dxa"/>
            <w:vMerge/>
            <w:shd w:val="clear" w:color="000000" w:fill="FFFFFF"/>
            <w:vAlign w:val="center"/>
            <w:hideMark/>
          </w:tcPr>
          <w:p w14:paraId="3AF3AF86" w14:textId="5EDF4DE2" w:rsidR="00123109" w:rsidRPr="00123109" w:rsidRDefault="00123109" w:rsidP="00123109">
            <w:pPr>
              <w:jc w:val="left"/>
              <w:rPr>
                <w:rFonts w:ascii="Times New Roman" w:eastAsia="等线" w:hAnsi="Times New Roman" w:cs="Times New Roman"/>
                <w:color w:val="0F1115"/>
                <w:kern w:val="0"/>
                <w:szCs w:val="21"/>
              </w:rPr>
            </w:pPr>
          </w:p>
        </w:tc>
        <w:tc>
          <w:tcPr>
            <w:tcW w:w="3543" w:type="dxa"/>
            <w:shd w:val="clear" w:color="000000" w:fill="FFFFFF"/>
            <w:vAlign w:val="center"/>
            <w:hideMark/>
          </w:tcPr>
          <w:p w14:paraId="31A171A3"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Generic place names</w:t>
            </w:r>
          </w:p>
        </w:tc>
      </w:tr>
      <w:tr w:rsidR="00123109" w:rsidRPr="00123109" w14:paraId="43B520F8" w14:textId="77777777" w:rsidTr="00123109">
        <w:trPr>
          <w:trHeight w:val="288"/>
          <w:jc w:val="center"/>
        </w:trPr>
        <w:tc>
          <w:tcPr>
            <w:tcW w:w="1980" w:type="dxa"/>
            <w:vMerge/>
            <w:shd w:val="clear" w:color="000000" w:fill="FFFFFF"/>
            <w:vAlign w:val="center"/>
            <w:hideMark/>
          </w:tcPr>
          <w:p w14:paraId="732DBE7A" w14:textId="1CE7106B" w:rsidR="00123109" w:rsidRPr="00123109" w:rsidRDefault="00123109" w:rsidP="00123109">
            <w:pPr>
              <w:jc w:val="left"/>
              <w:rPr>
                <w:rFonts w:ascii="Times New Roman" w:eastAsia="等线" w:hAnsi="Times New Roman" w:cs="Times New Roman"/>
                <w:color w:val="0F1115"/>
                <w:kern w:val="0"/>
                <w:szCs w:val="21"/>
              </w:rPr>
            </w:pPr>
          </w:p>
        </w:tc>
        <w:tc>
          <w:tcPr>
            <w:tcW w:w="2977" w:type="dxa"/>
            <w:vMerge/>
            <w:shd w:val="clear" w:color="000000" w:fill="FFFFFF"/>
            <w:vAlign w:val="center"/>
            <w:hideMark/>
          </w:tcPr>
          <w:p w14:paraId="3CF14036" w14:textId="7569EE93" w:rsidR="00123109" w:rsidRPr="00123109" w:rsidRDefault="00123109" w:rsidP="00123109">
            <w:pPr>
              <w:widowControl/>
              <w:jc w:val="left"/>
              <w:rPr>
                <w:rFonts w:ascii="Times New Roman" w:eastAsia="等线" w:hAnsi="Times New Roman" w:cs="Times New Roman"/>
                <w:color w:val="0F1115"/>
                <w:kern w:val="0"/>
                <w:szCs w:val="21"/>
              </w:rPr>
            </w:pPr>
          </w:p>
        </w:tc>
        <w:tc>
          <w:tcPr>
            <w:tcW w:w="3543" w:type="dxa"/>
            <w:shd w:val="clear" w:color="000000" w:fill="FFFFFF"/>
            <w:vAlign w:val="center"/>
            <w:hideMark/>
          </w:tcPr>
          <w:p w14:paraId="0E39350E"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Address data</w:t>
            </w:r>
          </w:p>
        </w:tc>
      </w:tr>
      <w:tr w:rsidR="00123109" w:rsidRPr="00123109" w14:paraId="6E5335D4" w14:textId="77777777" w:rsidTr="00123109">
        <w:trPr>
          <w:trHeight w:val="300"/>
          <w:jc w:val="center"/>
        </w:trPr>
        <w:tc>
          <w:tcPr>
            <w:tcW w:w="1980" w:type="dxa"/>
            <w:vMerge/>
            <w:shd w:val="clear" w:color="000000" w:fill="FFFFFF"/>
            <w:vAlign w:val="center"/>
            <w:hideMark/>
          </w:tcPr>
          <w:p w14:paraId="16BE9D7E" w14:textId="2DA35906" w:rsidR="00123109" w:rsidRPr="00123109" w:rsidRDefault="00123109" w:rsidP="00123109">
            <w:pPr>
              <w:jc w:val="left"/>
              <w:rPr>
                <w:rFonts w:ascii="Times New Roman" w:eastAsia="等线" w:hAnsi="Times New Roman" w:cs="Times New Roman"/>
                <w:color w:val="0F1115"/>
                <w:kern w:val="0"/>
                <w:szCs w:val="21"/>
              </w:rPr>
            </w:pPr>
          </w:p>
        </w:tc>
        <w:tc>
          <w:tcPr>
            <w:tcW w:w="2977" w:type="dxa"/>
            <w:vMerge w:val="restart"/>
            <w:shd w:val="clear" w:color="000000" w:fill="FFFFFF"/>
            <w:vAlign w:val="center"/>
            <w:hideMark/>
          </w:tcPr>
          <w:p w14:paraId="29ACA49F" w14:textId="1585D4F9"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Commercial and Residential</w:t>
            </w:r>
          </w:p>
        </w:tc>
        <w:tc>
          <w:tcPr>
            <w:tcW w:w="3543" w:type="dxa"/>
            <w:shd w:val="clear" w:color="000000" w:fill="FFFFFF"/>
            <w:vAlign w:val="center"/>
            <w:hideMark/>
          </w:tcPr>
          <w:p w14:paraId="5F3423ED"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Residential areas / estates</w:t>
            </w:r>
          </w:p>
        </w:tc>
      </w:tr>
      <w:tr w:rsidR="00123109" w:rsidRPr="00123109" w14:paraId="01ACB385" w14:textId="77777777" w:rsidTr="00123109">
        <w:trPr>
          <w:trHeight w:val="306"/>
          <w:jc w:val="center"/>
        </w:trPr>
        <w:tc>
          <w:tcPr>
            <w:tcW w:w="1980" w:type="dxa"/>
            <w:vMerge/>
            <w:shd w:val="clear" w:color="000000" w:fill="FFFFFF"/>
            <w:vAlign w:val="center"/>
            <w:hideMark/>
          </w:tcPr>
          <w:p w14:paraId="0944F417" w14:textId="7FD0E4CA" w:rsidR="00123109" w:rsidRPr="00123109" w:rsidRDefault="00123109" w:rsidP="00123109">
            <w:pPr>
              <w:widowControl/>
              <w:jc w:val="left"/>
              <w:rPr>
                <w:rFonts w:ascii="Times New Roman" w:eastAsia="等线" w:hAnsi="Times New Roman" w:cs="Times New Roman"/>
                <w:color w:val="0F1115"/>
                <w:kern w:val="0"/>
                <w:szCs w:val="21"/>
              </w:rPr>
            </w:pPr>
          </w:p>
        </w:tc>
        <w:tc>
          <w:tcPr>
            <w:tcW w:w="2977" w:type="dxa"/>
            <w:vMerge/>
            <w:shd w:val="clear" w:color="000000" w:fill="FFFFFF"/>
            <w:vAlign w:val="center"/>
            <w:hideMark/>
          </w:tcPr>
          <w:p w14:paraId="3554C363" w14:textId="3F3A6DB8" w:rsidR="00123109" w:rsidRPr="00123109" w:rsidRDefault="00123109" w:rsidP="00123109">
            <w:pPr>
              <w:widowControl/>
              <w:jc w:val="left"/>
              <w:rPr>
                <w:rFonts w:ascii="Times New Roman" w:eastAsia="等线" w:hAnsi="Times New Roman" w:cs="Times New Roman"/>
                <w:color w:val="0F1115"/>
                <w:kern w:val="0"/>
                <w:szCs w:val="21"/>
              </w:rPr>
            </w:pPr>
          </w:p>
        </w:tc>
        <w:tc>
          <w:tcPr>
            <w:tcW w:w="3543" w:type="dxa"/>
            <w:shd w:val="clear" w:color="000000" w:fill="FFFFFF"/>
            <w:vAlign w:val="center"/>
            <w:hideMark/>
          </w:tcPr>
          <w:p w14:paraId="0FD88D2D"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Commercial-residential complexes</w:t>
            </w:r>
          </w:p>
        </w:tc>
      </w:tr>
      <w:tr w:rsidR="00123109" w:rsidRPr="00123109" w14:paraId="073AB910" w14:textId="77777777" w:rsidTr="00123109">
        <w:trPr>
          <w:trHeight w:val="300"/>
          <w:jc w:val="center"/>
        </w:trPr>
        <w:tc>
          <w:tcPr>
            <w:tcW w:w="1980" w:type="dxa"/>
            <w:vMerge w:val="restart"/>
            <w:shd w:val="clear" w:color="000000" w:fill="FFFFFF"/>
            <w:vAlign w:val="center"/>
            <w:hideMark/>
          </w:tcPr>
          <w:p w14:paraId="596FA352" w14:textId="00AB3C48"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Residential Buildings - Rural</w:t>
            </w:r>
          </w:p>
        </w:tc>
        <w:tc>
          <w:tcPr>
            <w:tcW w:w="2977" w:type="dxa"/>
            <w:vMerge w:val="restart"/>
            <w:shd w:val="clear" w:color="000000" w:fill="FFFFFF"/>
            <w:vAlign w:val="center"/>
            <w:hideMark/>
          </w:tcPr>
          <w:p w14:paraId="2AD96EDD" w14:textId="0D3BEDBD"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Place Names and Address Information</w:t>
            </w:r>
          </w:p>
        </w:tc>
        <w:tc>
          <w:tcPr>
            <w:tcW w:w="3543" w:type="dxa"/>
            <w:shd w:val="clear" w:color="000000" w:fill="FFFFFF"/>
            <w:vAlign w:val="center"/>
            <w:hideMark/>
          </w:tcPr>
          <w:p w14:paraId="727ED83E"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House number information</w:t>
            </w:r>
          </w:p>
        </w:tc>
      </w:tr>
      <w:tr w:rsidR="00123109" w:rsidRPr="00123109" w14:paraId="7F77F818" w14:textId="77777777" w:rsidTr="00123109">
        <w:trPr>
          <w:trHeight w:val="282"/>
          <w:jc w:val="center"/>
        </w:trPr>
        <w:tc>
          <w:tcPr>
            <w:tcW w:w="1980" w:type="dxa"/>
            <w:vMerge/>
            <w:shd w:val="clear" w:color="000000" w:fill="FFFFFF"/>
            <w:vAlign w:val="center"/>
            <w:hideMark/>
          </w:tcPr>
          <w:p w14:paraId="72DA5C13" w14:textId="5E6DC0C0" w:rsidR="00123109" w:rsidRPr="00123109" w:rsidRDefault="00123109" w:rsidP="00123109">
            <w:pPr>
              <w:jc w:val="left"/>
              <w:rPr>
                <w:rFonts w:ascii="Times New Roman" w:eastAsia="等线" w:hAnsi="Times New Roman" w:cs="Times New Roman"/>
                <w:color w:val="0F1115"/>
                <w:kern w:val="0"/>
                <w:szCs w:val="21"/>
              </w:rPr>
            </w:pPr>
          </w:p>
        </w:tc>
        <w:tc>
          <w:tcPr>
            <w:tcW w:w="2977" w:type="dxa"/>
            <w:vMerge/>
            <w:shd w:val="clear" w:color="000000" w:fill="FFFFFF"/>
            <w:vAlign w:val="center"/>
            <w:hideMark/>
          </w:tcPr>
          <w:p w14:paraId="3E0B26C2" w14:textId="54D2266C" w:rsidR="00123109" w:rsidRPr="00123109" w:rsidRDefault="00123109" w:rsidP="00123109">
            <w:pPr>
              <w:jc w:val="left"/>
              <w:rPr>
                <w:rFonts w:ascii="Times New Roman" w:eastAsia="等线" w:hAnsi="Times New Roman" w:cs="Times New Roman"/>
                <w:color w:val="0F1115"/>
                <w:kern w:val="0"/>
                <w:szCs w:val="21"/>
              </w:rPr>
            </w:pPr>
          </w:p>
        </w:tc>
        <w:tc>
          <w:tcPr>
            <w:tcW w:w="3543" w:type="dxa"/>
            <w:shd w:val="clear" w:color="000000" w:fill="FFFFFF"/>
            <w:vAlign w:val="center"/>
            <w:hideMark/>
          </w:tcPr>
          <w:p w14:paraId="4CDAC302"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Generic place names</w:t>
            </w:r>
          </w:p>
        </w:tc>
      </w:tr>
      <w:tr w:rsidR="00123109" w:rsidRPr="00123109" w14:paraId="1558A909" w14:textId="77777777" w:rsidTr="00123109">
        <w:trPr>
          <w:trHeight w:val="288"/>
          <w:jc w:val="center"/>
        </w:trPr>
        <w:tc>
          <w:tcPr>
            <w:tcW w:w="1980" w:type="dxa"/>
            <w:vMerge/>
            <w:shd w:val="clear" w:color="000000" w:fill="FFFFFF"/>
            <w:vAlign w:val="center"/>
            <w:hideMark/>
          </w:tcPr>
          <w:p w14:paraId="38759ECA" w14:textId="4CB55165" w:rsidR="00123109" w:rsidRPr="00123109" w:rsidRDefault="00123109" w:rsidP="00123109">
            <w:pPr>
              <w:jc w:val="left"/>
              <w:rPr>
                <w:rFonts w:ascii="Times New Roman" w:eastAsia="等线" w:hAnsi="Times New Roman" w:cs="Times New Roman"/>
                <w:color w:val="0F1115"/>
                <w:kern w:val="0"/>
                <w:szCs w:val="21"/>
              </w:rPr>
            </w:pPr>
          </w:p>
        </w:tc>
        <w:tc>
          <w:tcPr>
            <w:tcW w:w="2977" w:type="dxa"/>
            <w:vMerge/>
            <w:shd w:val="clear" w:color="000000" w:fill="FFFFFF"/>
            <w:vAlign w:val="center"/>
            <w:hideMark/>
          </w:tcPr>
          <w:p w14:paraId="13597EC8" w14:textId="580DEBE7" w:rsidR="00123109" w:rsidRPr="00123109" w:rsidRDefault="00123109" w:rsidP="00123109">
            <w:pPr>
              <w:widowControl/>
              <w:jc w:val="left"/>
              <w:rPr>
                <w:rFonts w:ascii="Times New Roman" w:eastAsia="等线" w:hAnsi="Times New Roman" w:cs="Times New Roman"/>
                <w:color w:val="0F1115"/>
                <w:kern w:val="0"/>
                <w:szCs w:val="21"/>
              </w:rPr>
            </w:pPr>
          </w:p>
        </w:tc>
        <w:tc>
          <w:tcPr>
            <w:tcW w:w="3543" w:type="dxa"/>
            <w:shd w:val="clear" w:color="000000" w:fill="FFFFFF"/>
            <w:vAlign w:val="center"/>
            <w:hideMark/>
          </w:tcPr>
          <w:p w14:paraId="6B617880"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Address data</w:t>
            </w:r>
          </w:p>
        </w:tc>
      </w:tr>
      <w:tr w:rsidR="00123109" w:rsidRPr="00123109" w14:paraId="18C01DBC" w14:textId="77777777" w:rsidTr="00123109">
        <w:trPr>
          <w:trHeight w:val="300"/>
          <w:jc w:val="center"/>
        </w:trPr>
        <w:tc>
          <w:tcPr>
            <w:tcW w:w="1980" w:type="dxa"/>
            <w:vMerge/>
            <w:shd w:val="clear" w:color="000000" w:fill="FFFFFF"/>
            <w:vAlign w:val="center"/>
            <w:hideMark/>
          </w:tcPr>
          <w:p w14:paraId="05596C5B" w14:textId="09463F4E" w:rsidR="00123109" w:rsidRPr="00123109" w:rsidRDefault="00123109" w:rsidP="00123109">
            <w:pPr>
              <w:jc w:val="left"/>
              <w:rPr>
                <w:rFonts w:ascii="Times New Roman" w:eastAsia="等线" w:hAnsi="Times New Roman" w:cs="Times New Roman"/>
                <w:color w:val="0F1115"/>
                <w:kern w:val="0"/>
                <w:szCs w:val="21"/>
              </w:rPr>
            </w:pPr>
          </w:p>
        </w:tc>
        <w:tc>
          <w:tcPr>
            <w:tcW w:w="2977" w:type="dxa"/>
            <w:vMerge w:val="restart"/>
            <w:shd w:val="clear" w:color="000000" w:fill="FFFFFF"/>
            <w:vAlign w:val="center"/>
            <w:hideMark/>
          </w:tcPr>
          <w:p w14:paraId="529E875F" w14:textId="62D5704D"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Commercial and Residential</w:t>
            </w:r>
          </w:p>
        </w:tc>
        <w:tc>
          <w:tcPr>
            <w:tcW w:w="3543" w:type="dxa"/>
            <w:shd w:val="clear" w:color="000000" w:fill="FFFFFF"/>
            <w:vAlign w:val="center"/>
            <w:hideMark/>
          </w:tcPr>
          <w:p w14:paraId="26BC16B6"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Residential areas / villages</w:t>
            </w:r>
          </w:p>
        </w:tc>
      </w:tr>
      <w:tr w:rsidR="00123109" w:rsidRPr="00123109" w14:paraId="3E77D0B0" w14:textId="77777777" w:rsidTr="00123109">
        <w:trPr>
          <w:trHeight w:val="306"/>
          <w:jc w:val="center"/>
        </w:trPr>
        <w:tc>
          <w:tcPr>
            <w:tcW w:w="1980" w:type="dxa"/>
            <w:vMerge/>
            <w:shd w:val="clear" w:color="000000" w:fill="FFFFFF"/>
            <w:vAlign w:val="center"/>
            <w:hideMark/>
          </w:tcPr>
          <w:p w14:paraId="1D417211" w14:textId="5C22E2D2" w:rsidR="00123109" w:rsidRPr="00123109" w:rsidRDefault="00123109" w:rsidP="00123109">
            <w:pPr>
              <w:widowControl/>
              <w:jc w:val="left"/>
              <w:rPr>
                <w:rFonts w:ascii="Times New Roman" w:eastAsia="等线" w:hAnsi="Times New Roman" w:cs="Times New Roman"/>
                <w:color w:val="0F1115"/>
                <w:kern w:val="0"/>
                <w:szCs w:val="21"/>
              </w:rPr>
            </w:pPr>
          </w:p>
        </w:tc>
        <w:tc>
          <w:tcPr>
            <w:tcW w:w="2977" w:type="dxa"/>
            <w:vMerge/>
            <w:shd w:val="clear" w:color="000000" w:fill="FFFFFF"/>
            <w:vAlign w:val="center"/>
            <w:hideMark/>
          </w:tcPr>
          <w:p w14:paraId="72C1B590" w14:textId="0A1E82A6" w:rsidR="00123109" w:rsidRPr="00123109" w:rsidRDefault="00123109" w:rsidP="00123109">
            <w:pPr>
              <w:widowControl/>
              <w:jc w:val="left"/>
              <w:rPr>
                <w:rFonts w:ascii="Times New Roman" w:eastAsia="等线" w:hAnsi="Times New Roman" w:cs="Times New Roman"/>
                <w:color w:val="0F1115"/>
                <w:kern w:val="0"/>
                <w:szCs w:val="21"/>
              </w:rPr>
            </w:pPr>
          </w:p>
        </w:tc>
        <w:tc>
          <w:tcPr>
            <w:tcW w:w="3543" w:type="dxa"/>
            <w:shd w:val="clear" w:color="000000" w:fill="FFFFFF"/>
            <w:vAlign w:val="center"/>
            <w:hideMark/>
          </w:tcPr>
          <w:p w14:paraId="0C5F48C8"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Commercial-residential complexes</w:t>
            </w:r>
          </w:p>
        </w:tc>
      </w:tr>
      <w:tr w:rsidR="00123109" w:rsidRPr="00123109" w14:paraId="6ADB79A1" w14:textId="77777777" w:rsidTr="00123109">
        <w:trPr>
          <w:trHeight w:val="300"/>
          <w:jc w:val="center"/>
        </w:trPr>
        <w:tc>
          <w:tcPr>
            <w:tcW w:w="1980" w:type="dxa"/>
            <w:vMerge w:val="restart"/>
            <w:shd w:val="clear" w:color="000000" w:fill="FFFFFF"/>
            <w:vAlign w:val="center"/>
            <w:hideMark/>
          </w:tcPr>
          <w:p w14:paraId="158DB3FA" w14:textId="281EF45F"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Industrial Buildings</w:t>
            </w:r>
          </w:p>
        </w:tc>
        <w:tc>
          <w:tcPr>
            <w:tcW w:w="2977" w:type="dxa"/>
            <w:vMerge w:val="restart"/>
            <w:shd w:val="clear" w:color="000000" w:fill="FFFFFF"/>
            <w:vAlign w:val="center"/>
            <w:hideMark/>
          </w:tcPr>
          <w:p w14:paraId="783E2E98" w14:textId="64DDC805"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Commercial and Residential</w:t>
            </w:r>
          </w:p>
        </w:tc>
        <w:tc>
          <w:tcPr>
            <w:tcW w:w="3543" w:type="dxa"/>
            <w:shd w:val="clear" w:color="000000" w:fill="FFFFFF"/>
            <w:vAlign w:val="center"/>
            <w:hideMark/>
          </w:tcPr>
          <w:p w14:paraId="048E86F1"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Industrial parks</w:t>
            </w:r>
          </w:p>
        </w:tc>
      </w:tr>
      <w:tr w:rsidR="00123109" w:rsidRPr="00123109" w14:paraId="39532121" w14:textId="77777777" w:rsidTr="00123109">
        <w:trPr>
          <w:trHeight w:val="288"/>
          <w:jc w:val="center"/>
        </w:trPr>
        <w:tc>
          <w:tcPr>
            <w:tcW w:w="1980" w:type="dxa"/>
            <w:vMerge/>
            <w:shd w:val="clear" w:color="000000" w:fill="FFFFFF"/>
            <w:vAlign w:val="center"/>
            <w:hideMark/>
          </w:tcPr>
          <w:p w14:paraId="00D60A88" w14:textId="15CB30A3" w:rsidR="00123109" w:rsidRPr="00123109" w:rsidRDefault="00123109" w:rsidP="00123109">
            <w:pPr>
              <w:jc w:val="left"/>
              <w:rPr>
                <w:rFonts w:ascii="Times New Roman" w:eastAsia="等线" w:hAnsi="Times New Roman" w:cs="Times New Roman"/>
                <w:color w:val="0F1115"/>
                <w:kern w:val="0"/>
                <w:szCs w:val="21"/>
              </w:rPr>
            </w:pPr>
          </w:p>
        </w:tc>
        <w:tc>
          <w:tcPr>
            <w:tcW w:w="2977" w:type="dxa"/>
            <w:vMerge/>
            <w:shd w:val="clear" w:color="000000" w:fill="FFFFFF"/>
            <w:vAlign w:val="center"/>
            <w:hideMark/>
          </w:tcPr>
          <w:p w14:paraId="2E5EAC65" w14:textId="12C27876" w:rsidR="00123109" w:rsidRPr="00123109" w:rsidRDefault="00123109" w:rsidP="00123109">
            <w:pPr>
              <w:widowControl/>
              <w:jc w:val="left"/>
              <w:rPr>
                <w:rFonts w:ascii="Times New Roman" w:eastAsia="等线" w:hAnsi="Times New Roman" w:cs="Times New Roman"/>
                <w:color w:val="0F1115"/>
                <w:kern w:val="0"/>
                <w:szCs w:val="21"/>
              </w:rPr>
            </w:pPr>
          </w:p>
        </w:tc>
        <w:tc>
          <w:tcPr>
            <w:tcW w:w="3543" w:type="dxa"/>
            <w:shd w:val="clear" w:color="000000" w:fill="FFFFFF"/>
            <w:vAlign w:val="center"/>
            <w:hideMark/>
          </w:tcPr>
          <w:p w14:paraId="01085FE2"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Industrial buildings</w:t>
            </w:r>
          </w:p>
        </w:tc>
      </w:tr>
      <w:tr w:rsidR="00123109" w:rsidRPr="00123109" w14:paraId="0C65100E" w14:textId="77777777" w:rsidTr="00123109">
        <w:trPr>
          <w:trHeight w:val="300"/>
          <w:jc w:val="center"/>
        </w:trPr>
        <w:tc>
          <w:tcPr>
            <w:tcW w:w="1980" w:type="dxa"/>
            <w:vMerge/>
            <w:shd w:val="clear" w:color="000000" w:fill="FFFFFF"/>
            <w:vAlign w:val="center"/>
            <w:hideMark/>
          </w:tcPr>
          <w:p w14:paraId="452ABDC7" w14:textId="6A4527CB" w:rsidR="00123109" w:rsidRPr="00123109" w:rsidRDefault="00123109" w:rsidP="00123109">
            <w:pPr>
              <w:jc w:val="left"/>
              <w:rPr>
                <w:rFonts w:ascii="Times New Roman" w:eastAsia="等线" w:hAnsi="Times New Roman" w:cs="Times New Roman"/>
                <w:color w:val="0F1115"/>
                <w:kern w:val="0"/>
                <w:szCs w:val="21"/>
              </w:rPr>
            </w:pPr>
          </w:p>
        </w:tc>
        <w:tc>
          <w:tcPr>
            <w:tcW w:w="2977" w:type="dxa"/>
            <w:vMerge w:val="restart"/>
            <w:shd w:val="clear" w:color="000000" w:fill="FFFFFF"/>
            <w:vAlign w:val="center"/>
            <w:hideMark/>
          </w:tcPr>
          <w:p w14:paraId="13BF4D44" w14:textId="0C141000"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Companies and Enterprises</w:t>
            </w:r>
          </w:p>
        </w:tc>
        <w:tc>
          <w:tcPr>
            <w:tcW w:w="3543" w:type="dxa"/>
            <w:shd w:val="clear" w:color="000000" w:fill="FFFFFF"/>
            <w:vAlign w:val="center"/>
            <w:hideMark/>
          </w:tcPr>
          <w:p w14:paraId="2D03F89B"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Factories</w:t>
            </w:r>
          </w:p>
        </w:tc>
      </w:tr>
      <w:tr w:rsidR="00123109" w:rsidRPr="00123109" w14:paraId="65D52859" w14:textId="77777777" w:rsidTr="00123109">
        <w:trPr>
          <w:trHeight w:val="282"/>
          <w:jc w:val="center"/>
        </w:trPr>
        <w:tc>
          <w:tcPr>
            <w:tcW w:w="1980" w:type="dxa"/>
            <w:vMerge/>
            <w:shd w:val="clear" w:color="000000" w:fill="FFFFFF"/>
            <w:vAlign w:val="center"/>
            <w:hideMark/>
          </w:tcPr>
          <w:p w14:paraId="1C258FFA" w14:textId="15F86759" w:rsidR="00123109" w:rsidRPr="00123109" w:rsidRDefault="00123109" w:rsidP="00123109">
            <w:pPr>
              <w:jc w:val="left"/>
              <w:rPr>
                <w:rFonts w:ascii="Times New Roman" w:eastAsia="等线" w:hAnsi="Times New Roman" w:cs="Times New Roman"/>
                <w:color w:val="0F1115"/>
                <w:kern w:val="0"/>
                <w:szCs w:val="21"/>
              </w:rPr>
            </w:pPr>
          </w:p>
        </w:tc>
        <w:tc>
          <w:tcPr>
            <w:tcW w:w="2977" w:type="dxa"/>
            <w:vMerge/>
            <w:shd w:val="clear" w:color="000000" w:fill="FFFFFF"/>
            <w:vAlign w:val="center"/>
            <w:hideMark/>
          </w:tcPr>
          <w:p w14:paraId="681127B5" w14:textId="7F07EA9F" w:rsidR="00123109" w:rsidRPr="00123109" w:rsidRDefault="00123109" w:rsidP="00123109">
            <w:pPr>
              <w:jc w:val="left"/>
              <w:rPr>
                <w:rFonts w:ascii="Times New Roman" w:eastAsia="等线" w:hAnsi="Times New Roman" w:cs="Times New Roman"/>
                <w:color w:val="0F1115"/>
                <w:kern w:val="0"/>
                <w:szCs w:val="21"/>
              </w:rPr>
            </w:pPr>
          </w:p>
        </w:tc>
        <w:tc>
          <w:tcPr>
            <w:tcW w:w="3543" w:type="dxa"/>
            <w:shd w:val="clear" w:color="000000" w:fill="FFFFFF"/>
            <w:vAlign w:val="center"/>
            <w:hideMark/>
          </w:tcPr>
          <w:p w14:paraId="752D4C4D"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Corporate offices</w:t>
            </w:r>
          </w:p>
        </w:tc>
      </w:tr>
      <w:tr w:rsidR="00123109" w:rsidRPr="00123109" w14:paraId="5A0CFA23" w14:textId="77777777" w:rsidTr="00123109">
        <w:trPr>
          <w:trHeight w:val="300"/>
          <w:jc w:val="center"/>
        </w:trPr>
        <w:tc>
          <w:tcPr>
            <w:tcW w:w="1980" w:type="dxa"/>
            <w:vMerge/>
            <w:shd w:val="clear" w:color="000000" w:fill="FFFFFF"/>
            <w:vAlign w:val="center"/>
            <w:hideMark/>
          </w:tcPr>
          <w:p w14:paraId="3D79BA45" w14:textId="65D4BC67" w:rsidR="00123109" w:rsidRPr="00123109" w:rsidRDefault="00123109" w:rsidP="00123109">
            <w:pPr>
              <w:jc w:val="left"/>
              <w:rPr>
                <w:rFonts w:ascii="Times New Roman" w:eastAsia="等线" w:hAnsi="Times New Roman" w:cs="Times New Roman"/>
                <w:color w:val="0F1115"/>
                <w:kern w:val="0"/>
                <w:szCs w:val="21"/>
              </w:rPr>
            </w:pPr>
          </w:p>
        </w:tc>
        <w:tc>
          <w:tcPr>
            <w:tcW w:w="2977" w:type="dxa"/>
            <w:vMerge/>
            <w:shd w:val="clear" w:color="000000" w:fill="FFFFFF"/>
            <w:vAlign w:val="center"/>
            <w:hideMark/>
          </w:tcPr>
          <w:p w14:paraId="01EBBE0A" w14:textId="3019CB09" w:rsidR="00123109" w:rsidRPr="00123109" w:rsidRDefault="00123109" w:rsidP="00123109">
            <w:pPr>
              <w:jc w:val="left"/>
              <w:rPr>
                <w:rFonts w:ascii="Times New Roman" w:eastAsia="等线" w:hAnsi="Times New Roman" w:cs="Times New Roman"/>
                <w:color w:val="0F1115"/>
                <w:kern w:val="0"/>
                <w:szCs w:val="21"/>
              </w:rPr>
            </w:pPr>
          </w:p>
        </w:tc>
        <w:tc>
          <w:tcPr>
            <w:tcW w:w="3543" w:type="dxa"/>
            <w:shd w:val="clear" w:color="000000" w:fill="FFFFFF"/>
            <w:vAlign w:val="center"/>
            <w:hideMark/>
          </w:tcPr>
          <w:p w14:paraId="4BE6385C"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Well-known enterprises</w:t>
            </w:r>
          </w:p>
        </w:tc>
      </w:tr>
      <w:tr w:rsidR="00123109" w:rsidRPr="00123109" w14:paraId="40FCF51D" w14:textId="77777777" w:rsidTr="00123109">
        <w:trPr>
          <w:trHeight w:val="288"/>
          <w:jc w:val="center"/>
        </w:trPr>
        <w:tc>
          <w:tcPr>
            <w:tcW w:w="1980" w:type="dxa"/>
            <w:vMerge/>
            <w:shd w:val="clear" w:color="000000" w:fill="FFFFFF"/>
            <w:vAlign w:val="center"/>
            <w:hideMark/>
          </w:tcPr>
          <w:p w14:paraId="3EE503F4" w14:textId="11B5FA37" w:rsidR="00123109" w:rsidRPr="00123109" w:rsidRDefault="00123109" w:rsidP="00123109">
            <w:pPr>
              <w:widowControl/>
              <w:jc w:val="left"/>
              <w:rPr>
                <w:rFonts w:ascii="Times New Roman" w:eastAsia="等线" w:hAnsi="Times New Roman" w:cs="Times New Roman"/>
                <w:color w:val="0F1115"/>
                <w:kern w:val="0"/>
                <w:szCs w:val="21"/>
              </w:rPr>
            </w:pPr>
          </w:p>
        </w:tc>
        <w:tc>
          <w:tcPr>
            <w:tcW w:w="2977" w:type="dxa"/>
            <w:vMerge/>
            <w:shd w:val="clear" w:color="000000" w:fill="FFFFFF"/>
            <w:vAlign w:val="center"/>
            <w:hideMark/>
          </w:tcPr>
          <w:p w14:paraId="72D58F6A" w14:textId="4C85E92E" w:rsidR="00123109" w:rsidRPr="00123109" w:rsidRDefault="00123109" w:rsidP="00123109">
            <w:pPr>
              <w:widowControl/>
              <w:jc w:val="left"/>
              <w:rPr>
                <w:rFonts w:ascii="Times New Roman" w:eastAsia="等线" w:hAnsi="Times New Roman" w:cs="Times New Roman"/>
                <w:color w:val="0F1115"/>
                <w:kern w:val="0"/>
                <w:szCs w:val="21"/>
              </w:rPr>
            </w:pPr>
          </w:p>
        </w:tc>
        <w:tc>
          <w:tcPr>
            <w:tcW w:w="3543" w:type="dxa"/>
            <w:shd w:val="clear" w:color="000000" w:fill="FFFFFF"/>
            <w:vAlign w:val="center"/>
            <w:hideMark/>
          </w:tcPr>
          <w:p w14:paraId="05EBC54E"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Business registries</w:t>
            </w:r>
          </w:p>
        </w:tc>
      </w:tr>
      <w:tr w:rsidR="00123109" w:rsidRPr="00123109" w14:paraId="11DB39FD" w14:textId="77777777" w:rsidTr="00123109">
        <w:trPr>
          <w:trHeight w:val="306"/>
          <w:jc w:val="center"/>
        </w:trPr>
        <w:tc>
          <w:tcPr>
            <w:tcW w:w="1980" w:type="dxa"/>
            <w:vMerge w:val="restart"/>
            <w:shd w:val="clear" w:color="000000" w:fill="FFFFFF"/>
            <w:vAlign w:val="center"/>
            <w:hideMark/>
          </w:tcPr>
          <w:p w14:paraId="435420B8" w14:textId="103B129C"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Retail &amp; Hospitality Buildings</w:t>
            </w:r>
          </w:p>
        </w:tc>
        <w:tc>
          <w:tcPr>
            <w:tcW w:w="2977" w:type="dxa"/>
            <w:shd w:val="clear" w:color="000000" w:fill="FFFFFF"/>
            <w:vAlign w:val="center"/>
            <w:hideMark/>
          </w:tcPr>
          <w:p w14:paraId="0D77FBC1"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Food and Beverage Services</w:t>
            </w:r>
          </w:p>
        </w:tc>
        <w:tc>
          <w:tcPr>
            <w:tcW w:w="3543" w:type="dxa"/>
            <w:shd w:val="clear" w:color="000000" w:fill="FFFFFF"/>
            <w:vAlign w:val="center"/>
            <w:hideMark/>
          </w:tcPr>
          <w:p w14:paraId="4F01C479"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 xml:space="preserve">　</w:t>
            </w:r>
          </w:p>
        </w:tc>
      </w:tr>
      <w:tr w:rsidR="00123109" w:rsidRPr="00123109" w14:paraId="6973D26D" w14:textId="77777777" w:rsidTr="00123109">
        <w:trPr>
          <w:trHeight w:val="288"/>
          <w:jc w:val="center"/>
        </w:trPr>
        <w:tc>
          <w:tcPr>
            <w:tcW w:w="1980" w:type="dxa"/>
            <w:vMerge/>
            <w:shd w:val="clear" w:color="000000" w:fill="FFFFFF"/>
            <w:vAlign w:val="center"/>
            <w:hideMark/>
          </w:tcPr>
          <w:p w14:paraId="224C6532" w14:textId="233A2E96" w:rsidR="00123109" w:rsidRPr="00123109" w:rsidRDefault="00123109" w:rsidP="00123109">
            <w:pPr>
              <w:jc w:val="left"/>
              <w:rPr>
                <w:rFonts w:ascii="Times New Roman" w:eastAsia="等线" w:hAnsi="Times New Roman" w:cs="Times New Roman"/>
                <w:color w:val="0F1115"/>
                <w:kern w:val="0"/>
                <w:szCs w:val="21"/>
              </w:rPr>
            </w:pPr>
          </w:p>
        </w:tc>
        <w:tc>
          <w:tcPr>
            <w:tcW w:w="2977" w:type="dxa"/>
            <w:shd w:val="clear" w:color="000000" w:fill="FFFFFF"/>
            <w:vAlign w:val="center"/>
            <w:hideMark/>
          </w:tcPr>
          <w:p w14:paraId="67D2F12C"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Shopping Services</w:t>
            </w:r>
          </w:p>
        </w:tc>
        <w:tc>
          <w:tcPr>
            <w:tcW w:w="3543" w:type="dxa"/>
            <w:shd w:val="clear" w:color="000000" w:fill="FFFFFF"/>
            <w:vAlign w:val="center"/>
            <w:hideMark/>
          </w:tcPr>
          <w:p w14:paraId="227B262A"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 xml:space="preserve">　</w:t>
            </w:r>
          </w:p>
        </w:tc>
      </w:tr>
      <w:tr w:rsidR="00123109" w:rsidRPr="00123109" w14:paraId="5C7E0839" w14:textId="77777777" w:rsidTr="00123109">
        <w:trPr>
          <w:trHeight w:val="306"/>
          <w:jc w:val="center"/>
        </w:trPr>
        <w:tc>
          <w:tcPr>
            <w:tcW w:w="1980" w:type="dxa"/>
            <w:vMerge/>
            <w:shd w:val="clear" w:color="000000" w:fill="FFFFFF"/>
            <w:vAlign w:val="center"/>
            <w:hideMark/>
          </w:tcPr>
          <w:p w14:paraId="1B5C9024" w14:textId="7F797C05" w:rsidR="00123109" w:rsidRPr="00123109" w:rsidRDefault="00123109" w:rsidP="00123109">
            <w:pPr>
              <w:widowControl/>
              <w:jc w:val="left"/>
              <w:rPr>
                <w:rFonts w:ascii="Times New Roman" w:eastAsia="等线" w:hAnsi="Times New Roman" w:cs="Times New Roman"/>
                <w:color w:val="0F1115"/>
                <w:kern w:val="0"/>
                <w:szCs w:val="21"/>
              </w:rPr>
            </w:pPr>
          </w:p>
        </w:tc>
        <w:tc>
          <w:tcPr>
            <w:tcW w:w="2977" w:type="dxa"/>
            <w:shd w:val="clear" w:color="000000" w:fill="FFFFFF"/>
            <w:vAlign w:val="center"/>
            <w:hideMark/>
          </w:tcPr>
          <w:p w14:paraId="4912882C"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Accommodation Services</w:t>
            </w:r>
          </w:p>
        </w:tc>
        <w:tc>
          <w:tcPr>
            <w:tcW w:w="3543" w:type="dxa"/>
            <w:shd w:val="clear" w:color="000000" w:fill="FFFFFF"/>
            <w:vAlign w:val="center"/>
            <w:hideMark/>
          </w:tcPr>
          <w:p w14:paraId="66FEEAAE"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 xml:space="preserve">　</w:t>
            </w:r>
          </w:p>
        </w:tc>
      </w:tr>
      <w:tr w:rsidR="00123109" w:rsidRPr="00123109" w14:paraId="218D5F4C" w14:textId="77777777" w:rsidTr="00123109">
        <w:trPr>
          <w:trHeight w:val="450"/>
          <w:jc w:val="center"/>
        </w:trPr>
        <w:tc>
          <w:tcPr>
            <w:tcW w:w="1980" w:type="dxa"/>
            <w:vMerge w:val="restart"/>
            <w:shd w:val="clear" w:color="000000" w:fill="FFFFFF"/>
            <w:vAlign w:val="center"/>
            <w:hideMark/>
          </w:tcPr>
          <w:p w14:paraId="6A0E6BF0" w14:textId="3B39CE8D"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Transportation, Storage &amp; Postal Buildings</w:t>
            </w:r>
          </w:p>
        </w:tc>
        <w:tc>
          <w:tcPr>
            <w:tcW w:w="2977" w:type="dxa"/>
            <w:vMerge w:val="restart"/>
            <w:shd w:val="clear" w:color="000000" w:fill="FFFFFF"/>
            <w:vAlign w:val="center"/>
            <w:hideMark/>
          </w:tcPr>
          <w:p w14:paraId="464FD258" w14:textId="413F2DD0"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Life Services</w:t>
            </w:r>
          </w:p>
        </w:tc>
        <w:tc>
          <w:tcPr>
            <w:tcW w:w="3543" w:type="dxa"/>
            <w:shd w:val="clear" w:color="000000" w:fill="FFFFFF"/>
            <w:vAlign w:val="center"/>
            <w:hideMark/>
          </w:tcPr>
          <w:p w14:paraId="7F4552FB"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Logistics and express delivery</w:t>
            </w:r>
          </w:p>
        </w:tc>
      </w:tr>
      <w:tr w:rsidR="00123109" w:rsidRPr="00123109" w14:paraId="06AFFFE1" w14:textId="77777777" w:rsidTr="00123109">
        <w:trPr>
          <w:trHeight w:val="288"/>
          <w:jc w:val="center"/>
        </w:trPr>
        <w:tc>
          <w:tcPr>
            <w:tcW w:w="1980" w:type="dxa"/>
            <w:vMerge/>
            <w:shd w:val="clear" w:color="000000" w:fill="FFFFFF"/>
            <w:vAlign w:val="center"/>
            <w:hideMark/>
          </w:tcPr>
          <w:p w14:paraId="478DA0AE" w14:textId="3890AAC0" w:rsidR="00123109" w:rsidRPr="00123109" w:rsidRDefault="00123109" w:rsidP="00123109">
            <w:pPr>
              <w:jc w:val="left"/>
              <w:rPr>
                <w:rFonts w:ascii="Times New Roman" w:eastAsia="等线" w:hAnsi="Times New Roman" w:cs="Times New Roman"/>
                <w:color w:val="0F1115"/>
                <w:kern w:val="0"/>
                <w:szCs w:val="21"/>
              </w:rPr>
            </w:pPr>
          </w:p>
        </w:tc>
        <w:tc>
          <w:tcPr>
            <w:tcW w:w="2977" w:type="dxa"/>
            <w:vMerge/>
            <w:shd w:val="clear" w:color="000000" w:fill="FFFFFF"/>
            <w:vAlign w:val="center"/>
            <w:hideMark/>
          </w:tcPr>
          <w:p w14:paraId="1F5A0449" w14:textId="07EF410E" w:rsidR="00123109" w:rsidRPr="00123109" w:rsidRDefault="00123109" w:rsidP="00123109">
            <w:pPr>
              <w:widowControl/>
              <w:jc w:val="left"/>
              <w:rPr>
                <w:rFonts w:ascii="Times New Roman" w:eastAsia="等线" w:hAnsi="Times New Roman" w:cs="Times New Roman"/>
                <w:color w:val="0F1115"/>
                <w:kern w:val="0"/>
                <w:szCs w:val="21"/>
              </w:rPr>
            </w:pPr>
          </w:p>
        </w:tc>
        <w:tc>
          <w:tcPr>
            <w:tcW w:w="3543" w:type="dxa"/>
            <w:shd w:val="clear" w:color="000000" w:fill="FFFFFF"/>
            <w:vAlign w:val="center"/>
            <w:hideMark/>
          </w:tcPr>
          <w:p w14:paraId="5B632C86"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Post offices</w:t>
            </w:r>
          </w:p>
        </w:tc>
      </w:tr>
      <w:tr w:rsidR="00123109" w:rsidRPr="00123109" w14:paraId="497E0C72" w14:textId="77777777" w:rsidTr="00123109">
        <w:trPr>
          <w:trHeight w:val="306"/>
          <w:jc w:val="center"/>
        </w:trPr>
        <w:tc>
          <w:tcPr>
            <w:tcW w:w="1980" w:type="dxa"/>
            <w:vMerge/>
            <w:shd w:val="clear" w:color="000000" w:fill="FFFFFF"/>
            <w:vAlign w:val="center"/>
            <w:hideMark/>
          </w:tcPr>
          <w:p w14:paraId="28F7FD22" w14:textId="1BDC3AEC" w:rsidR="00123109" w:rsidRPr="00123109" w:rsidRDefault="00123109" w:rsidP="00123109">
            <w:pPr>
              <w:jc w:val="left"/>
              <w:rPr>
                <w:rFonts w:ascii="Times New Roman" w:eastAsia="等线" w:hAnsi="Times New Roman" w:cs="Times New Roman"/>
                <w:color w:val="0F1115"/>
                <w:kern w:val="0"/>
                <w:szCs w:val="21"/>
              </w:rPr>
            </w:pPr>
          </w:p>
        </w:tc>
        <w:tc>
          <w:tcPr>
            <w:tcW w:w="2977" w:type="dxa"/>
            <w:shd w:val="clear" w:color="000000" w:fill="FFFFFF"/>
            <w:vAlign w:val="center"/>
            <w:hideMark/>
          </w:tcPr>
          <w:p w14:paraId="4CB6C323"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Road Affiliated Facilities</w:t>
            </w:r>
          </w:p>
        </w:tc>
        <w:tc>
          <w:tcPr>
            <w:tcW w:w="3543" w:type="dxa"/>
            <w:shd w:val="clear" w:color="000000" w:fill="FFFFFF"/>
            <w:vAlign w:val="center"/>
            <w:hideMark/>
          </w:tcPr>
          <w:p w14:paraId="1A6901FD"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 xml:space="preserve">　</w:t>
            </w:r>
          </w:p>
        </w:tc>
      </w:tr>
      <w:tr w:rsidR="00123109" w:rsidRPr="00123109" w14:paraId="53364E73" w14:textId="77777777" w:rsidTr="00123109">
        <w:trPr>
          <w:trHeight w:val="456"/>
          <w:jc w:val="center"/>
        </w:trPr>
        <w:tc>
          <w:tcPr>
            <w:tcW w:w="1980" w:type="dxa"/>
            <w:vMerge/>
            <w:shd w:val="clear" w:color="000000" w:fill="FFFFFF"/>
            <w:vAlign w:val="center"/>
            <w:hideMark/>
          </w:tcPr>
          <w:p w14:paraId="03B03A79" w14:textId="7AD5239D" w:rsidR="00123109" w:rsidRPr="00123109" w:rsidRDefault="00123109" w:rsidP="00123109">
            <w:pPr>
              <w:widowControl/>
              <w:jc w:val="left"/>
              <w:rPr>
                <w:rFonts w:ascii="Times New Roman" w:eastAsia="等线" w:hAnsi="Times New Roman" w:cs="Times New Roman"/>
                <w:color w:val="0F1115"/>
                <w:kern w:val="0"/>
                <w:szCs w:val="21"/>
              </w:rPr>
            </w:pPr>
          </w:p>
        </w:tc>
        <w:tc>
          <w:tcPr>
            <w:tcW w:w="2977" w:type="dxa"/>
            <w:shd w:val="clear" w:color="000000" w:fill="FFFFFF"/>
            <w:vAlign w:val="center"/>
            <w:hideMark/>
          </w:tcPr>
          <w:p w14:paraId="1ABFEB42"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Transportation Facility Services</w:t>
            </w:r>
          </w:p>
        </w:tc>
        <w:tc>
          <w:tcPr>
            <w:tcW w:w="3543" w:type="dxa"/>
            <w:shd w:val="clear" w:color="000000" w:fill="FFFFFF"/>
            <w:vAlign w:val="center"/>
            <w:hideMark/>
          </w:tcPr>
          <w:p w14:paraId="4FB0F866"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(Excluding 'Pick-up/Drop-off Zones', 'Parking Lots')</w:t>
            </w:r>
          </w:p>
        </w:tc>
      </w:tr>
      <w:tr w:rsidR="00123109" w:rsidRPr="00123109" w14:paraId="6A6819F6" w14:textId="77777777" w:rsidTr="00123109">
        <w:trPr>
          <w:trHeight w:val="456"/>
          <w:jc w:val="center"/>
        </w:trPr>
        <w:tc>
          <w:tcPr>
            <w:tcW w:w="1980" w:type="dxa"/>
            <w:vMerge w:val="restart"/>
            <w:shd w:val="clear" w:color="000000" w:fill="FFFFFF"/>
            <w:vAlign w:val="center"/>
            <w:hideMark/>
          </w:tcPr>
          <w:p w14:paraId="656C731B" w14:textId="1392E949"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Institutional &amp; Public Service Buildings</w:t>
            </w:r>
          </w:p>
        </w:tc>
        <w:tc>
          <w:tcPr>
            <w:tcW w:w="2977" w:type="dxa"/>
            <w:shd w:val="clear" w:color="000000" w:fill="FFFFFF"/>
            <w:vAlign w:val="center"/>
            <w:hideMark/>
          </w:tcPr>
          <w:p w14:paraId="0C88D124"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Government and Social Organizations</w:t>
            </w:r>
          </w:p>
        </w:tc>
        <w:tc>
          <w:tcPr>
            <w:tcW w:w="3543" w:type="dxa"/>
            <w:shd w:val="clear" w:color="000000" w:fill="FFFFFF"/>
            <w:vAlign w:val="center"/>
            <w:hideMark/>
          </w:tcPr>
          <w:p w14:paraId="77CC0EFE"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 xml:space="preserve">　</w:t>
            </w:r>
          </w:p>
        </w:tc>
      </w:tr>
      <w:tr w:rsidR="00123109" w:rsidRPr="00123109" w14:paraId="102A4FC1" w14:textId="77777777" w:rsidTr="00123109">
        <w:trPr>
          <w:trHeight w:val="306"/>
          <w:jc w:val="center"/>
        </w:trPr>
        <w:tc>
          <w:tcPr>
            <w:tcW w:w="1980" w:type="dxa"/>
            <w:vMerge/>
            <w:shd w:val="clear" w:color="000000" w:fill="FFFFFF"/>
            <w:vAlign w:val="center"/>
            <w:hideMark/>
          </w:tcPr>
          <w:p w14:paraId="36B8DD97" w14:textId="15B17AAD" w:rsidR="00123109" w:rsidRPr="00123109" w:rsidRDefault="00123109" w:rsidP="00123109">
            <w:pPr>
              <w:jc w:val="left"/>
              <w:rPr>
                <w:rFonts w:ascii="Times New Roman" w:eastAsia="等线" w:hAnsi="Times New Roman" w:cs="Times New Roman"/>
                <w:color w:val="0F1115"/>
                <w:kern w:val="0"/>
                <w:szCs w:val="21"/>
              </w:rPr>
            </w:pPr>
          </w:p>
        </w:tc>
        <w:tc>
          <w:tcPr>
            <w:tcW w:w="2977" w:type="dxa"/>
            <w:shd w:val="clear" w:color="000000" w:fill="FFFFFF"/>
            <w:vAlign w:val="center"/>
            <w:hideMark/>
          </w:tcPr>
          <w:p w14:paraId="6D19C0EB"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Science, Education &amp; Culture</w:t>
            </w:r>
          </w:p>
        </w:tc>
        <w:tc>
          <w:tcPr>
            <w:tcW w:w="3543" w:type="dxa"/>
            <w:shd w:val="clear" w:color="000000" w:fill="FFFFFF"/>
            <w:vAlign w:val="center"/>
            <w:hideMark/>
          </w:tcPr>
          <w:p w14:paraId="100AFA20"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 xml:space="preserve">　</w:t>
            </w:r>
          </w:p>
        </w:tc>
      </w:tr>
      <w:tr w:rsidR="00123109" w:rsidRPr="00123109" w14:paraId="0272D649" w14:textId="77777777" w:rsidTr="00123109">
        <w:trPr>
          <w:trHeight w:val="288"/>
          <w:jc w:val="center"/>
        </w:trPr>
        <w:tc>
          <w:tcPr>
            <w:tcW w:w="1980" w:type="dxa"/>
            <w:vMerge/>
            <w:shd w:val="clear" w:color="000000" w:fill="FFFFFF"/>
            <w:vAlign w:val="center"/>
            <w:hideMark/>
          </w:tcPr>
          <w:p w14:paraId="42426672" w14:textId="2B96F503" w:rsidR="00123109" w:rsidRPr="00123109" w:rsidRDefault="00123109" w:rsidP="00123109">
            <w:pPr>
              <w:jc w:val="left"/>
              <w:rPr>
                <w:rFonts w:ascii="Times New Roman" w:eastAsia="等线" w:hAnsi="Times New Roman" w:cs="Times New Roman"/>
                <w:color w:val="0F1115"/>
                <w:kern w:val="0"/>
                <w:szCs w:val="21"/>
              </w:rPr>
            </w:pPr>
          </w:p>
        </w:tc>
        <w:tc>
          <w:tcPr>
            <w:tcW w:w="2977" w:type="dxa"/>
            <w:shd w:val="clear" w:color="000000" w:fill="FFFFFF"/>
            <w:vAlign w:val="center"/>
            <w:hideMark/>
          </w:tcPr>
          <w:p w14:paraId="0860FA42"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Healthcare Services</w:t>
            </w:r>
          </w:p>
        </w:tc>
        <w:tc>
          <w:tcPr>
            <w:tcW w:w="3543" w:type="dxa"/>
            <w:shd w:val="clear" w:color="000000" w:fill="FFFFFF"/>
            <w:vAlign w:val="center"/>
            <w:hideMark/>
          </w:tcPr>
          <w:p w14:paraId="0B6D7D76"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 xml:space="preserve">　</w:t>
            </w:r>
          </w:p>
        </w:tc>
      </w:tr>
      <w:tr w:rsidR="00123109" w:rsidRPr="00123109" w14:paraId="7209A9B2" w14:textId="77777777" w:rsidTr="00123109">
        <w:trPr>
          <w:trHeight w:val="306"/>
          <w:jc w:val="center"/>
        </w:trPr>
        <w:tc>
          <w:tcPr>
            <w:tcW w:w="1980" w:type="dxa"/>
            <w:vMerge/>
            <w:shd w:val="clear" w:color="000000" w:fill="FFFFFF"/>
            <w:vAlign w:val="center"/>
            <w:hideMark/>
          </w:tcPr>
          <w:p w14:paraId="0A936DC3" w14:textId="3D02BD11" w:rsidR="00123109" w:rsidRPr="00123109" w:rsidRDefault="00123109" w:rsidP="00123109">
            <w:pPr>
              <w:jc w:val="left"/>
              <w:rPr>
                <w:rFonts w:ascii="Times New Roman" w:eastAsia="等线" w:hAnsi="Times New Roman" w:cs="Times New Roman"/>
                <w:color w:val="0F1115"/>
                <w:kern w:val="0"/>
                <w:szCs w:val="21"/>
              </w:rPr>
            </w:pPr>
          </w:p>
        </w:tc>
        <w:tc>
          <w:tcPr>
            <w:tcW w:w="2977" w:type="dxa"/>
            <w:shd w:val="clear" w:color="000000" w:fill="FFFFFF"/>
            <w:vAlign w:val="center"/>
            <w:hideMark/>
          </w:tcPr>
          <w:p w14:paraId="54E69101"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Sports and Recreation Services</w:t>
            </w:r>
          </w:p>
        </w:tc>
        <w:tc>
          <w:tcPr>
            <w:tcW w:w="3543" w:type="dxa"/>
            <w:shd w:val="clear" w:color="000000" w:fill="FFFFFF"/>
            <w:vAlign w:val="center"/>
            <w:hideMark/>
          </w:tcPr>
          <w:p w14:paraId="2C55C8EB"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(Excluding 'Leisure Venues')</w:t>
            </w:r>
          </w:p>
        </w:tc>
      </w:tr>
      <w:tr w:rsidR="00123109" w:rsidRPr="00123109" w14:paraId="07C4622B" w14:textId="77777777" w:rsidTr="00123109">
        <w:trPr>
          <w:trHeight w:val="306"/>
          <w:jc w:val="center"/>
        </w:trPr>
        <w:tc>
          <w:tcPr>
            <w:tcW w:w="1980" w:type="dxa"/>
            <w:vMerge/>
            <w:shd w:val="clear" w:color="000000" w:fill="FFFFFF"/>
            <w:vAlign w:val="center"/>
            <w:hideMark/>
          </w:tcPr>
          <w:p w14:paraId="77C0190E" w14:textId="72C2A0CB" w:rsidR="00123109" w:rsidRPr="00123109" w:rsidRDefault="00123109" w:rsidP="00123109">
            <w:pPr>
              <w:jc w:val="left"/>
              <w:rPr>
                <w:rFonts w:ascii="Times New Roman" w:eastAsia="等线" w:hAnsi="Times New Roman" w:cs="Times New Roman"/>
                <w:color w:val="0F1115"/>
                <w:kern w:val="0"/>
                <w:szCs w:val="21"/>
              </w:rPr>
            </w:pPr>
          </w:p>
        </w:tc>
        <w:tc>
          <w:tcPr>
            <w:tcW w:w="2977" w:type="dxa"/>
            <w:shd w:val="clear" w:color="000000" w:fill="FFFFFF"/>
            <w:vAlign w:val="center"/>
            <w:hideMark/>
          </w:tcPr>
          <w:p w14:paraId="1F8E36FB"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Financial and Insurance Services</w:t>
            </w:r>
          </w:p>
        </w:tc>
        <w:tc>
          <w:tcPr>
            <w:tcW w:w="3543" w:type="dxa"/>
            <w:shd w:val="clear" w:color="000000" w:fill="FFFFFF"/>
            <w:vAlign w:val="center"/>
            <w:hideMark/>
          </w:tcPr>
          <w:p w14:paraId="2DE00FA1"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 xml:space="preserve">　</w:t>
            </w:r>
          </w:p>
        </w:tc>
      </w:tr>
      <w:tr w:rsidR="00123109" w:rsidRPr="00123109" w14:paraId="5891025F" w14:textId="77777777" w:rsidTr="00123109">
        <w:trPr>
          <w:trHeight w:val="288"/>
          <w:jc w:val="center"/>
        </w:trPr>
        <w:tc>
          <w:tcPr>
            <w:tcW w:w="1980" w:type="dxa"/>
            <w:vMerge/>
            <w:shd w:val="clear" w:color="000000" w:fill="FFFFFF"/>
            <w:vAlign w:val="center"/>
            <w:hideMark/>
          </w:tcPr>
          <w:p w14:paraId="13F6B476" w14:textId="698B4019" w:rsidR="00123109" w:rsidRPr="00123109" w:rsidRDefault="00123109" w:rsidP="00123109">
            <w:pPr>
              <w:jc w:val="left"/>
              <w:rPr>
                <w:rFonts w:ascii="Times New Roman" w:eastAsia="等线" w:hAnsi="Times New Roman" w:cs="Times New Roman"/>
                <w:color w:val="0F1115"/>
                <w:kern w:val="0"/>
                <w:szCs w:val="21"/>
              </w:rPr>
            </w:pPr>
          </w:p>
        </w:tc>
        <w:tc>
          <w:tcPr>
            <w:tcW w:w="2977" w:type="dxa"/>
            <w:shd w:val="clear" w:color="000000" w:fill="FFFFFF"/>
            <w:vAlign w:val="center"/>
            <w:hideMark/>
          </w:tcPr>
          <w:p w14:paraId="7A75C61D"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Life Services</w:t>
            </w:r>
          </w:p>
        </w:tc>
        <w:tc>
          <w:tcPr>
            <w:tcW w:w="3543" w:type="dxa"/>
            <w:shd w:val="clear" w:color="000000" w:fill="FFFFFF"/>
            <w:vAlign w:val="center"/>
            <w:hideMark/>
          </w:tcPr>
          <w:p w14:paraId="133E5008"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 xml:space="preserve">　</w:t>
            </w:r>
          </w:p>
        </w:tc>
      </w:tr>
      <w:tr w:rsidR="00123109" w:rsidRPr="00123109" w14:paraId="13957DBF" w14:textId="77777777" w:rsidTr="00123109">
        <w:trPr>
          <w:trHeight w:val="606"/>
          <w:jc w:val="center"/>
        </w:trPr>
        <w:tc>
          <w:tcPr>
            <w:tcW w:w="1980" w:type="dxa"/>
            <w:vMerge/>
            <w:shd w:val="clear" w:color="000000" w:fill="FFFFFF"/>
            <w:vAlign w:val="center"/>
            <w:hideMark/>
          </w:tcPr>
          <w:p w14:paraId="4E14CA95" w14:textId="4C89DD61" w:rsidR="00123109" w:rsidRPr="00123109" w:rsidRDefault="00123109" w:rsidP="00123109">
            <w:pPr>
              <w:jc w:val="left"/>
              <w:rPr>
                <w:rFonts w:ascii="Times New Roman" w:eastAsia="等线" w:hAnsi="Times New Roman" w:cs="Times New Roman"/>
                <w:color w:val="0F1115"/>
                <w:kern w:val="0"/>
                <w:szCs w:val="21"/>
              </w:rPr>
            </w:pPr>
          </w:p>
        </w:tc>
        <w:tc>
          <w:tcPr>
            <w:tcW w:w="2977" w:type="dxa"/>
            <w:shd w:val="clear" w:color="000000" w:fill="FFFFFF"/>
            <w:vAlign w:val="center"/>
            <w:hideMark/>
          </w:tcPr>
          <w:p w14:paraId="0EAC8854"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Motorcycle Services</w:t>
            </w:r>
          </w:p>
        </w:tc>
        <w:tc>
          <w:tcPr>
            <w:tcW w:w="3543" w:type="dxa"/>
            <w:shd w:val="clear" w:color="000000" w:fill="FFFFFF"/>
            <w:vAlign w:val="center"/>
            <w:hideMark/>
          </w:tcPr>
          <w:p w14:paraId="0BF6BBF6"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(Excluding 'Funeral Services', 'Logistics/Express', 'Post Offices')</w:t>
            </w:r>
          </w:p>
        </w:tc>
      </w:tr>
      <w:tr w:rsidR="00123109" w:rsidRPr="00123109" w14:paraId="313A07B6" w14:textId="77777777" w:rsidTr="00123109">
        <w:trPr>
          <w:trHeight w:val="288"/>
          <w:jc w:val="center"/>
        </w:trPr>
        <w:tc>
          <w:tcPr>
            <w:tcW w:w="1980" w:type="dxa"/>
            <w:vMerge/>
            <w:shd w:val="clear" w:color="000000" w:fill="FFFFFF"/>
            <w:vAlign w:val="center"/>
            <w:hideMark/>
          </w:tcPr>
          <w:p w14:paraId="6905D6C2" w14:textId="54049684" w:rsidR="00123109" w:rsidRPr="00123109" w:rsidRDefault="00123109" w:rsidP="00123109">
            <w:pPr>
              <w:jc w:val="left"/>
              <w:rPr>
                <w:rFonts w:ascii="Times New Roman" w:eastAsia="等线" w:hAnsi="Times New Roman" w:cs="Times New Roman"/>
                <w:color w:val="0F1115"/>
                <w:kern w:val="0"/>
                <w:szCs w:val="21"/>
              </w:rPr>
            </w:pPr>
          </w:p>
        </w:tc>
        <w:tc>
          <w:tcPr>
            <w:tcW w:w="2977" w:type="dxa"/>
            <w:shd w:val="clear" w:color="000000" w:fill="FFFFFF"/>
            <w:vAlign w:val="center"/>
            <w:hideMark/>
          </w:tcPr>
          <w:p w14:paraId="200CD088"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Automotive Services</w:t>
            </w:r>
          </w:p>
        </w:tc>
        <w:tc>
          <w:tcPr>
            <w:tcW w:w="3543" w:type="dxa"/>
            <w:shd w:val="clear" w:color="000000" w:fill="FFFFFF"/>
            <w:vAlign w:val="center"/>
            <w:hideMark/>
          </w:tcPr>
          <w:p w14:paraId="26A8B525"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 xml:space="preserve">　</w:t>
            </w:r>
          </w:p>
        </w:tc>
      </w:tr>
      <w:tr w:rsidR="00123109" w:rsidRPr="00123109" w14:paraId="52DD48EE" w14:textId="77777777" w:rsidTr="00123109">
        <w:trPr>
          <w:trHeight w:val="288"/>
          <w:jc w:val="center"/>
        </w:trPr>
        <w:tc>
          <w:tcPr>
            <w:tcW w:w="1980" w:type="dxa"/>
            <w:vMerge/>
            <w:shd w:val="clear" w:color="000000" w:fill="FFFFFF"/>
            <w:vAlign w:val="center"/>
            <w:hideMark/>
          </w:tcPr>
          <w:p w14:paraId="1A469E98" w14:textId="6DE688B1" w:rsidR="00123109" w:rsidRPr="00123109" w:rsidRDefault="00123109" w:rsidP="00123109">
            <w:pPr>
              <w:jc w:val="left"/>
              <w:rPr>
                <w:rFonts w:ascii="Times New Roman" w:eastAsia="等线" w:hAnsi="Times New Roman" w:cs="Times New Roman"/>
                <w:color w:val="0F1115"/>
                <w:kern w:val="0"/>
                <w:szCs w:val="21"/>
              </w:rPr>
            </w:pPr>
          </w:p>
        </w:tc>
        <w:tc>
          <w:tcPr>
            <w:tcW w:w="2977" w:type="dxa"/>
            <w:shd w:val="clear" w:color="000000" w:fill="FFFFFF"/>
            <w:vAlign w:val="center"/>
            <w:hideMark/>
          </w:tcPr>
          <w:p w14:paraId="223F0004"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Automotive Repair</w:t>
            </w:r>
          </w:p>
        </w:tc>
        <w:tc>
          <w:tcPr>
            <w:tcW w:w="3543" w:type="dxa"/>
            <w:shd w:val="clear" w:color="000000" w:fill="FFFFFF"/>
            <w:vAlign w:val="center"/>
            <w:hideMark/>
          </w:tcPr>
          <w:p w14:paraId="65F06847"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 xml:space="preserve">　</w:t>
            </w:r>
          </w:p>
        </w:tc>
      </w:tr>
      <w:tr w:rsidR="00123109" w:rsidRPr="00123109" w14:paraId="26E35A31" w14:textId="77777777" w:rsidTr="00123109">
        <w:trPr>
          <w:trHeight w:val="288"/>
          <w:jc w:val="center"/>
        </w:trPr>
        <w:tc>
          <w:tcPr>
            <w:tcW w:w="1980" w:type="dxa"/>
            <w:vMerge/>
            <w:shd w:val="clear" w:color="000000" w:fill="FFFFFF"/>
            <w:vAlign w:val="center"/>
            <w:hideMark/>
          </w:tcPr>
          <w:p w14:paraId="0E43A3D6" w14:textId="0BDE1964" w:rsidR="00123109" w:rsidRPr="00123109" w:rsidRDefault="00123109" w:rsidP="00123109">
            <w:pPr>
              <w:widowControl/>
              <w:jc w:val="left"/>
              <w:rPr>
                <w:rFonts w:ascii="Times New Roman" w:eastAsia="等线" w:hAnsi="Times New Roman" w:cs="Times New Roman"/>
                <w:color w:val="0F1115"/>
                <w:kern w:val="0"/>
                <w:szCs w:val="21"/>
              </w:rPr>
            </w:pPr>
          </w:p>
        </w:tc>
        <w:tc>
          <w:tcPr>
            <w:tcW w:w="2977" w:type="dxa"/>
            <w:shd w:val="clear" w:color="000000" w:fill="FFFFFF"/>
            <w:vAlign w:val="center"/>
            <w:hideMark/>
          </w:tcPr>
          <w:p w14:paraId="53F10642"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Automotive Sales</w:t>
            </w:r>
          </w:p>
        </w:tc>
        <w:tc>
          <w:tcPr>
            <w:tcW w:w="3543" w:type="dxa"/>
            <w:shd w:val="clear" w:color="000000" w:fill="FFFFFF"/>
            <w:vAlign w:val="center"/>
            <w:hideMark/>
          </w:tcPr>
          <w:p w14:paraId="6089F0AF"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 xml:space="preserve">　</w:t>
            </w:r>
          </w:p>
        </w:tc>
      </w:tr>
      <w:tr w:rsidR="00123109" w:rsidRPr="00123109" w14:paraId="41409E5B" w14:textId="77777777" w:rsidTr="00123109">
        <w:trPr>
          <w:trHeight w:val="456"/>
          <w:jc w:val="center"/>
        </w:trPr>
        <w:tc>
          <w:tcPr>
            <w:tcW w:w="1980" w:type="dxa"/>
            <w:vMerge w:val="restart"/>
            <w:shd w:val="clear" w:color="000000" w:fill="FFFFFF"/>
            <w:vAlign w:val="center"/>
            <w:hideMark/>
          </w:tcPr>
          <w:p w14:paraId="41E0BF6F"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lastRenderedPageBreak/>
              <w:t>Other Land Use</w:t>
            </w:r>
          </w:p>
          <w:p w14:paraId="7B07E3DC" w14:textId="312C2019"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hint="eastAsia"/>
                <w:color w:val="0F1115"/>
                <w:kern w:val="0"/>
                <w:szCs w:val="21"/>
              </w:rPr>
              <w:t>(</w:t>
            </w:r>
            <w:r w:rsidRPr="00123109">
              <w:rPr>
                <w:rFonts w:ascii="Times New Roman" w:eastAsia="等线" w:hAnsi="Times New Roman" w:cs="Times New Roman"/>
                <w:color w:val="0F1115"/>
                <w:kern w:val="0"/>
                <w:szCs w:val="21"/>
              </w:rPr>
              <w:t>Excluding)</w:t>
            </w:r>
          </w:p>
        </w:tc>
        <w:tc>
          <w:tcPr>
            <w:tcW w:w="2977" w:type="dxa"/>
            <w:shd w:val="clear" w:color="000000" w:fill="FFFFFF"/>
            <w:vAlign w:val="center"/>
            <w:hideMark/>
          </w:tcPr>
          <w:p w14:paraId="78BD7BDC"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Companies and Enterprises</w:t>
            </w:r>
          </w:p>
        </w:tc>
        <w:tc>
          <w:tcPr>
            <w:tcW w:w="3543" w:type="dxa"/>
            <w:shd w:val="clear" w:color="000000" w:fill="FFFFFF"/>
            <w:vAlign w:val="center"/>
            <w:hideMark/>
          </w:tcPr>
          <w:p w14:paraId="18459A64"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Agricultural, Forestry, Livestock &amp; Fishery Bases</w:t>
            </w:r>
          </w:p>
        </w:tc>
      </w:tr>
      <w:tr w:rsidR="00123109" w:rsidRPr="00123109" w14:paraId="270B96E8" w14:textId="77777777" w:rsidTr="00123109">
        <w:trPr>
          <w:trHeight w:val="300"/>
          <w:jc w:val="center"/>
        </w:trPr>
        <w:tc>
          <w:tcPr>
            <w:tcW w:w="1980" w:type="dxa"/>
            <w:vMerge/>
            <w:shd w:val="clear" w:color="000000" w:fill="FFFFFF"/>
            <w:vAlign w:val="center"/>
            <w:hideMark/>
          </w:tcPr>
          <w:p w14:paraId="6707F374" w14:textId="30B06DB3" w:rsidR="00123109" w:rsidRPr="00123109" w:rsidRDefault="00123109" w:rsidP="00123109">
            <w:pPr>
              <w:jc w:val="left"/>
              <w:rPr>
                <w:rFonts w:ascii="Times New Roman" w:eastAsia="等线" w:hAnsi="Times New Roman" w:cs="Times New Roman"/>
                <w:color w:val="0F1115"/>
                <w:kern w:val="0"/>
                <w:szCs w:val="21"/>
              </w:rPr>
            </w:pPr>
          </w:p>
        </w:tc>
        <w:tc>
          <w:tcPr>
            <w:tcW w:w="2977" w:type="dxa"/>
            <w:vMerge w:val="restart"/>
            <w:shd w:val="clear" w:color="000000" w:fill="FFFFFF"/>
            <w:vAlign w:val="center"/>
            <w:hideMark/>
          </w:tcPr>
          <w:p w14:paraId="3713A6A5" w14:textId="5C01983D"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Place Names and Address Information</w:t>
            </w:r>
          </w:p>
        </w:tc>
        <w:tc>
          <w:tcPr>
            <w:tcW w:w="3543" w:type="dxa"/>
            <w:shd w:val="clear" w:color="000000" w:fill="FFFFFF"/>
            <w:vAlign w:val="center"/>
            <w:hideMark/>
          </w:tcPr>
          <w:p w14:paraId="07ECEB4D"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Transportation-related toponyms</w:t>
            </w:r>
          </w:p>
        </w:tc>
      </w:tr>
      <w:tr w:rsidR="00123109" w:rsidRPr="00123109" w14:paraId="52232348" w14:textId="77777777" w:rsidTr="00123109">
        <w:trPr>
          <w:trHeight w:val="300"/>
          <w:jc w:val="center"/>
        </w:trPr>
        <w:tc>
          <w:tcPr>
            <w:tcW w:w="1980" w:type="dxa"/>
            <w:vMerge/>
            <w:shd w:val="clear" w:color="000000" w:fill="FFFFFF"/>
            <w:vAlign w:val="center"/>
            <w:hideMark/>
          </w:tcPr>
          <w:p w14:paraId="02A90306" w14:textId="6DD1C354" w:rsidR="00123109" w:rsidRPr="00123109" w:rsidRDefault="00123109" w:rsidP="00123109">
            <w:pPr>
              <w:jc w:val="left"/>
              <w:rPr>
                <w:rFonts w:ascii="Times New Roman" w:eastAsia="等线" w:hAnsi="Times New Roman" w:cs="Times New Roman"/>
                <w:color w:val="0F1115"/>
                <w:kern w:val="0"/>
                <w:szCs w:val="21"/>
              </w:rPr>
            </w:pPr>
          </w:p>
        </w:tc>
        <w:tc>
          <w:tcPr>
            <w:tcW w:w="2977" w:type="dxa"/>
            <w:vMerge/>
            <w:shd w:val="clear" w:color="000000" w:fill="FFFFFF"/>
            <w:vAlign w:val="center"/>
            <w:hideMark/>
          </w:tcPr>
          <w:p w14:paraId="28E5AE42" w14:textId="7845ED9E" w:rsidR="00123109" w:rsidRPr="00123109" w:rsidRDefault="00123109" w:rsidP="00123109">
            <w:pPr>
              <w:jc w:val="left"/>
              <w:rPr>
                <w:rFonts w:ascii="Times New Roman" w:eastAsia="等线" w:hAnsi="Times New Roman" w:cs="Times New Roman"/>
                <w:color w:val="0F1115"/>
                <w:kern w:val="0"/>
                <w:szCs w:val="21"/>
              </w:rPr>
            </w:pPr>
          </w:p>
        </w:tc>
        <w:tc>
          <w:tcPr>
            <w:tcW w:w="3543" w:type="dxa"/>
            <w:shd w:val="clear" w:color="000000" w:fill="FFFFFF"/>
            <w:vAlign w:val="center"/>
            <w:hideMark/>
          </w:tcPr>
          <w:p w14:paraId="0E5AF2D9"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Landmark / hotspot toponyms</w:t>
            </w:r>
          </w:p>
        </w:tc>
      </w:tr>
      <w:tr w:rsidR="00123109" w:rsidRPr="00123109" w14:paraId="015C09FF" w14:textId="77777777" w:rsidTr="00123109">
        <w:trPr>
          <w:trHeight w:val="306"/>
          <w:jc w:val="center"/>
        </w:trPr>
        <w:tc>
          <w:tcPr>
            <w:tcW w:w="1980" w:type="dxa"/>
            <w:vMerge/>
            <w:shd w:val="clear" w:color="000000" w:fill="FFFFFF"/>
            <w:vAlign w:val="center"/>
            <w:hideMark/>
          </w:tcPr>
          <w:p w14:paraId="290D60B1" w14:textId="191D115B" w:rsidR="00123109" w:rsidRPr="00123109" w:rsidRDefault="00123109" w:rsidP="00123109">
            <w:pPr>
              <w:jc w:val="left"/>
              <w:rPr>
                <w:rFonts w:ascii="Times New Roman" w:eastAsia="等线" w:hAnsi="Times New Roman" w:cs="Times New Roman"/>
                <w:color w:val="0F1115"/>
                <w:kern w:val="0"/>
                <w:szCs w:val="21"/>
              </w:rPr>
            </w:pPr>
          </w:p>
        </w:tc>
        <w:tc>
          <w:tcPr>
            <w:tcW w:w="2977" w:type="dxa"/>
            <w:vMerge/>
            <w:shd w:val="clear" w:color="000000" w:fill="FFFFFF"/>
            <w:vAlign w:val="center"/>
            <w:hideMark/>
          </w:tcPr>
          <w:p w14:paraId="0143307C" w14:textId="42D51000" w:rsidR="00123109" w:rsidRPr="00123109" w:rsidRDefault="00123109" w:rsidP="00123109">
            <w:pPr>
              <w:widowControl/>
              <w:jc w:val="left"/>
              <w:rPr>
                <w:rFonts w:ascii="Times New Roman" w:eastAsia="等线" w:hAnsi="Times New Roman" w:cs="Times New Roman"/>
                <w:color w:val="0F1115"/>
                <w:kern w:val="0"/>
                <w:szCs w:val="21"/>
              </w:rPr>
            </w:pPr>
          </w:p>
        </w:tc>
        <w:tc>
          <w:tcPr>
            <w:tcW w:w="3543" w:type="dxa"/>
            <w:shd w:val="clear" w:color="000000" w:fill="FFFFFF"/>
            <w:vAlign w:val="center"/>
            <w:hideMark/>
          </w:tcPr>
          <w:p w14:paraId="09A7B1C8"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Natural feature toponyms</w:t>
            </w:r>
          </w:p>
        </w:tc>
      </w:tr>
      <w:tr w:rsidR="00123109" w:rsidRPr="00123109" w14:paraId="323FFEC1" w14:textId="77777777" w:rsidTr="00123109">
        <w:trPr>
          <w:trHeight w:val="306"/>
          <w:jc w:val="center"/>
        </w:trPr>
        <w:tc>
          <w:tcPr>
            <w:tcW w:w="1980" w:type="dxa"/>
            <w:vMerge/>
            <w:shd w:val="clear" w:color="000000" w:fill="FFFFFF"/>
            <w:vAlign w:val="center"/>
            <w:hideMark/>
          </w:tcPr>
          <w:p w14:paraId="42F82D6D" w14:textId="2C056D6D" w:rsidR="00123109" w:rsidRPr="00123109" w:rsidRDefault="00123109" w:rsidP="00123109">
            <w:pPr>
              <w:jc w:val="left"/>
              <w:rPr>
                <w:rFonts w:ascii="Times New Roman" w:eastAsia="等线" w:hAnsi="Times New Roman" w:cs="Times New Roman"/>
                <w:color w:val="0F1115"/>
                <w:kern w:val="0"/>
                <w:szCs w:val="21"/>
              </w:rPr>
            </w:pPr>
          </w:p>
        </w:tc>
        <w:tc>
          <w:tcPr>
            <w:tcW w:w="2977" w:type="dxa"/>
            <w:shd w:val="clear" w:color="000000" w:fill="FFFFFF"/>
            <w:vAlign w:val="center"/>
            <w:hideMark/>
          </w:tcPr>
          <w:p w14:paraId="45F3901E"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Life Services</w:t>
            </w:r>
          </w:p>
        </w:tc>
        <w:tc>
          <w:tcPr>
            <w:tcW w:w="3543" w:type="dxa"/>
            <w:shd w:val="clear" w:color="000000" w:fill="FFFFFF"/>
            <w:vAlign w:val="center"/>
            <w:hideMark/>
          </w:tcPr>
          <w:p w14:paraId="2BECB09B"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Funeral and interment facilities</w:t>
            </w:r>
          </w:p>
        </w:tc>
      </w:tr>
      <w:tr w:rsidR="00123109" w:rsidRPr="00123109" w14:paraId="32C66928" w14:textId="77777777" w:rsidTr="00123109">
        <w:trPr>
          <w:trHeight w:val="306"/>
          <w:jc w:val="center"/>
        </w:trPr>
        <w:tc>
          <w:tcPr>
            <w:tcW w:w="1980" w:type="dxa"/>
            <w:vMerge/>
            <w:shd w:val="clear" w:color="000000" w:fill="FFFFFF"/>
            <w:vAlign w:val="center"/>
            <w:hideMark/>
          </w:tcPr>
          <w:p w14:paraId="5C1D00C9" w14:textId="0384A6E4" w:rsidR="00123109" w:rsidRPr="00123109" w:rsidRDefault="00123109" w:rsidP="00123109">
            <w:pPr>
              <w:jc w:val="left"/>
              <w:rPr>
                <w:rFonts w:ascii="Times New Roman" w:eastAsia="等线" w:hAnsi="Times New Roman" w:cs="Times New Roman"/>
                <w:color w:val="0F1115"/>
                <w:kern w:val="0"/>
                <w:szCs w:val="21"/>
              </w:rPr>
            </w:pPr>
          </w:p>
        </w:tc>
        <w:tc>
          <w:tcPr>
            <w:tcW w:w="2977" w:type="dxa"/>
            <w:shd w:val="clear" w:color="000000" w:fill="FFFFFF"/>
            <w:vAlign w:val="center"/>
            <w:hideMark/>
          </w:tcPr>
          <w:p w14:paraId="5FB41495"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Sports and Recreation Services</w:t>
            </w:r>
          </w:p>
        </w:tc>
        <w:tc>
          <w:tcPr>
            <w:tcW w:w="3543" w:type="dxa"/>
            <w:shd w:val="clear" w:color="000000" w:fill="FFFFFF"/>
            <w:vAlign w:val="center"/>
            <w:hideMark/>
          </w:tcPr>
          <w:p w14:paraId="1A8671BF"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Leisure venues</w:t>
            </w:r>
          </w:p>
        </w:tc>
      </w:tr>
      <w:tr w:rsidR="00123109" w:rsidRPr="00123109" w14:paraId="3CE2DA58" w14:textId="77777777" w:rsidTr="00123109">
        <w:trPr>
          <w:trHeight w:val="288"/>
          <w:jc w:val="center"/>
        </w:trPr>
        <w:tc>
          <w:tcPr>
            <w:tcW w:w="1980" w:type="dxa"/>
            <w:vMerge/>
            <w:shd w:val="clear" w:color="000000" w:fill="FFFFFF"/>
            <w:vAlign w:val="center"/>
            <w:hideMark/>
          </w:tcPr>
          <w:p w14:paraId="00BCE2ED" w14:textId="48B37B63" w:rsidR="00123109" w:rsidRPr="00123109" w:rsidRDefault="00123109" w:rsidP="00123109">
            <w:pPr>
              <w:jc w:val="left"/>
              <w:rPr>
                <w:rFonts w:ascii="Times New Roman" w:eastAsia="等线" w:hAnsi="Times New Roman" w:cs="Times New Roman"/>
                <w:color w:val="0F1115"/>
                <w:kern w:val="0"/>
                <w:szCs w:val="21"/>
              </w:rPr>
            </w:pPr>
          </w:p>
        </w:tc>
        <w:tc>
          <w:tcPr>
            <w:tcW w:w="2977" w:type="dxa"/>
            <w:shd w:val="clear" w:color="000000" w:fill="FFFFFF"/>
            <w:vAlign w:val="center"/>
            <w:hideMark/>
          </w:tcPr>
          <w:p w14:paraId="695A44D5"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Passage Facilities</w:t>
            </w:r>
          </w:p>
        </w:tc>
        <w:tc>
          <w:tcPr>
            <w:tcW w:w="3543" w:type="dxa"/>
            <w:shd w:val="clear" w:color="000000" w:fill="FFFFFF"/>
            <w:vAlign w:val="center"/>
            <w:hideMark/>
          </w:tcPr>
          <w:p w14:paraId="470F9C10"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 xml:space="preserve">　</w:t>
            </w:r>
          </w:p>
        </w:tc>
      </w:tr>
      <w:tr w:rsidR="00123109" w:rsidRPr="00123109" w14:paraId="17A48CCD" w14:textId="77777777" w:rsidTr="00123109">
        <w:trPr>
          <w:trHeight w:val="306"/>
          <w:jc w:val="center"/>
        </w:trPr>
        <w:tc>
          <w:tcPr>
            <w:tcW w:w="1980" w:type="dxa"/>
            <w:vMerge/>
            <w:shd w:val="clear" w:color="000000" w:fill="FFFFFF"/>
            <w:vAlign w:val="center"/>
            <w:hideMark/>
          </w:tcPr>
          <w:p w14:paraId="65DF3536" w14:textId="489B7130" w:rsidR="00123109" w:rsidRPr="00123109" w:rsidRDefault="00123109" w:rsidP="00123109">
            <w:pPr>
              <w:widowControl/>
              <w:jc w:val="left"/>
              <w:rPr>
                <w:rFonts w:ascii="Times New Roman" w:eastAsia="等线" w:hAnsi="Times New Roman" w:cs="Times New Roman"/>
                <w:color w:val="0F1115"/>
                <w:kern w:val="0"/>
                <w:szCs w:val="21"/>
              </w:rPr>
            </w:pPr>
          </w:p>
        </w:tc>
        <w:tc>
          <w:tcPr>
            <w:tcW w:w="2977" w:type="dxa"/>
            <w:shd w:val="clear" w:color="000000" w:fill="FFFFFF"/>
            <w:vAlign w:val="center"/>
            <w:hideMark/>
          </w:tcPr>
          <w:p w14:paraId="3F095141"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Scenic Spots and Historic Sites</w:t>
            </w:r>
          </w:p>
        </w:tc>
        <w:tc>
          <w:tcPr>
            <w:tcW w:w="3543" w:type="dxa"/>
            <w:shd w:val="clear" w:color="000000" w:fill="FFFFFF"/>
            <w:vAlign w:val="center"/>
            <w:hideMark/>
          </w:tcPr>
          <w:p w14:paraId="637EEF05" w14:textId="77777777" w:rsidR="00123109" w:rsidRPr="00123109" w:rsidRDefault="00123109" w:rsidP="00123109">
            <w:pPr>
              <w:widowControl/>
              <w:jc w:val="left"/>
              <w:rPr>
                <w:rFonts w:ascii="Times New Roman" w:eastAsia="等线" w:hAnsi="Times New Roman" w:cs="Times New Roman"/>
                <w:color w:val="0F1115"/>
                <w:kern w:val="0"/>
                <w:szCs w:val="21"/>
              </w:rPr>
            </w:pPr>
            <w:r w:rsidRPr="00123109">
              <w:rPr>
                <w:rFonts w:ascii="Times New Roman" w:eastAsia="等线" w:hAnsi="Times New Roman" w:cs="Times New Roman"/>
                <w:color w:val="0F1115"/>
                <w:kern w:val="0"/>
                <w:szCs w:val="21"/>
              </w:rPr>
              <w:t xml:space="preserve">　</w:t>
            </w:r>
          </w:p>
        </w:tc>
      </w:tr>
    </w:tbl>
    <w:p w14:paraId="75A34393" w14:textId="77777777" w:rsidR="00A759DD" w:rsidRPr="00123109" w:rsidRDefault="00A759DD" w:rsidP="003D7F31">
      <w:pPr>
        <w:jc w:val="center"/>
        <w:rPr>
          <w:rFonts w:ascii="Times New Roman" w:hAnsi="Times New Roman" w:cs="Times New Roman"/>
        </w:rPr>
      </w:pPr>
    </w:p>
    <w:p w14:paraId="08AB9ECE" w14:textId="77777777" w:rsidR="00A759DD" w:rsidRDefault="00A759DD" w:rsidP="003D7F31">
      <w:pPr>
        <w:jc w:val="center"/>
        <w:rPr>
          <w:rFonts w:ascii="Times New Roman" w:hAnsi="Times New Roman" w:cs="Times New Roman"/>
        </w:rPr>
      </w:pPr>
    </w:p>
    <w:p w14:paraId="112B9625" w14:textId="136444AF" w:rsidR="003D7F31" w:rsidRPr="003555C2" w:rsidRDefault="003D7F31" w:rsidP="003D7F31">
      <w:pPr>
        <w:jc w:val="center"/>
        <w:rPr>
          <w:rFonts w:ascii="Times New Roman" w:hAnsi="Times New Roman" w:cs="Times New Roman"/>
        </w:rPr>
      </w:pPr>
      <w:r w:rsidRPr="003D7F31">
        <w:rPr>
          <w:rFonts w:ascii="Times New Roman" w:hAnsi="Times New Roman" w:cs="Times New Roman"/>
        </w:rPr>
        <w:t xml:space="preserve">Supplementary Table </w:t>
      </w:r>
      <w:r w:rsidR="00A759DD">
        <w:rPr>
          <w:rFonts w:ascii="Times New Roman" w:hAnsi="Times New Roman" w:cs="Times New Roman"/>
        </w:rPr>
        <w:t>2</w:t>
      </w:r>
      <w:r w:rsidRPr="003D7F31">
        <w:rPr>
          <w:rFonts w:ascii="Times New Roman" w:hAnsi="Times New Roman" w:cs="Times New Roman"/>
        </w:rPr>
        <w:t xml:space="preserve"> | Selection criteria and key characteristics of representative cities</w:t>
      </w:r>
    </w:p>
    <w:tbl>
      <w:tblPr>
        <w:tblStyle w:val="a3"/>
        <w:tblW w:w="8500" w:type="dxa"/>
        <w:jc w:val="center"/>
        <w:tblLook w:val="04A0" w:firstRow="1" w:lastRow="0" w:firstColumn="1" w:lastColumn="0" w:noHBand="0" w:noVBand="1"/>
      </w:tblPr>
      <w:tblGrid>
        <w:gridCol w:w="616"/>
        <w:gridCol w:w="1363"/>
        <w:gridCol w:w="1038"/>
        <w:gridCol w:w="2365"/>
        <w:gridCol w:w="3118"/>
      </w:tblGrid>
      <w:tr w:rsidR="003D7F31" w:rsidRPr="003D7F31" w14:paraId="7BA1E56F" w14:textId="77777777" w:rsidTr="003D7F31">
        <w:trPr>
          <w:jc w:val="center"/>
        </w:trPr>
        <w:tc>
          <w:tcPr>
            <w:tcW w:w="616" w:type="dxa"/>
          </w:tcPr>
          <w:p w14:paraId="502BC83B" w14:textId="785ED7A1" w:rsidR="003D7F31" w:rsidRPr="003D7F31" w:rsidRDefault="003D7F31" w:rsidP="003D7F31">
            <w:pPr>
              <w:pStyle w:val="a4"/>
              <w:jc w:val="center"/>
              <w:rPr>
                <w:rFonts w:ascii="Times New Roman" w:hAnsi="Times New Roman" w:cs="Times New Roman"/>
                <w:b/>
                <w:bCs/>
              </w:rPr>
            </w:pPr>
            <w:r w:rsidRPr="003D7F31">
              <w:rPr>
                <w:rFonts w:ascii="Times New Roman" w:hAnsi="Times New Roman" w:cs="Times New Roman" w:hint="eastAsia"/>
                <w:b/>
                <w:bCs/>
              </w:rPr>
              <w:t>N</w:t>
            </w:r>
            <w:r w:rsidRPr="003D7F31">
              <w:rPr>
                <w:rFonts w:ascii="Times New Roman" w:hAnsi="Times New Roman" w:cs="Times New Roman"/>
                <w:b/>
                <w:bCs/>
              </w:rPr>
              <w:t>o.</w:t>
            </w:r>
          </w:p>
        </w:tc>
        <w:tc>
          <w:tcPr>
            <w:tcW w:w="1363" w:type="dxa"/>
          </w:tcPr>
          <w:p w14:paraId="3AAD6184" w14:textId="6AB42CEC" w:rsidR="003D7F31" w:rsidRPr="003D7F31" w:rsidRDefault="003D7F31" w:rsidP="003D7F31">
            <w:pPr>
              <w:pStyle w:val="a4"/>
              <w:jc w:val="center"/>
              <w:rPr>
                <w:rFonts w:ascii="Times New Roman" w:hAnsi="Times New Roman" w:cs="Times New Roman"/>
                <w:b/>
                <w:bCs/>
              </w:rPr>
            </w:pPr>
            <w:r w:rsidRPr="003D7F31">
              <w:rPr>
                <w:rFonts w:ascii="Times New Roman" w:hAnsi="Times New Roman" w:cs="Times New Roman" w:hint="eastAsia"/>
                <w:b/>
                <w:bCs/>
              </w:rPr>
              <w:t>C</w:t>
            </w:r>
            <w:r w:rsidRPr="003D7F31">
              <w:rPr>
                <w:rFonts w:ascii="Times New Roman" w:hAnsi="Times New Roman" w:cs="Times New Roman"/>
                <w:b/>
                <w:bCs/>
              </w:rPr>
              <w:t>limate zone</w:t>
            </w:r>
          </w:p>
        </w:tc>
        <w:tc>
          <w:tcPr>
            <w:tcW w:w="1038" w:type="dxa"/>
          </w:tcPr>
          <w:p w14:paraId="2882D5E1" w14:textId="5E68CB9F" w:rsidR="003D7F31" w:rsidRPr="003D7F31" w:rsidRDefault="003D7F31" w:rsidP="003D7F31">
            <w:pPr>
              <w:pStyle w:val="a4"/>
              <w:jc w:val="center"/>
              <w:rPr>
                <w:rFonts w:ascii="Times New Roman" w:hAnsi="Times New Roman" w:cs="Times New Roman"/>
                <w:b/>
                <w:bCs/>
              </w:rPr>
            </w:pPr>
            <w:r w:rsidRPr="003D7F31">
              <w:rPr>
                <w:rFonts w:ascii="Times New Roman" w:hAnsi="Times New Roman" w:cs="Times New Roman" w:hint="eastAsia"/>
                <w:b/>
                <w:bCs/>
              </w:rPr>
              <w:t>C</w:t>
            </w:r>
            <w:r w:rsidRPr="003D7F31">
              <w:rPr>
                <w:rFonts w:ascii="Times New Roman" w:hAnsi="Times New Roman" w:cs="Times New Roman"/>
                <w:b/>
                <w:bCs/>
              </w:rPr>
              <w:t>ity</w:t>
            </w:r>
          </w:p>
        </w:tc>
        <w:tc>
          <w:tcPr>
            <w:tcW w:w="2365" w:type="dxa"/>
          </w:tcPr>
          <w:p w14:paraId="3E53D2CF" w14:textId="34D93198" w:rsidR="003D7F31" w:rsidRPr="003D7F31" w:rsidRDefault="003D7F31" w:rsidP="003D7F31">
            <w:pPr>
              <w:pStyle w:val="a4"/>
              <w:jc w:val="center"/>
              <w:rPr>
                <w:rFonts w:ascii="Times New Roman" w:hAnsi="Times New Roman" w:cs="Times New Roman"/>
                <w:b/>
                <w:bCs/>
              </w:rPr>
            </w:pPr>
            <w:r w:rsidRPr="003D7F31">
              <w:rPr>
                <w:rFonts w:ascii="Times New Roman" w:hAnsi="Times New Roman" w:cs="Times New Roman" w:hint="eastAsia"/>
                <w:b/>
                <w:bCs/>
              </w:rPr>
              <w:t>U</w:t>
            </w:r>
            <w:r w:rsidRPr="003D7F31">
              <w:rPr>
                <w:rFonts w:ascii="Times New Roman" w:hAnsi="Times New Roman" w:cs="Times New Roman"/>
                <w:b/>
                <w:bCs/>
              </w:rPr>
              <w:t>rban type</w:t>
            </w:r>
          </w:p>
        </w:tc>
        <w:tc>
          <w:tcPr>
            <w:tcW w:w="3118" w:type="dxa"/>
          </w:tcPr>
          <w:p w14:paraId="30CB2046" w14:textId="4E7DDFD9" w:rsidR="003D7F31" w:rsidRPr="003D7F31" w:rsidRDefault="003D7F31" w:rsidP="003D7F31">
            <w:pPr>
              <w:pStyle w:val="a4"/>
              <w:jc w:val="center"/>
              <w:rPr>
                <w:rFonts w:ascii="Times New Roman" w:hAnsi="Times New Roman" w:cs="Times New Roman"/>
                <w:b/>
                <w:bCs/>
              </w:rPr>
            </w:pPr>
            <w:r w:rsidRPr="003D7F31">
              <w:rPr>
                <w:rFonts w:ascii="Times New Roman" w:hAnsi="Times New Roman" w:cs="Times New Roman" w:hint="eastAsia"/>
                <w:b/>
                <w:bCs/>
              </w:rPr>
              <w:t>K</w:t>
            </w:r>
            <w:r w:rsidRPr="003D7F31">
              <w:rPr>
                <w:rFonts w:ascii="Times New Roman" w:hAnsi="Times New Roman" w:cs="Times New Roman"/>
                <w:b/>
                <w:bCs/>
              </w:rPr>
              <w:t>ey characteristics</w:t>
            </w:r>
          </w:p>
        </w:tc>
      </w:tr>
      <w:tr w:rsidR="003D7F31" w:rsidRPr="003555C2" w14:paraId="5D1A9939" w14:textId="77777777" w:rsidTr="003D7F31">
        <w:trPr>
          <w:jc w:val="center"/>
        </w:trPr>
        <w:tc>
          <w:tcPr>
            <w:tcW w:w="616" w:type="dxa"/>
          </w:tcPr>
          <w:p w14:paraId="0CEBC285" w14:textId="77777777" w:rsidR="003D7F31" w:rsidRPr="003555C2" w:rsidRDefault="003D7F31" w:rsidP="002E5328">
            <w:pPr>
              <w:pStyle w:val="a4"/>
              <w:rPr>
                <w:rFonts w:ascii="Times New Roman" w:hAnsi="Times New Roman" w:cs="Times New Roman"/>
              </w:rPr>
            </w:pPr>
            <w:r w:rsidRPr="003555C2">
              <w:rPr>
                <w:rFonts w:ascii="Times New Roman" w:hAnsi="Times New Roman" w:cs="Times New Roman"/>
              </w:rPr>
              <w:t>1</w:t>
            </w:r>
          </w:p>
        </w:tc>
        <w:tc>
          <w:tcPr>
            <w:tcW w:w="1363" w:type="dxa"/>
          </w:tcPr>
          <w:p w14:paraId="4B923112" w14:textId="58F7A8DB" w:rsidR="003D7F31" w:rsidRPr="003555C2" w:rsidRDefault="003D7F31" w:rsidP="002E5328">
            <w:pPr>
              <w:pStyle w:val="a4"/>
              <w:rPr>
                <w:rFonts w:ascii="Times New Roman" w:hAnsi="Times New Roman" w:cs="Times New Roman"/>
              </w:rPr>
            </w:pPr>
            <w:r>
              <w:rPr>
                <w:rFonts w:ascii="Times New Roman" w:hAnsi="Times New Roman" w:cs="Times New Roman" w:hint="eastAsia"/>
              </w:rPr>
              <w:t>H</w:t>
            </w:r>
            <w:r>
              <w:rPr>
                <w:rFonts w:ascii="Times New Roman" w:hAnsi="Times New Roman" w:cs="Times New Roman"/>
              </w:rPr>
              <w:t>ot summer warm winter</w:t>
            </w:r>
          </w:p>
        </w:tc>
        <w:tc>
          <w:tcPr>
            <w:tcW w:w="1038" w:type="dxa"/>
          </w:tcPr>
          <w:p w14:paraId="427167B1" w14:textId="7C637354" w:rsidR="003D7F31" w:rsidRPr="003555C2" w:rsidRDefault="003D7F31" w:rsidP="002E5328">
            <w:pPr>
              <w:pStyle w:val="a4"/>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henzhen</w:t>
            </w:r>
          </w:p>
        </w:tc>
        <w:tc>
          <w:tcPr>
            <w:tcW w:w="2365" w:type="dxa"/>
          </w:tcPr>
          <w:p w14:paraId="13A3B736" w14:textId="77777777" w:rsidR="003D7F31" w:rsidRPr="003555C2" w:rsidRDefault="003D7F31" w:rsidP="002E5328">
            <w:pPr>
              <w:pStyle w:val="a4"/>
              <w:rPr>
                <w:rFonts w:ascii="Times New Roman" w:hAnsi="Times New Roman" w:cs="Times New Roman"/>
              </w:rPr>
            </w:pPr>
            <w:r w:rsidRPr="003555C2">
              <w:rPr>
                <w:rFonts w:ascii="Times New Roman" w:hAnsi="Times New Roman" w:cs="Times New Roman"/>
              </w:rPr>
              <w:t>Compact City</w:t>
            </w:r>
          </w:p>
        </w:tc>
        <w:tc>
          <w:tcPr>
            <w:tcW w:w="3118" w:type="dxa"/>
          </w:tcPr>
          <w:p w14:paraId="0AB85827" w14:textId="27397DB3" w:rsidR="003D7F31" w:rsidRPr="003555C2" w:rsidRDefault="003D7F31" w:rsidP="002E5328">
            <w:pPr>
              <w:pStyle w:val="a4"/>
              <w:rPr>
                <w:rFonts w:ascii="Times New Roman" w:hAnsi="Times New Roman" w:cs="Times New Roman"/>
              </w:rPr>
            </w:pPr>
            <w:r w:rsidRPr="003D7F31">
              <w:rPr>
                <w:rFonts w:ascii="Times New Roman" w:hAnsi="Times New Roman" w:cs="Times New Roman"/>
              </w:rPr>
              <w:t>High floor area ratio, three-dimensional development</w:t>
            </w:r>
          </w:p>
        </w:tc>
      </w:tr>
      <w:tr w:rsidR="003D7F31" w:rsidRPr="003555C2" w14:paraId="29E39825" w14:textId="77777777" w:rsidTr="003D7F31">
        <w:trPr>
          <w:jc w:val="center"/>
        </w:trPr>
        <w:tc>
          <w:tcPr>
            <w:tcW w:w="616" w:type="dxa"/>
          </w:tcPr>
          <w:p w14:paraId="6074FD5E" w14:textId="77777777" w:rsidR="003D7F31" w:rsidRPr="003555C2" w:rsidRDefault="003D7F31" w:rsidP="003D7F31">
            <w:pPr>
              <w:pStyle w:val="a4"/>
              <w:rPr>
                <w:rFonts w:ascii="Times New Roman" w:hAnsi="Times New Roman" w:cs="Times New Roman"/>
              </w:rPr>
            </w:pPr>
            <w:r w:rsidRPr="003555C2">
              <w:rPr>
                <w:rFonts w:ascii="Times New Roman" w:hAnsi="Times New Roman" w:cs="Times New Roman"/>
              </w:rPr>
              <w:t>2</w:t>
            </w:r>
          </w:p>
        </w:tc>
        <w:tc>
          <w:tcPr>
            <w:tcW w:w="1363" w:type="dxa"/>
          </w:tcPr>
          <w:p w14:paraId="0328DAF1" w14:textId="69319FB6" w:rsidR="003D7F31" w:rsidRPr="003555C2" w:rsidRDefault="003D7F31" w:rsidP="003D7F31">
            <w:pPr>
              <w:pStyle w:val="a4"/>
              <w:rPr>
                <w:rFonts w:ascii="Times New Roman" w:hAnsi="Times New Roman" w:cs="Times New Roman"/>
              </w:rPr>
            </w:pPr>
            <w:r>
              <w:rPr>
                <w:rFonts w:ascii="Times New Roman" w:hAnsi="Times New Roman" w:cs="Times New Roman" w:hint="eastAsia"/>
              </w:rPr>
              <w:t>H</w:t>
            </w:r>
            <w:r>
              <w:rPr>
                <w:rFonts w:ascii="Times New Roman" w:hAnsi="Times New Roman" w:cs="Times New Roman"/>
              </w:rPr>
              <w:t>ot summer cold winter</w:t>
            </w:r>
          </w:p>
        </w:tc>
        <w:tc>
          <w:tcPr>
            <w:tcW w:w="1038" w:type="dxa"/>
          </w:tcPr>
          <w:p w14:paraId="5163F038" w14:textId="7F132DE2" w:rsidR="003D7F31" w:rsidRPr="003555C2" w:rsidRDefault="003D7F31" w:rsidP="003D7F31">
            <w:pPr>
              <w:pStyle w:val="a4"/>
              <w:rPr>
                <w:rFonts w:ascii="Times New Roman" w:hAnsi="Times New Roman" w:cs="Times New Roman"/>
              </w:rPr>
            </w:pPr>
            <w:r>
              <w:rPr>
                <w:rFonts w:ascii="Times New Roman" w:hAnsi="Times New Roman" w:cs="Times New Roman" w:hint="eastAsia"/>
              </w:rPr>
              <w:t>Y</w:t>
            </w:r>
            <w:r>
              <w:rPr>
                <w:rFonts w:ascii="Times New Roman" w:hAnsi="Times New Roman" w:cs="Times New Roman"/>
              </w:rPr>
              <w:t>angzhou</w:t>
            </w:r>
          </w:p>
        </w:tc>
        <w:tc>
          <w:tcPr>
            <w:tcW w:w="2365" w:type="dxa"/>
          </w:tcPr>
          <w:p w14:paraId="020375AF" w14:textId="77777777" w:rsidR="003D7F31" w:rsidRPr="003555C2" w:rsidRDefault="003D7F31" w:rsidP="003D7F31">
            <w:pPr>
              <w:pStyle w:val="a4"/>
              <w:rPr>
                <w:rFonts w:ascii="Times New Roman" w:hAnsi="Times New Roman" w:cs="Times New Roman"/>
              </w:rPr>
            </w:pPr>
            <w:r w:rsidRPr="003555C2">
              <w:rPr>
                <w:rFonts w:ascii="Times New Roman" w:hAnsi="Times New Roman" w:cs="Times New Roman"/>
              </w:rPr>
              <w:t>Traditional Dense City</w:t>
            </w:r>
          </w:p>
        </w:tc>
        <w:tc>
          <w:tcPr>
            <w:tcW w:w="3118" w:type="dxa"/>
          </w:tcPr>
          <w:p w14:paraId="59C65CD1" w14:textId="637E2088" w:rsidR="003D7F31" w:rsidRPr="003555C2" w:rsidRDefault="003D7F31" w:rsidP="003D7F31">
            <w:pPr>
              <w:pStyle w:val="a4"/>
              <w:rPr>
                <w:rFonts w:ascii="Times New Roman" w:hAnsi="Times New Roman" w:cs="Times New Roman"/>
              </w:rPr>
            </w:pPr>
            <w:r w:rsidRPr="003D7F31">
              <w:rPr>
                <w:rFonts w:ascii="Times New Roman" w:hAnsi="Times New Roman" w:cs="Times New Roman"/>
              </w:rPr>
              <w:t>Medium floor area ratio, low-density traditional layout</w:t>
            </w:r>
          </w:p>
        </w:tc>
      </w:tr>
      <w:tr w:rsidR="003D7F31" w:rsidRPr="003555C2" w14:paraId="713A176F" w14:textId="77777777" w:rsidTr="003D7F31">
        <w:trPr>
          <w:jc w:val="center"/>
        </w:trPr>
        <w:tc>
          <w:tcPr>
            <w:tcW w:w="616" w:type="dxa"/>
          </w:tcPr>
          <w:p w14:paraId="1B50823C" w14:textId="77777777" w:rsidR="003D7F31" w:rsidRPr="003555C2" w:rsidRDefault="003D7F31" w:rsidP="003D7F31">
            <w:pPr>
              <w:pStyle w:val="a4"/>
              <w:rPr>
                <w:rFonts w:ascii="Times New Roman" w:hAnsi="Times New Roman" w:cs="Times New Roman"/>
              </w:rPr>
            </w:pPr>
            <w:r w:rsidRPr="003555C2">
              <w:rPr>
                <w:rFonts w:ascii="Times New Roman" w:hAnsi="Times New Roman" w:cs="Times New Roman"/>
              </w:rPr>
              <w:t>3</w:t>
            </w:r>
          </w:p>
        </w:tc>
        <w:tc>
          <w:tcPr>
            <w:tcW w:w="1363" w:type="dxa"/>
          </w:tcPr>
          <w:p w14:paraId="7AA0F383" w14:textId="09FE9AD6" w:rsidR="003D7F31" w:rsidRPr="003555C2" w:rsidRDefault="003D7F31" w:rsidP="003D7F31">
            <w:pPr>
              <w:pStyle w:val="a4"/>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emperate</w:t>
            </w:r>
          </w:p>
        </w:tc>
        <w:tc>
          <w:tcPr>
            <w:tcW w:w="1038" w:type="dxa"/>
          </w:tcPr>
          <w:p w14:paraId="0BAADFE1" w14:textId="2D81AB09" w:rsidR="003D7F31" w:rsidRPr="003555C2" w:rsidRDefault="003D7F31" w:rsidP="003D7F31">
            <w:pPr>
              <w:pStyle w:val="a4"/>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uiyang</w:t>
            </w:r>
          </w:p>
        </w:tc>
        <w:tc>
          <w:tcPr>
            <w:tcW w:w="2365" w:type="dxa"/>
          </w:tcPr>
          <w:p w14:paraId="355B74CF" w14:textId="77777777" w:rsidR="003D7F31" w:rsidRPr="003555C2" w:rsidRDefault="003D7F31" w:rsidP="003D7F31">
            <w:pPr>
              <w:pStyle w:val="a4"/>
              <w:rPr>
                <w:rFonts w:ascii="Times New Roman" w:hAnsi="Times New Roman" w:cs="Times New Roman"/>
              </w:rPr>
            </w:pPr>
            <w:r w:rsidRPr="003555C2">
              <w:rPr>
                <w:rFonts w:ascii="Times New Roman" w:hAnsi="Times New Roman" w:cs="Times New Roman"/>
              </w:rPr>
              <w:t>Mountainous Cluster City</w:t>
            </w:r>
          </w:p>
        </w:tc>
        <w:tc>
          <w:tcPr>
            <w:tcW w:w="3118" w:type="dxa"/>
          </w:tcPr>
          <w:p w14:paraId="109CFA46" w14:textId="4F595433" w:rsidR="003D7F31" w:rsidRPr="003555C2" w:rsidRDefault="003D7F31" w:rsidP="003D7F31">
            <w:pPr>
              <w:pStyle w:val="a4"/>
              <w:rPr>
                <w:rFonts w:ascii="Times New Roman" w:hAnsi="Times New Roman" w:cs="Times New Roman"/>
              </w:rPr>
            </w:pPr>
            <w:r w:rsidRPr="003D7F31">
              <w:rPr>
                <w:rFonts w:ascii="Times New Roman" w:hAnsi="Times New Roman" w:cs="Times New Roman"/>
              </w:rPr>
              <w:t>Topographically constrained, clustered development</w:t>
            </w:r>
          </w:p>
        </w:tc>
      </w:tr>
      <w:tr w:rsidR="003D7F31" w:rsidRPr="003555C2" w14:paraId="7B977B38" w14:textId="77777777" w:rsidTr="003D7F31">
        <w:trPr>
          <w:jc w:val="center"/>
        </w:trPr>
        <w:tc>
          <w:tcPr>
            <w:tcW w:w="616" w:type="dxa"/>
          </w:tcPr>
          <w:p w14:paraId="5CA1EC84" w14:textId="77777777" w:rsidR="003D7F31" w:rsidRPr="003555C2" w:rsidRDefault="003D7F31" w:rsidP="003D7F31">
            <w:pPr>
              <w:pStyle w:val="a4"/>
              <w:rPr>
                <w:rFonts w:ascii="Times New Roman" w:hAnsi="Times New Roman" w:cs="Times New Roman"/>
              </w:rPr>
            </w:pPr>
            <w:r w:rsidRPr="003555C2">
              <w:rPr>
                <w:rFonts w:ascii="Times New Roman" w:hAnsi="Times New Roman" w:cs="Times New Roman"/>
              </w:rPr>
              <w:t>4</w:t>
            </w:r>
          </w:p>
        </w:tc>
        <w:tc>
          <w:tcPr>
            <w:tcW w:w="1363" w:type="dxa"/>
          </w:tcPr>
          <w:p w14:paraId="4AFB7312" w14:textId="7B898D44" w:rsidR="003D7F31" w:rsidRPr="003555C2" w:rsidRDefault="003D7F31" w:rsidP="003D7F31">
            <w:pPr>
              <w:pStyle w:val="a4"/>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old</w:t>
            </w:r>
          </w:p>
        </w:tc>
        <w:tc>
          <w:tcPr>
            <w:tcW w:w="1038" w:type="dxa"/>
          </w:tcPr>
          <w:p w14:paraId="2B7A61B1" w14:textId="13CB9F03" w:rsidR="003D7F31" w:rsidRPr="003555C2" w:rsidRDefault="003D7F31" w:rsidP="003D7F31">
            <w:pPr>
              <w:pStyle w:val="a4"/>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anzhou</w:t>
            </w:r>
          </w:p>
        </w:tc>
        <w:tc>
          <w:tcPr>
            <w:tcW w:w="2365" w:type="dxa"/>
          </w:tcPr>
          <w:p w14:paraId="11028936" w14:textId="4AAE1392" w:rsidR="003D7F31" w:rsidRPr="003555C2" w:rsidRDefault="003D7F31" w:rsidP="003D7F31">
            <w:pPr>
              <w:pStyle w:val="a4"/>
              <w:rPr>
                <w:rFonts w:ascii="Times New Roman" w:hAnsi="Times New Roman" w:cs="Times New Roman"/>
              </w:rPr>
            </w:pPr>
            <w:r w:rsidRPr="003555C2">
              <w:rPr>
                <w:rFonts w:ascii="Times New Roman" w:hAnsi="Times New Roman" w:cs="Times New Roman"/>
              </w:rPr>
              <w:t xml:space="preserve">Linear Valley </w:t>
            </w:r>
            <w:r w:rsidR="003E47DB">
              <w:rPr>
                <w:rFonts w:ascii="Times New Roman" w:hAnsi="Times New Roman" w:cs="Times New Roman"/>
              </w:rPr>
              <w:t>C</w:t>
            </w:r>
            <w:r w:rsidRPr="003555C2">
              <w:rPr>
                <w:rFonts w:ascii="Times New Roman" w:hAnsi="Times New Roman" w:cs="Times New Roman"/>
              </w:rPr>
              <w:t>ity</w:t>
            </w:r>
          </w:p>
        </w:tc>
        <w:tc>
          <w:tcPr>
            <w:tcW w:w="3118" w:type="dxa"/>
          </w:tcPr>
          <w:p w14:paraId="2956A227" w14:textId="280279D8" w:rsidR="003D7F31" w:rsidRPr="003555C2" w:rsidRDefault="003D7F31" w:rsidP="003D7F31">
            <w:pPr>
              <w:pStyle w:val="a4"/>
              <w:rPr>
                <w:rFonts w:ascii="Times New Roman" w:hAnsi="Times New Roman" w:cs="Times New Roman"/>
              </w:rPr>
            </w:pPr>
            <w:r w:rsidRPr="003D7F31">
              <w:rPr>
                <w:rFonts w:ascii="Times New Roman" w:hAnsi="Times New Roman" w:cs="Times New Roman"/>
              </w:rPr>
              <w:t>Low-density linear expansion along river valley, high floor area ratio</w:t>
            </w:r>
          </w:p>
        </w:tc>
      </w:tr>
      <w:tr w:rsidR="003D7F31" w:rsidRPr="003555C2" w14:paraId="12D130C9" w14:textId="77777777" w:rsidTr="003D7F31">
        <w:trPr>
          <w:jc w:val="center"/>
        </w:trPr>
        <w:tc>
          <w:tcPr>
            <w:tcW w:w="616" w:type="dxa"/>
          </w:tcPr>
          <w:p w14:paraId="7D5F175D" w14:textId="77777777" w:rsidR="003D7F31" w:rsidRPr="003555C2" w:rsidRDefault="003D7F31" w:rsidP="003D7F31">
            <w:pPr>
              <w:pStyle w:val="a4"/>
              <w:rPr>
                <w:rFonts w:ascii="Times New Roman" w:hAnsi="Times New Roman" w:cs="Times New Roman"/>
              </w:rPr>
            </w:pPr>
            <w:r w:rsidRPr="003555C2">
              <w:rPr>
                <w:rFonts w:ascii="Times New Roman" w:hAnsi="Times New Roman" w:cs="Times New Roman"/>
              </w:rPr>
              <w:t>5</w:t>
            </w:r>
          </w:p>
        </w:tc>
        <w:tc>
          <w:tcPr>
            <w:tcW w:w="1363" w:type="dxa"/>
          </w:tcPr>
          <w:p w14:paraId="44104D16" w14:textId="4921CB93" w:rsidR="003D7F31" w:rsidRPr="003555C2" w:rsidRDefault="003D7F31" w:rsidP="003D7F31">
            <w:pPr>
              <w:pStyle w:val="a4"/>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evere cold</w:t>
            </w:r>
          </w:p>
        </w:tc>
        <w:tc>
          <w:tcPr>
            <w:tcW w:w="1038" w:type="dxa"/>
          </w:tcPr>
          <w:p w14:paraId="406A1A09" w14:textId="4E1806FA" w:rsidR="003D7F31" w:rsidRPr="003555C2" w:rsidRDefault="003D7F31" w:rsidP="003D7F31">
            <w:pPr>
              <w:pStyle w:val="a4"/>
              <w:rPr>
                <w:rFonts w:ascii="Times New Roman" w:hAnsi="Times New Roman" w:cs="Times New Roman"/>
              </w:rPr>
            </w:pPr>
            <w:r>
              <w:rPr>
                <w:rFonts w:ascii="Times New Roman" w:hAnsi="Times New Roman" w:cs="Times New Roman" w:hint="eastAsia"/>
              </w:rPr>
              <w:t>D</w:t>
            </w:r>
            <w:r>
              <w:rPr>
                <w:rFonts w:ascii="Times New Roman" w:hAnsi="Times New Roman" w:cs="Times New Roman"/>
              </w:rPr>
              <w:t>aqing</w:t>
            </w:r>
          </w:p>
        </w:tc>
        <w:tc>
          <w:tcPr>
            <w:tcW w:w="2365" w:type="dxa"/>
          </w:tcPr>
          <w:p w14:paraId="4175AB54" w14:textId="77777777" w:rsidR="003D7F31" w:rsidRPr="003555C2" w:rsidRDefault="003D7F31" w:rsidP="003D7F31">
            <w:pPr>
              <w:pStyle w:val="a4"/>
              <w:rPr>
                <w:rFonts w:ascii="Times New Roman" w:hAnsi="Times New Roman" w:cs="Times New Roman"/>
              </w:rPr>
            </w:pPr>
            <w:r w:rsidRPr="003555C2">
              <w:rPr>
                <w:rFonts w:ascii="Times New Roman" w:hAnsi="Times New Roman" w:cs="Times New Roman"/>
              </w:rPr>
              <w:t>Resource-based Dispersed City</w:t>
            </w:r>
          </w:p>
        </w:tc>
        <w:tc>
          <w:tcPr>
            <w:tcW w:w="3118" w:type="dxa"/>
          </w:tcPr>
          <w:p w14:paraId="5A3A8A1C" w14:textId="53EC96B4" w:rsidR="003D7F31" w:rsidRPr="003555C2" w:rsidRDefault="003D7F31" w:rsidP="003D7F31">
            <w:pPr>
              <w:pStyle w:val="a4"/>
              <w:rPr>
                <w:rFonts w:ascii="Times New Roman" w:hAnsi="Times New Roman" w:cs="Times New Roman"/>
              </w:rPr>
            </w:pPr>
            <w:r w:rsidRPr="003D7F31">
              <w:rPr>
                <w:rFonts w:ascii="Times New Roman" w:hAnsi="Times New Roman" w:cs="Times New Roman"/>
              </w:rPr>
              <w:t>Ultra-low density, resource-driven dispersed distribution</w:t>
            </w:r>
          </w:p>
        </w:tc>
      </w:tr>
    </w:tbl>
    <w:p w14:paraId="1B11EBE8" w14:textId="77777777" w:rsidR="003D7F31" w:rsidRDefault="003D7F31">
      <w:pPr>
        <w:rPr>
          <w:rFonts w:ascii="Times New Roman" w:hAnsi="Times New Roman" w:cs="Times New Roman"/>
          <w:noProof/>
          <w:sz w:val="20"/>
          <w:szCs w:val="40"/>
        </w:rPr>
      </w:pPr>
    </w:p>
    <w:p w14:paraId="1793B36E" w14:textId="77777777" w:rsidR="003D7F31" w:rsidRDefault="003D7F31">
      <w:pPr>
        <w:rPr>
          <w:rFonts w:ascii="Times New Roman" w:hAnsi="Times New Roman" w:cs="Times New Roman"/>
          <w:noProof/>
          <w:sz w:val="20"/>
          <w:szCs w:val="40"/>
        </w:rPr>
      </w:pPr>
    </w:p>
    <w:p w14:paraId="66D2C135" w14:textId="77777777" w:rsidR="003D7F31" w:rsidRDefault="003D7F31">
      <w:pPr>
        <w:rPr>
          <w:rFonts w:ascii="Times New Roman" w:hAnsi="Times New Roman" w:cs="Times New Roman"/>
          <w:noProof/>
          <w:sz w:val="20"/>
          <w:szCs w:val="40"/>
        </w:rPr>
      </w:pPr>
    </w:p>
    <w:p w14:paraId="5F14E015" w14:textId="77777777" w:rsidR="003D7F31" w:rsidRDefault="003D7F31">
      <w:pPr>
        <w:rPr>
          <w:rFonts w:ascii="Times New Roman" w:hAnsi="Times New Roman" w:cs="Times New Roman"/>
          <w:noProof/>
          <w:sz w:val="20"/>
          <w:szCs w:val="40"/>
        </w:rPr>
      </w:pPr>
    </w:p>
    <w:p w14:paraId="01B462F3" w14:textId="77777777" w:rsidR="003D7F31" w:rsidRDefault="003D7F31">
      <w:pPr>
        <w:rPr>
          <w:rFonts w:ascii="Times New Roman" w:hAnsi="Times New Roman" w:cs="Times New Roman"/>
          <w:noProof/>
          <w:sz w:val="20"/>
          <w:szCs w:val="40"/>
        </w:rPr>
      </w:pPr>
    </w:p>
    <w:p w14:paraId="66DA1DD4" w14:textId="77777777" w:rsidR="003D7F31" w:rsidRDefault="003D7F31">
      <w:pPr>
        <w:rPr>
          <w:rFonts w:ascii="Times New Roman" w:hAnsi="Times New Roman" w:cs="Times New Roman"/>
          <w:noProof/>
          <w:sz w:val="20"/>
          <w:szCs w:val="40"/>
        </w:rPr>
      </w:pPr>
    </w:p>
    <w:p w14:paraId="09F8A424" w14:textId="77777777" w:rsidR="003D7F31" w:rsidRDefault="003D7F31">
      <w:pPr>
        <w:rPr>
          <w:rFonts w:ascii="Times New Roman" w:hAnsi="Times New Roman" w:cs="Times New Roman"/>
          <w:noProof/>
          <w:sz w:val="20"/>
          <w:szCs w:val="40"/>
        </w:rPr>
      </w:pPr>
    </w:p>
    <w:p w14:paraId="60864149" w14:textId="77777777" w:rsidR="003D7F31" w:rsidRDefault="003D7F31">
      <w:pPr>
        <w:rPr>
          <w:rFonts w:ascii="Times New Roman" w:hAnsi="Times New Roman" w:cs="Times New Roman"/>
          <w:noProof/>
          <w:sz w:val="20"/>
          <w:szCs w:val="40"/>
        </w:rPr>
      </w:pPr>
    </w:p>
    <w:p w14:paraId="61016784" w14:textId="77777777" w:rsidR="003D7F31" w:rsidRDefault="003D7F31">
      <w:pPr>
        <w:rPr>
          <w:rFonts w:ascii="Times New Roman" w:hAnsi="Times New Roman" w:cs="Times New Roman"/>
          <w:noProof/>
          <w:sz w:val="20"/>
          <w:szCs w:val="40"/>
        </w:rPr>
      </w:pPr>
    </w:p>
    <w:p w14:paraId="5B0AAE2A" w14:textId="77777777" w:rsidR="003D7F31" w:rsidRDefault="003D7F31">
      <w:pPr>
        <w:rPr>
          <w:rFonts w:ascii="Times New Roman" w:hAnsi="Times New Roman" w:cs="Times New Roman"/>
          <w:noProof/>
          <w:sz w:val="20"/>
          <w:szCs w:val="40"/>
        </w:rPr>
      </w:pPr>
    </w:p>
    <w:p w14:paraId="7C0D5534" w14:textId="77777777" w:rsidR="003D7F31" w:rsidRDefault="003D7F31">
      <w:pPr>
        <w:rPr>
          <w:rFonts w:ascii="Times New Roman" w:hAnsi="Times New Roman" w:cs="Times New Roman"/>
          <w:noProof/>
          <w:sz w:val="20"/>
          <w:szCs w:val="40"/>
        </w:rPr>
      </w:pPr>
    </w:p>
    <w:p w14:paraId="2EF09DF3" w14:textId="77777777" w:rsidR="003D7F31" w:rsidRDefault="003D7F31">
      <w:pPr>
        <w:rPr>
          <w:rFonts w:ascii="Times New Roman" w:hAnsi="Times New Roman" w:cs="Times New Roman"/>
          <w:noProof/>
          <w:sz w:val="20"/>
          <w:szCs w:val="40"/>
        </w:rPr>
      </w:pPr>
    </w:p>
    <w:p w14:paraId="6CB57726" w14:textId="77777777" w:rsidR="003D7F31" w:rsidRDefault="003D7F31">
      <w:pPr>
        <w:rPr>
          <w:rFonts w:ascii="Times New Roman" w:hAnsi="Times New Roman" w:cs="Times New Roman"/>
          <w:noProof/>
          <w:sz w:val="20"/>
          <w:szCs w:val="40"/>
        </w:rPr>
      </w:pPr>
    </w:p>
    <w:p w14:paraId="4F6347E5" w14:textId="77777777" w:rsidR="003D7F31" w:rsidRDefault="003D7F31">
      <w:pPr>
        <w:rPr>
          <w:rFonts w:ascii="Times New Roman" w:hAnsi="Times New Roman" w:cs="Times New Roman"/>
          <w:noProof/>
          <w:sz w:val="20"/>
          <w:szCs w:val="40"/>
        </w:rPr>
      </w:pPr>
    </w:p>
    <w:p w14:paraId="167FF09B" w14:textId="77777777" w:rsidR="003D7F31" w:rsidRDefault="003D7F31">
      <w:pPr>
        <w:rPr>
          <w:rFonts w:ascii="Times New Roman" w:hAnsi="Times New Roman" w:cs="Times New Roman"/>
          <w:noProof/>
          <w:sz w:val="20"/>
          <w:szCs w:val="40"/>
        </w:rPr>
      </w:pPr>
    </w:p>
    <w:p w14:paraId="7B5CD5F0" w14:textId="77777777" w:rsidR="003D7F31" w:rsidRDefault="003D7F31">
      <w:pPr>
        <w:rPr>
          <w:rFonts w:ascii="Times New Roman" w:hAnsi="Times New Roman" w:cs="Times New Roman"/>
          <w:noProof/>
          <w:sz w:val="20"/>
          <w:szCs w:val="40"/>
        </w:rPr>
      </w:pPr>
    </w:p>
    <w:p w14:paraId="10085138" w14:textId="77777777" w:rsidR="003D7F31" w:rsidRDefault="003D7F31">
      <w:pPr>
        <w:rPr>
          <w:rFonts w:ascii="Times New Roman" w:hAnsi="Times New Roman" w:cs="Times New Roman"/>
          <w:noProof/>
          <w:sz w:val="20"/>
          <w:szCs w:val="40"/>
        </w:rPr>
      </w:pPr>
    </w:p>
    <w:p w14:paraId="3B102F6C" w14:textId="77777777" w:rsidR="003D7F31" w:rsidRDefault="003D7F31">
      <w:pPr>
        <w:rPr>
          <w:rFonts w:ascii="Times New Roman" w:hAnsi="Times New Roman" w:cs="Times New Roman"/>
          <w:noProof/>
          <w:sz w:val="20"/>
          <w:szCs w:val="40"/>
        </w:rPr>
      </w:pPr>
    </w:p>
    <w:p w14:paraId="1196023F" w14:textId="77777777" w:rsidR="003D7F31" w:rsidRDefault="003D7F31">
      <w:pPr>
        <w:rPr>
          <w:rFonts w:ascii="Times New Roman" w:hAnsi="Times New Roman" w:cs="Times New Roman"/>
          <w:noProof/>
          <w:sz w:val="20"/>
          <w:szCs w:val="40"/>
        </w:rPr>
        <w:sectPr w:rsidR="003D7F31" w:rsidSect="00075C9A">
          <w:footerReference w:type="default" r:id="rId10"/>
          <w:pgSz w:w="11906" w:h="16838"/>
          <w:pgMar w:top="1440" w:right="1800" w:bottom="1440" w:left="1800" w:header="851" w:footer="992" w:gutter="0"/>
          <w:lnNumType w:countBy="1" w:restart="continuous"/>
          <w:cols w:space="425"/>
          <w:docGrid w:type="lines" w:linePitch="312"/>
        </w:sectPr>
      </w:pPr>
    </w:p>
    <w:p w14:paraId="0BB0C7BD" w14:textId="12C2CDE2" w:rsidR="003D7F31" w:rsidRPr="003555C2" w:rsidRDefault="003D7F31" w:rsidP="003D7F31">
      <w:pPr>
        <w:pStyle w:val="a6"/>
        <w:rPr>
          <w:rFonts w:cs="Times New Roman"/>
        </w:rPr>
      </w:pPr>
      <w:r>
        <w:rPr>
          <w:rFonts w:cs="Times New Roman"/>
        </w:rPr>
        <w:lastRenderedPageBreak/>
        <w:t xml:space="preserve">Supplementary </w:t>
      </w:r>
      <w:r w:rsidRPr="00E7263E">
        <w:rPr>
          <w:rFonts w:cs="Times New Roman"/>
        </w:rPr>
        <w:t xml:space="preserve">Table </w:t>
      </w:r>
      <w:r w:rsidR="00A759DD">
        <w:rPr>
          <w:rFonts w:cs="Times New Roman"/>
        </w:rPr>
        <w:t>3</w:t>
      </w:r>
      <w:r>
        <w:rPr>
          <w:rFonts w:cs="Times New Roman"/>
        </w:rPr>
        <w:t xml:space="preserve"> |</w:t>
      </w:r>
      <w:r w:rsidRPr="00E7263E">
        <w:rPr>
          <w:rFonts w:cs="Times New Roman"/>
        </w:rPr>
        <w:t xml:space="preserve"> Sectoral Disaggregation and Matching Methodology Based on Energy Balance Table</w:t>
      </w:r>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805"/>
        <w:gridCol w:w="3267"/>
        <w:gridCol w:w="2474"/>
        <w:gridCol w:w="2126"/>
        <w:gridCol w:w="1985"/>
        <w:gridCol w:w="1559"/>
      </w:tblGrid>
      <w:tr w:rsidR="003D7F31" w:rsidRPr="003555C2" w14:paraId="4CFC2731" w14:textId="77777777" w:rsidTr="002E5328">
        <w:trPr>
          <w:trHeight w:val="576"/>
          <w:jc w:val="center"/>
        </w:trPr>
        <w:tc>
          <w:tcPr>
            <w:tcW w:w="671" w:type="dxa"/>
            <w:vAlign w:val="center"/>
          </w:tcPr>
          <w:p w14:paraId="17EB55EF" w14:textId="77777777" w:rsidR="003D7F31" w:rsidRPr="003555C2" w:rsidRDefault="003D7F31" w:rsidP="002E5328">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N</w:t>
            </w:r>
            <w:r>
              <w:rPr>
                <w:rFonts w:ascii="Times New Roman" w:eastAsia="宋体" w:hAnsi="Times New Roman" w:cs="Times New Roman"/>
                <w:b/>
                <w:bCs/>
                <w:szCs w:val="21"/>
              </w:rPr>
              <w:t>O.</w:t>
            </w:r>
          </w:p>
        </w:tc>
        <w:tc>
          <w:tcPr>
            <w:tcW w:w="1805" w:type="dxa"/>
            <w:vAlign w:val="center"/>
          </w:tcPr>
          <w:p w14:paraId="3A4C751C" w14:textId="77777777" w:rsidR="003D7F31" w:rsidRPr="003555C2" w:rsidRDefault="003D7F31" w:rsidP="002E5328">
            <w:pPr>
              <w:jc w:val="center"/>
              <w:rPr>
                <w:rFonts w:ascii="Times New Roman" w:eastAsia="宋体" w:hAnsi="Times New Roman" w:cs="Times New Roman"/>
                <w:b/>
                <w:bCs/>
                <w:szCs w:val="21"/>
              </w:rPr>
            </w:pPr>
            <w:r w:rsidRPr="00B220E6">
              <w:rPr>
                <w:rFonts w:ascii="Times New Roman" w:eastAsia="宋体" w:hAnsi="Times New Roman" w:cs="Times New Roman"/>
                <w:b/>
                <w:bCs/>
                <w:szCs w:val="21"/>
              </w:rPr>
              <w:t>Energy Balance Table Sector</w:t>
            </w:r>
          </w:p>
        </w:tc>
        <w:tc>
          <w:tcPr>
            <w:tcW w:w="3267" w:type="dxa"/>
            <w:vAlign w:val="center"/>
          </w:tcPr>
          <w:p w14:paraId="2235915C" w14:textId="77777777" w:rsidR="003D7F31" w:rsidRPr="003555C2" w:rsidRDefault="003D7F31" w:rsidP="002E5328">
            <w:pPr>
              <w:jc w:val="center"/>
              <w:rPr>
                <w:rFonts w:ascii="Times New Roman" w:eastAsia="宋体" w:hAnsi="Times New Roman" w:cs="Times New Roman"/>
                <w:b/>
                <w:bCs/>
                <w:szCs w:val="21"/>
              </w:rPr>
            </w:pPr>
            <w:r w:rsidRPr="00B220E6">
              <w:rPr>
                <w:rFonts w:ascii="Times New Roman" w:eastAsia="宋体" w:hAnsi="Times New Roman" w:cs="Times New Roman"/>
                <w:b/>
                <w:bCs/>
                <w:szCs w:val="21"/>
              </w:rPr>
              <w:t>Statistical Coverage</w:t>
            </w:r>
          </w:p>
        </w:tc>
        <w:tc>
          <w:tcPr>
            <w:tcW w:w="2474" w:type="dxa"/>
            <w:vAlign w:val="center"/>
          </w:tcPr>
          <w:p w14:paraId="7C163642" w14:textId="77777777" w:rsidR="003D7F31" w:rsidRPr="003555C2" w:rsidRDefault="003D7F31" w:rsidP="002E5328">
            <w:pPr>
              <w:jc w:val="center"/>
              <w:rPr>
                <w:rFonts w:ascii="Times New Roman" w:eastAsia="宋体" w:hAnsi="Times New Roman" w:cs="Times New Roman"/>
                <w:b/>
                <w:bCs/>
                <w:szCs w:val="21"/>
              </w:rPr>
            </w:pPr>
            <w:r w:rsidRPr="00B220E6">
              <w:rPr>
                <w:rFonts w:ascii="Times New Roman" w:eastAsia="宋体" w:hAnsi="Times New Roman" w:cs="Times New Roman"/>
                <w:b/>
                <w:bCs/>
                <w:szCs w:val="21"/>
              </w:rPr>
              <w:t>Building Energy Consumption</w:t>
            </w:r>
          </w:p>
        </w:tc>
        <w:tc>
          <w:tcPr>
            <w:tcW w:w="2126" w:type="dxa"/>
            <w:vAlign w:val="center"/>
          </w:tcPr>
          <w:p w14:paraId="7B2C78E2" w14:textId="77777777" w:rsidR="003D7F31" w:rsidRPr="003555C2" w:rsidRDefault="003D7F31" w:rsidP="002E5328">
            <w:pPr>
              <w:jc w:val="center"/>
              <w:rPr>
                <w:rFonts w:ascii="Times New Roman" w:eastAsia="宋体" w:hAnsi="Times New Roman" w:cs="Times New Roman"/>
                <w:b/>
                <w:bCs/>
                <w:szCs w:val="21"/>
              </w:rPr>
            </w:pPr>
            <w:r w:rsidRPr="00B220E6">
              <w:rPr>
                <w:rFonts w:ascii="Times New Roman" w:eastAsia="宋体" w:hAnsi="Times New Roman" w:cs="Times New Roman"/>
                <w:b/>
                <w:bCs/>
                <w:szCs w:val="21"/>
              </w:rPr>
              <w:t>Included in This Study?</w:t>
            </w:r>
          </w:p>
        </w:tc>
        <w:tc>
          <w:tcPr>
            <w:tcW w:w="1985" w:type="dxa"/>
            <w:vAlign w:val="center"/>
          </w:tcPr>
          <w:p w14:paraId="7426807E" w14:textId="77777777" w:rsidR="003D7F31" w:rsidRPr="003555C2" w:rsidRDefault="003D7F31" w:rsidP="002E5328">
            <w:pPr>
              <w:jc w:val="center"/>
              <w:rPr>
                <w:rFonts w:ascii="Times New Roman" w:eastAsia="宋体" w:hAnsi="Times New Roman" w:cs="Times New Roman"/>
                <w:b/>
                <w:bCs/>
                <w:szCs w:val="21"/>
              </w:rPr>
            </w:pPr>
            <w:r w:rsidRPr="00B220E6">
              <w:rPr>
                <w:rFonts w:ascii="Times New Roman" w:eastAsia="宋体" w:hAnsi="Times New Roman" w:cs="Times New Roman"/>
                <w:b/>
                <w:bCs/>
                <w:szCs w:val="21"/>
              </w:rPr>
              <w:t>Building Type</w:t>
            </w:r>
          </w:p>
        </w:tc>
        <w:tc>
          <w:tcPr>
            <w:tcW w:w="1559" w:type="dxa"/>
            <w:vAlign w:val="center"/>
          </w:tcPr>
          <w:p w14:paraId="041C4E80" w14:textId="77777777" w:rsidR="003D7F31" w:rsidRPr="003555C2" w:rsidRDefault="003D7F31" w:rsidP="002E5328">
            <w:pPr>
              <w:jc w:val="center"/>
              <w:rPr>
                <w:rFonts w:ascii="Times New Roman" w:eastAsia="宋体" w:hAnsi="Times New Roman" w:cs="Times New Roman"/>
                <w:b/>
                <w:bCs/>
                <w:szCs w:val="21"/>
              </w:rPr>
            </w:pPr>
            <w:r w:rsidRPr="00B220E6">
              <w:rPr>
                <w:rFonts w:ascii="Times New Roman" w:eastAsia="宋体" w:hAnsi="Times New Roman" w:cs="Times New Roman"/>
                <w:b/>
                <w:bCs/>
                <w:szCs w:val="21"/>
              </w:rPr>
              <w:t>Excluded Energy Types</w:t>
            </w:r>
          </w:p>
        </w:tc>
      </w:tr>
      <w:tr w:rsidR="003D7F31" w:rsidRPr="003224C7" w14:paraId="4D9D212E" w14:textId="77777777" w:rsidTr="002E5328">
        <w:trPr>
          <w:trHeight w:val="564"/>
          <w:jc w:val="center"/>
        </w:trPr>
        <w:tc>
          <w:tcPr>
            <w:tcW w:w="671" w:type="dxa"/>
            <w:vAlign w:val="center"/>
          </w:tcPr>
          <w:p w14:paraId="00786077"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宋体" w:eastAsia="宋体" w:hAnsi="宋体" w:cs="宋体" w:hint="eastAsia"/>
                <w:sz w:val="18"/>
                <w:szCs w:val="18"/>
              </w:rPr>
              <w:t>①</w:t>
            </w:r>
          </w:p>
        </w:tc>
        <w:tc>
          <w:tcPr>
            <w:tcW w:w="1805" w:type="dxa"/>
            <w:vAlign w:val="center"/>
          </w:tcPr>
          <w:p w14:paraId="25196AA8"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Agriculture, Forestry, Animal Husbandry, and Fishery</w:t>
            </w:r>
          </w:p>
        </w:tc>
        <w:tc>
          <w:tcPr>
            <w:tcW w:w="3267" w:type="dxa"/>
            <w:vAlign w:val="center"/>
          </w:tcPr>
          <w:p w14:paraId="5B1D7610"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Primary industry energy use</w:t>
            </w:r>
          </w:p>
        </w:tc>
        <w:tc>
          <w:tcPr>
            <w:tcW w:w="2474" w:type="dxa"/>
            <w:vAlign w:val="center"/>
          </w:tcPr>
          <w:p w14:paraId="144730A6"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Does not include building energy use</w:t>
            </w:r>
          </w:p>
        </w:tc>
        <w:tc>
          <w:tcPr>
            <w:tcW w:w="2126" w:type="dxa"/>
            <w:vAlign w:val="center"/>
          </w:tcPr>
          <w:p w14:paraId="0A221099"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hint="eastAsia"/>
                <w:sz w:val="18"/>
                <w:szCs w:val="18"/>
              </w:rPr>
              <w:t>N</w:t>
            </w:r>
            <w:r w:rsidRPr="003224C7">
              <w:rPr>
                <w:rFonts w:ascii="Times New Roman" w:eastAsia="宋体" w:hAnsi="Times New Roman" w:cs="Times New Roman"/>
                <w:sz w:val="18"/>
                <w:szCs w:val="18"/>
              </w:rPr>
              <w:t>o</w:t>
            </w:r>
          </w:p>
        </w:tc>
        <w:tc>
          <w:tcPr>
            <w:tcW w:w="1985" w:type="dxa"/>
            <w:vAlign w:val="center"/>
          </w:tcPr>
          <w:p w14:paraId="57E36B36"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hint="eastAsia"/>
                <w:sz w:val="18"/>
                <w:szCs w:val="18"/>
              </w:rPr>
              <w:t>—</w:t>
            </w:r>
          </w:p>
        </w:tc>
        <w:tc>
          <w:tcPr>
            <w:tcW w:w="1559" w:type="dxa"/>
            <w:noWrap/>
            <w:vAlign w:val="center"/>
          </w:tcPr>
          <w:p w14:paraId="4A94E835"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hint="eastAsia"/>
                <w:sz w:val="18"/>
                <w:szCs w:val="18"/>
              </w:rPr>
              <w:t>—</w:t>
            </w:r>
          </w:p>
        </w:tc>
      </w:tr>
      <w:tr w:rsidR="003D7F31" w:rsidRPr="003224C7" w14:paraId="3580C883" w14:textId="77777777" w:rsidTr="002E5328">
        <w:trPr>
          <w:trHeight w:val="552"/>
          <w:jc w:val="center"/>
        </w:trPr>
        <w:tc>
          <w:tcPr>
            <w:tcW w:w="671" w:type="dxa"/>
            <w:vAlign w:val="center"/>
          </w:tcPr>
          <w:p w14:paraId="200EB914"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宋体" w:eastAsia="宋体" w:hAnsi="宋体" w:cs="宋体" w:hint="eastAsia"/>
                <w:sz w:val="18"/>
                <w:szCs w:val="18"/>
              </w:rPr>
              <w:t>②</w:t>
            </w:r>
          </w:p>
        </w:tc>
        <w:tc>
          <w:tcPr>
            <w:tcW w:w="1805" w:type="dxa"/>
            <w:vAlign w:val="center"/>
          </w:tcPr>
          <w:p w14:paraId="6FDF0629"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Industry</w:t>
            </w:r>
          </w:p>
        </w:tc>
        <w:tc>
          <w:tcPr>
            <w:tcW w:w="3267" w:type="dxa"/>
            <w:vAlign w:val="center"/>
          </w:tcPr>
          <w:p w14:paraId="59FC4130"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Secondary industry energy use, including mining, manufacturing, and public utility production and supply</w:t>
            </w:r>
          </w:p>
        </w:tc>
        <w:tc>
          <w:tcPr>
            <w:tcW w:w="2474" w:type="dxa"/>
            <w:vAlign w:val="center"/>
          </w:tcPr>
          <w:p w14:paraId="3D5DB6AA"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Includes building energy use (e.g., office buildings, staff dormitories)</w:t>
            </w:r>
          </w:p>
        </w:tc>
        <w:tc>
          <w:tcPr>
            <w:tcW w:w="2126" w:type="dxa"/>
            <w:vAlign w:val="center"/>
          </w:tcPr>
          <w:p w14:paraId="4F3564A2"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Yes (excluding mining-related sectors)</w:t>
            </w:r>
            <w:r w:rsidRPr="003224C7">
              <w:rPr>
                <w:rFonts w:ascii="Times New Roman" w:eastAsia="宋体" w:hAnsi="Times New Roman" w:cs="Times New Roman"/>
                <w:sz w:val="18"/>
                <w:szCs w:val="18"/>
              </w:rPr>
              <w:tab/>
            </w:r>
          </w:p>
        </w:tc>
        <w:tc>
          <w:tcPr>
            <w:tcW w:w="1985" w:type="dxa"/>
            <w:vAlign w:val="center"/>
          </w:tcPr>
          <w:p w14:paraId="4E6282A0"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Industrial buildings</w:t>
            </w:r>
          </w:p>
        </w:tc>
        <w:tc>
          <w:tcPr>
            <w:tcW w:w="1559" w:type="dxa"/>
            <w:noWrap/>
            <w:vAlign w:val="center"/>
          </w:tcPr>
          <w:p w14:paraId="343A23EB"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Exclude kerosene, gasoline, diesel, and fuel oil</w:t>
            </w:r>
          </w:p>
        </w:tc>
      </w:tr>
      <w:tr w:rsidR="003D7F31" w:rsidRPr="003224C7" w14:paraId="1FBCA95D" w14:textId="77777777" w:rsidTr="002E5328">
        <w:trPr>
          <w:trHeight w:val="564"/>
          <w:jc w:val="center"/>
        </w:trPr>
        <w:tc>
          <w:tcPr>
            <w:tcW w:w="671" w:type="dxa"/>
            <w:vAlign w:val="center"/>
          </w:tcPr>
          <w:p w14:paraId="289910C6"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宋体" w:eastAsia="宋体" w:hAnsi="宋体" w:cs="宋体" w:hint="eastAsia"/>
                <w:sz w:val="18"/>
                <w:szCs w:val="18"/>
              </w:rPr>
              <w:t>③</w:t>
            </w:r>
          </w:p>
        </w:tc>
        <w:tc>
          <w:tcPr>
            <w:tcW w:w="1805" w:type="dxa"/>
            <w:vAlign w:val="center"/>
          </w:tcPr>
          <w:p w14:paraId="132544D7"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Construction</w:t>
            </w:r>
          </w:p>
        </w:tc>
        <w:tc>
          <w:tcPr>
            <w:tcW w:w="3267" w:type="dxa"/>
            <w:vAlign w:val="center"/>
          </w:tcPr>
          <w:p w14:paraId="17CE9578"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Secondary industry energy use related to construction activities</w:t>
            </w:r>
          </w:p>
        </w:tc>
        <w:tc>
          <w:tcPr>
            <w:tcW w:w="2474" w:type="dxa"/>
            <w:vAlign w:val="center"/>
          </w:tcPr>
          <w:p w14:paraId="6B48DA42"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 xml:space="preserve">Similar to sector </w:t>
            </w:r>
            <w:r w:rsidRPr="003224C7">
              <w:rPr>
                <w:rFonts w:ascii="宋体" w:eastAsia="宋体" w:hAnsi="宋体" w:cs="宋体" w:hint="eastAsia"/>
                <w:sz w:val="18"/>
                <w:szCs w:val="18"/>
              </w:rPr>
              <w:t>②</w:t>
            </w:r>
          </w:p>
        </w:tc>
        <w:tc>
          <w:tcPr>
            <w:tcW w:w="2126" w:type="dxa"/>
            <w:vAlign w:val="center"/>
          </w:tcPr>
          <w:p w14:paraId="64EA029F"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hint="eastAsia"/>
                <w:sz w:val="18"/>
                <w:szCs w:val="18"/>
              </w:rPr>
              <w:t>No</w:t>
            </w:r>
          </w:p>
        </w:tc>
        <w:tc>
          <w:tcPr>
            <w:tcW w:w="1985" w:type="dxa"/>
            <w:vAlign w:val="center"/>
          </w:tcPr>
          <w:p w14:paraId="0073764A"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hint="eastAsia"/>
                <w:sz w:val="18"/>
                <w:szCs w:val="18"/>
              </w:rPr>
              <w:t>—</w:t>
            </w:r>
          </w:p>
        </w:tc>
        <w:tc>
          <w:tcPr>
            <w:tcW w:w="1559" w:type="dxa"/>
            <w:noWrap/>
            <w:vAlign w:val="center"/>
          </w:tcPr>
          <w:p w14:paraId="688DB744"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hint="eastAsia"/>
                <w:sz w:val="18"/>
                <w:szCs w:val="18"/>
              </w:rPr>
              <w:t>—</w:t>
            </w:r>
          </w:p>
        </w:tc>
      </w:tr>
      <w:tr w:rsidR="003D7F31" w:rsidRPr="003224C7" w14:paraId="106E7571" w14:textId="77777777" w:rsidTr="002E5328">
        <w:trPr>
          <w:trHeight w:val="828"/>
          <w:jc w:val="center"/>
        </w:trPr>
        <w:tc>
          <w:tcPr>
            <w:tcW w:w="671" w:type="dxa"/>
            <w:vAlign w:val="center"/>
          </w:tcPr>
          <w:p w14:paraId="23BA04D1"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宋体" w:eastAsia="宋体" w:hAnsi="宋体" w:cs="宋体" w:hint="eastAsia"/>
                <w:sz w:val="18"/>
                <w:szCs w:val="18"/>
              </w:rPr>
              <w:t>④</w:t>
            </w:r>
          </w:p>
        </w:tc>
        <w:tc>
          <w:tcPr>
            <w:tcW w:w="1805" w:type="dxa"/>
            <w:vAlign w:val="center"/>
          </w:tcPr>
          <w:p w14:paraId="325789F6"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Transportation, Warehousing, and Postal Services</w:t>
            </w:r>
          </w:p>
        </w:tc>
        <w:tc>
          <w:tcPr>
            <w:tcW w:w="3267" w:type="dxa"/>
            <w:vAlign w:val="center"/>
          </w:tcPr>
          <w:p w14:paraId="63547982"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Rail, road, waterway, air, pipeline, urban public transport, and related handling, storage, and postal services</w:t>
            </w:r>
          </w:p>
        </w:tc>
        <w:tc>
          <w:tcPr>
            <w:tcW w:w="2474" w:type="dxa"/>
            <w:vAlign w:val="center"/>
          </w:tcPr>
          <w:p w14:paraId="3AC65395"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Includes functional building energy use (e.g., stations, airports, post offices)</w:t>
            </w:r>
          </w:p>
        </w:tc>
        <w:tc>
          <w:tcPr>
            <w:tcW w:w="2126" w:type="dxa"/>
            <w:vAlign w:val="center"/>
          </w:tcPr>
          <w:p w14:paraId="65814F6C"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Yes (100% of coal consumption + 40% of electricity consumption)</w:t>
            </w:r>
          </w:p>
        </w:tc>
        <w:tc>
          <w:tcPr>
            <w:tcW w:w="1985" w:type="dxa"/>
            <w:shd w:val="clear" w:color="000000" w:fill="auto"/>
            <w:vAlign w:val="center"/>
          </w:tcPr>
          <w:p w14:paraId="2CD0C956"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Transportation/warehouse/postal buildings</w:t>
            </w:r>
          </w:p>
        </w:tc>
        <w:tc>
          <w:tcPr>
            <w:tcW w:w="1559" w:type="dxa"/>
            <w:vMerge w:val="restart"/>
            <w:vAlign w:val="center"/>
          </w:tcPr>
          <w:p w14:paraId="60C8BFAF"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Kerosene, gasoline, diesel, and fuel oil attributed to mobile emission sources</w:t>
            </w:r>
          </w:p>
        </w:tc>
      </w:tr>
      <w:tr w:rsidR="003D7F31" w:rsidRPr="003224C7" w14:paraId="3B8F01B8" w14:textId="77777777" w:rsidTr="002E5328">
        <w:trPr>
          <w:trHeight w:val="552"/>
          <w:jc w:val="center"/>
        </w:trPr>
        <w:tc>
          <w:tcPr>
            <w:tcW w:w="671" w:type="dxa"/>
            <w:vAlign w:val="center"/>
          </w:tcPr>
          <w:p w14:paraId="789C33DC"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宋体" w:eastAsia="宋体" w:hAnsi="宋体" w:cs="宋体" w:hint="eastAsia"/>
                <w:sz w:val="18"/>
                <w:szCs w:val="18"/>
              </w:rPr>
              <w:t>⑤</w:t>
            </w:r>
          </w:p>
        </w:tc>
        <w:tc>
          <w:tcPr>
            <w:tcW w:w="1805" w:type="dxa"/>
            <w:vAlign w:val="center"/>
          </w:tcPr>
          <w:p w14:paraId="1B7E6786"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Wholesale, Retail, Hotel, and Catering Services</w:t>
            </w:r>
          </w:p>
        </w:tc>
        <w:tc>
          <w:tcPr>
            <w:tcW w:w="3267" w:type="dxa"/>
            <w:vAlign w:val="center"/>
          </w:tcPr>
          <w:p w14:paraId="5B564908"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Tertiary industry dominated by service sectors</w:t>
            </w:r>
          </w:p>
        </w:tc>
        <w:tc>
          <w:tcPr>
            <w:tcW w:w="2474" w:type="dxa"/>
            <w:vAlign w:val="center"/>
          </w:tcPr>
          <w:p w14:paraId="183CB171"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Primarily building energy use, but includes transportation energy within the sector</w:t>
            </w:r>
          </w:p>
        </w:tc>
        <w:tc>
          <w:tcPr>
            <w:tcW w:w="2126" w:type="dxa"/>
            <w:vAlign w:val="center"/>
          </w:tcPr>
          <w:p w14:paraId="6B70075A"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hint="eastAsia"/>
                <w:sz w:val="18"/>
                <w:szCs w:val="18"/>
              </w:rPr>
              <w:t>Yes</w:t>
            </w:r>
          </w:p>
        </w:tc>
        <w:tc>
          <w:tcPr>
            <w:tcW w:w="1985" w:type="dxa"/>
            <w:shd w:val="clear" w:color="000000" w:fill="auto"/>
            <w:vAlign w:val="center"/>
          </w:tcPr>
          <w:p w14:paraId="43D6F697"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Wholesale/retail/hotel/catering buildings</w:t>
            </w:r>
          </w:p>
        </w:tc>
        <w:tc>
          <w:tcPr>
            <w:tcW w:w="1559" w:type="dxa"/>
            <w:vMerge/>
            <w:vAlign w:val="center"/>
          </w:tcPr>
          <w:p w14:paraId="28BED21A" w14:textId="77777777" w:rsidR="003D7F31" w:rsidRPr="003224C7" w:rsidRDefault="003D7F31" w:rsidP="002E5328">
            <w:pPr>
              <w:spacing w:line="280" w:lineRule="exact"/>
              <w:rPr>
                <w:rFonts w:ascii="Times New Roman" w:eastAsia="宋体" w:hAnsi="Times New Roman" w:cs="Times New Roman"/>
                <w:sz w:val="18"/>
                <w:szCs w:val="18"/>
              </w:rPr>
            </w:pPr>
          </w:p>
        </w:tc>
      </w:tr>
      <w:tr w:rsidR="003D7F31" w:rsidRPr="003224C7" w14:paraId="078F89C2" w14:textId="77777777" w:rsidTr="002E5328">
        <w:trPr>
          <w:trHeight w:val="552"/>
          <w:jc w:val="center"/>
        </w:trPr>
        <w:tc>
          <w:tcPr>
            <w:tcW w:w="671" w:type="dxa"/>
            <w:vAlign w:val="center"/>
          </w:tcPr>
          <w:p w14:paraId="7841B440"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宋体" w:eastAsia="宋体" w:hAnsi="宋体" w:cs="宋体" w:hint="eastAsia"/>
                <w:sz w:val="18"/>
                <w:szCs w:val="18"/>
              </w:rPr>
              <w:t>⑥</w:t>
            </w:r>
          </w:p>
        </w:tc>
        <w:tc>
          <w:tcPr>
            <w:tcW w:w="1805" w:type="dxa"/>
            <w:vAlign w:val="center"/>
          </w:tcPr>
          <w:p w14:paraId="0BACF53D"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hint="eastAsia"/>
                <w:sz w:val="18"/>
                <w:szCs w:val="18"/>
              </w:rPr>
              <w:t>O</w:t>
            </w:r>
            <w:r w:rsidRPr="003224C7">
              <w:rPr>
                <w:rFonts w:ascii="Times New Roman" w:eastAsia="宋体" w:hAnsi="Times New Roman" w:cs="Times New Roman"/>
                <w:sz w:val="18"/>
                <w:szCs w:val="18"/>
              </w:rPr>
              <w:t>thers</w:t>
            </w:r>
          </w:p>
        </w:tc>
        <w:tc>
          <w:tcPr>
            <w:tcW w:w="3267" w:type="dxa"/>
            <w:vAlign w:val="center"/>
          </w:tcPr>
          <w:p w14:paraId="0548CD8D"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 xml:space="preserve">Mainly covers other tertiary sectors beyond </w:t>
            </w:r>
            <w:r w:rsidRPr="003224C7">
              <w:rPr>
                <w:rFonts w:ascii="宋体" w:eastAsia="宋体" w:hAnsi="宋体" w:cs="宋体" w:hint="eastAsia"/>
                <w:sz w:val="18"/>
                <w:szCs w:val="18"/>
              </w:rPr>
              <w:t>④</w:t>
            </w:r>
            <w:r w:rsidRPr="003224C7">
              <w:rPr>
                <w:rFonts w:ascii="Times New Roman" w:eastAsia="宋体" w:hAnsi="Times New Roman" w:cs="Times New Roman"/>
                <w:sz w:val="18"/>
                <w:szCs w:val="18"/>
              </w:rPr>
              <w:t xml:space="preserve"> and </w:t>
            </w:r>
            <w:r w:rsidRPr="003224C7">
              <w:rPr>
                <w:rFonts w:ascii="宋体" w:eastAsia="宋体" w:hAnsi="宋体" w:cs="宋体" w:hint="eastAsia"/>
                <w:sz w:val="18"/>
                <w:szCs w:val="18"/>
              </w:rPr>
              <w:t>⑤</w:t>
            </w:r>
            <w:r w:rsidRPr="003224C7">
              <w:rPr>
                <w:rFonts w:ascii="Times New Roman" w:eastAsia="宋体" w:hAnsi="Times New Roman" w:cs="Times New Roman"/>
                <w:sz w:val="18"/>
                <w:szCs w:val="18"/>
              </w:rPr>
              <w:t>, including science/education/culture/health/sports and public administration</w:t>
            </w:r>
          </w:p>
        </w:tc>
        <w:tc>
          <w:tcPr>
            <w:tcW w:w="2474" w:type="dxa"/>
            <w:vAlign w:val="center"/>
          </w:tcPr>
          <w:p w14:paraId="55024A07"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Similar to sector</w:t>
            </w:r>
            <w:r w:rsidRPr="003224C7">
              <w:rPr>
                <w:rFonts w:ascii="宋体" w:eastAsia="宋体" w:hAnsi="宋体" w:cs="宋体" w:hint="eastAsia"/>
                <w:sz w:val="18"/>
                <w:szCs w:val="18"/>
              </w:rPr>
              <w:t>⑤</w:t>
            </w:r>
          </w:p>
        </w:tc>
        <w:tc>
          <w:tcPr>
            <w:tcW w:w="2126" w:type="dxa"/>
            <w:vAlign w:val="center"/>
          </w:tcPr>
          <w:p w14:paraId="53DEC409"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hint="eastAsia"/>
                <w:sz w:val="18"/>
                <w:szCs w:val="18"/>
              </w:rPr>
              <w:t>Y</w:t>
            </w:r>
            <w:r w:rsidRPr="003224C7">
              <w:rPr>
                <w:rFonts w:ascii="Times New Roman" w:eastAsia="宋体" w:hAnsi="Times New Roman" w:cs="Times New Roman"/>
                <w:sz w:val="18"/>
                <w:szCs w:val="18"/>
              </w:rPr>
              <w:t>es</w:t>
            </w:r>
          </w:p>
        </w:tc>
        <w:tc>
          <w:tcPr>
            <w:tcW w:w="1985" w:type="dxa"/>
            <w:shd w:val="clear" w:color="000000" w:fill="auto"/>
            <w:vAlign w:val="center"/>
          </w:tcPr>
          <w:p w14:paraId="241370C7"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Science/education/culture/health/sports buildings</w:t>
            </w:r>
          </w:p>
        </w:tc>
        <w:tc>
          <w:tcPr>
            <w:tcW w:w="1559" w:type="dxa"/>
            <w:vMerge/>
            <w:vAlign w:val="center"/>
          </w:tcPr>
          <w:p w14:paraId="18DA3E2A" w14:textId="77777777" w:rsidR="003D7F31" w:rsidRPr="003224C7" w:rsidRDefault="003D7F31" w:rsidP="002E5328">
            <w:pPr>
              <w:spacing w:line="280" w:lineRule="exact"/>
              <w:rPr>
                <w:rFonts w:ascii="Times New Roman" w:eastAsia="宋体" w:hAnsi="Times New Roman" w:cs="Times New Roman"/>
                <w:sz w:val="18"/>
                <w:szCs w:val="18"/>
              </w:rPr>
            </w:pPr>
          </w:p>
        </w:tc>
      </w:tr>
      <w:tr w:rsidR="003D7F31" w:rsidRPr="003224C7" w14:paraId="10F8031E" w14:textId="77777777" w:rsidTr="002E5328">
        <w:trPr>
          <w:trHeight w:val="288"/>
          <w:jc w:val="center"/>
        </w:trPr>
        <w:tc>
          <w:tcPr>
            <w:tcW w:w="671" w:type="dxa"/>
            <w:vAlign w:val="center"/>
          </w:tcPr>
          <w:p w14:paraId="28A4894E"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宋体" w:eastAsia="宋体" w:hAnsi="宋体" w:cs="宋体" w:hint="eastAsia"/>
                <w:sz w:val="18"/>
                <w:szCs w:val="18"/>
              </w:rPr>
              <w:t>⑦</w:t>
            </w:r>
          </w:p>
        </w:tc>
        <w:tc>
          <w:tcPr>
            <w:tcW w:w="1805" w:type="dxa"/>
            <w:vAlign w:val="center"/>
          </w:tcPr>
          <w:p w14:paraId="4B344728"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Urban Residential Consumption</w:t>
            </w:r>
          </w:p>
        </w:tc>
        <w:tc>
          <w:tcPr>
            <w:tcW w:w="3267" w:type="dxa"/>
            <w:vAlign w:val="center"/>
          </w:tcPr>
          <w:p w14:paraId="2F9AB0DC"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Urban household energy use</w:t>
            </w:r>
          </w:p>
        </w:tc>
        <w:tc>
          <w:tcPr>
            <w:tcW w:w="2474" w:type="dxa"/>
            <w:vAlign w:val="center"/>
          </w:tcPr>
          <w:p w14:paraId="5C7FADE7"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Primarily building energy use</w:t>
            </w:r>
          </w:p>
        </w:tc>
        <w:tc>
          <w:tcPr>
            <w:tcW w:w="2126" w:type="dxa"/>
            <w:vAlign w:val="center"/>
          </w:tcPr>
          <w:p w14:paraId="293F69C9"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hint="eastAsia"/>
                <w:sz w:val="18"/>
                <w:szCs w:val="18"/>
              </w:rPr>
              <w:t>Y</w:t>
            </w:r>
            <w:r w:rsidRPr="003224C7">
              <w:rPr>
                <w:rFonts w:ascii="Times New Roman" w:eastAsia="宋体" w:hAnsi="Times New Roman" w:cs="Times New Roman"/>
                <w:sz w:val="18"/>
                <w:szCs w:val="18"/>
              </w:rPr>
              <w:t>es</w:t>
            </w:r>
          </w:p>
        </w:tc>
        <w:tc>
          <w:tcPr>
            <w:tcW w:w="1985" w:type="dxa"/>
            <w:vAlign w:val="center"/>
          </w:tcPr>
          <w:p w14:paraId="00CA08F5"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Urban residential buildings</w:t>
            </w:r>
          </w:p>
        </w:tc>
        <w:tc>
          <w:tcPr>
            <w:tcW w:w="1559" w:type="dxa"/>
            <w:vMerge/>
            <w:vAlign w:val="center"/>
          </w:tcPr>
          <w:p w14:paraId="61C656AD" w14:textId="77777777" w:rsidR="003D7F31" w:rsidRPr="003224C7" w:rsidRDefault="003D7F31" w:rsidP="002E5328">
            <w:pPr>
              <w:spacing w:line="280" w:lineRule="exact"/>
              <w:rPr>
                <w:rFonts w:ascii="Times New Roman" w:eastAsia="宋体" w:hAnsi="Times New Roman" w:cs="Times New Roman"/>
                <w:sz w:val="18"/>
                <w:szCs w:val="18"/>
              </w:rPr>
            </w:pPr>
          </w:p>
        </w:tc>
      </w:tr>
      <w:tr w:rsidR="003D7F31" w:rsidRPr="003224C7" w14:paraId="2BE9B698" w14:textId="77777777" w:rsidTr="002E5328">
        <w:trPr>
          <w:trHeight w:val="288"/>
          <w:jc w:val="center"/>
        </w:trPr>
        <w:tc>
          <w:tcPr>
            <w:tcW w:w="671" w:type="dxa"/>
            <w:vAlign w:val="center"/>
          </w:tcPr>
          <w:p w14:paraId="159C53CB"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宋体" w:eastAsia="宋体" w:hAnsi="宋体" w:cs="宋体" w:hint="eastAsia"/>
                <w:sz w:val="18"/>
                <w:szCs w:val="18"/>
              </w:rPr>
              <w:t>⑧</w:t>
            </w:r>
          </w:p>
        </w:tc>
        <w:tc>
          <w:tcPr>
            <w:tcW w:w="1805" w:type="dxa"/>
            <w:vAlign w:val="center"/>
          </w:tcPr>
          <w:p w14:paraId="29474792"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Rural Residential Consumption</w:t>
            </w:r>
          </w:p>
        </w:tc>
        <w:tc>
          <w:tcPr>
            <w:tcW w:w="3267" w:type="dxa"/>
            <w:vAlign w:val="center"/>
          </w:tcPr>
          <w:p w14:paraId="2E91880D"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Rural household energy use</w:t>
            </w:r>
          </w:p>
        </w:tc>
        <w:tc>
          <w:tcPr>
            <w:tcW w:w="2474" w:type="dxa"/>
            <w:vAlign w:val="center"/>
          </w:tcPr>
          <w:p w14:paraId="201D36A9"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Primarily building energy use</w:t>
            </w:r>
          </w:p>
        </w:tc>
        <w:tc>
          <w:tcPr>
            <w:tcW w:w="2126" w:type="dxa"/>
            <w:vAlign w:val="center"/>
          </w:tcPr>
          <w:p w14:paraId="1BC6C65E"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hint="eastAsia"/>
                <w:sz w:val="18"/>
                <w:szCs w:val="18"/>
              </w:rPr>
              <w:t>Y</w:t>
            </w:r>
            <w:r w:rsidRPr="003224C7">
              <w:rPr>
                <w:rFonts w:ascii="Times New Roman" w:eastAsia="宋体" w:hAnsi="Times New Roman" w:cs="Times New Roman"/>
                <w:sz w:val="18"/>
                <w:szCs w:val="18"/>
              </w:rPr>
              <w:t>es</w:t>
            </w:r>
          </w:p>
        </w:tc>
        <w:tc>
          <w:tcPr>
            <w:tcW w:w="1985" w:type="dxa"/>
            <w:vAlign w:val="center"/>
          </w:tcPr>
          <w:p w14:paraId="33B4B6E0" w14:textId="77777777" w:rsidR="003D7F31" w:rsidRPr="003224C7" w:rsidRDefault="003D7F31" w:rsidP="002E5328">
            <w:pPr>
              <w:spacing w:line="280" w:lineRule="exact"/>
              <w:jc w:val="center"/>
              <w:rPr>
                <w:rFonts w:ascii="Times New Roman" w:eastAsia="宋体" w:hAnsi="Times New Roman" w:cs="Times New Roman"/>
                <w:sz w:val="18"/>
                <w:szCs w:val="18"/>
              </w:rPr>
            </w:pPr>
            <w:r w:rsidRPr="003224C7">
              <w:rPr>
                <w:rFonts w:ascii="Times New Roman" w:eastAsia="宋体" w:hAnsi="Times New Roman" w:cs="Times New Roman"/>
                <w:sz w:val="18"/>
                <w:szCs w:val="18"/>
              </w:rPr>
              <w:t>Rural residential buildings</w:t>
            </w:r>
            <w:r w:rsidRPr="003224C7">
              <w:rPr>
                <w:rFonts w:ascii="Times New Roman" w:eastAsia="宋体" w:hAnsi="Times New Roman" w:cs="Times New Roman"/>
                <w:sz w:val="18"/>
                <w:szCs w:val="18"/>
              </w:rPr>
              <w:tab/>
            </w:r>
          </w:p>
        </w:tc>
        <w:tc>
          <w:tcPr>
            <w:tcW w:w="1559" w:type="dxa"/>
            <w:vMerge/>
            <w:vAlign w:val="center"/>
          </w:tcPr>
          <w:p w14:paraId="36D88817" w14:textId="77777777" w:rsidR="003D7F31" w:rsidRPr="003224C7" w:rsidRDefault="003D7F31" w:rsidP="002E5328">
            <w:pPr>
              <w:spacing w:line="280" w:lineRule="exact"/>
              <w:rPr>
                <w:rFonts w:ascii="Times New Roman" w:eastAsia="宋体" w:hAnsi="Times New Roman" w:cs="Times New Roman"/>
                <w:sz w:val="18"/>
                <w:szCs w:val="18"/>
              </w:rPr>
            </w:pPr>
          </w:p>
        </w:tc>
      </w:tr>
    </w:tbl>
    <w:p w14:paraId="4AECEECD" w14:textId="77777777" w:rsidR="003D7F31" w:rsidRDefault="003D7F31" w:rsidP="003D7F31">
      <w:pPr>
        <w:rPr>
          <w:rFonts w:ascii="Times New Roman" w:eastAsia="宋体" w:hAnsi="Times New Roman" w:cs="Times New Roman"/>
        </w:rPr>
      </w:pPr>
    </w:p>
    <w:p w14:paraId="26D817D3" w14:textId="77777777" w:rsidR="00D942D5" w:rsidRDefault="00D942D5" w:rsidP="00D942D5">
      <w:pPr>
        <w:rPr>
          <w:rFonts w:ascii="Times New Roman" w:eastAsia="宋体" w:hAnsi="Times New Roman" w:cs="Times New Roman"/>
        </w:rPr>
        <w:sectPr w:rsidR="00D942D5" w:rsidSect="003D7F31">
          <w:pgSz w:w="16838" w:h="11906" w:orient="landscape"/>
          <w:pgMar w:top="1800" w:right="1440" w:bottom="1800" w:left="1440" w:header="851" w:footer="992" w:gutter="0"/>
          <w:cols w:space="425"/>
          <w:docGrid w:type="lines" w:linePitch="312"/>
        </w:sectPr>
      </w:pPr>
    </w:p>
    <w:p w14:paraId="582C9BF1" w14:textId="3C3037D7" w:rsidR="003D7F31" w:rsidRPr="00D942D5" w:rsidRDefault="00D942D5" w:rsidP="00D942D5">
      <w:pPr>
        <w:pStyle w:val="a6"/>
        <w:rPr>
          <w:rFonts w:cs="Times New Roman"/>
        </w:rPr>
      </w:pPr>
      <w:r>
        <w:rPr>
          <w:rFonts w:cs="Times New Roman"/>
        </w:rPr>
        <w:lastRenderedPageBreak/>
        <w:t xml:space="preserve">Supplementary </w:t>
      </w:r>
      <w:r w:rsidRPr="00E7263E">
        <w:rPr>
          <w:rFonts w:cs="Times New Roman"/>
        </w:rPr>
        <w:t xml:space="preserve">Table </w:t>
      </w:r>
      <w:r w:rsidR="00A759DD">
        <w:rPr>
          <w:rFonts w:cs="Times New Roman"/>
        </w:rPr>
        <w:t>4</w:t>
      </w:r>
      <w:r w:rsidR="00897B13">
        <w:rPr>
          <w:rFonts w:cs="Times New Roman" w:hint="eastAsia"/>
        </w:rPr>
        <w:t xml:space="preserve"> Summary of typology analysis of building energy consumption and CO</w:t>
      </w:r>
      <w:r w:rsidR="00897B13" w:rsidRPr="00897B13">
        <w:rPr>
          <w:rFonts w:cs="Times New Roman" w:hint="eastAsia"/>
          <w:vertAlign w:val="subscript"/>
        </w:rPr>
        <w:t>2</w:t>
      </w:r>
      <w:r w:rsidR="00897B13">
        <w:rPr>
          <w:rFonts w:cs="Times New Roman" w:hint="eastAsia"/>
        </w:rPr>
        <w:t xml:space="preserve"> emissions (representative </w:t>
      </w:r>
      <w:proofErr w:type="gramStart"/>
      <w:r w:rsidR="00897B13">
        <w:rPr>
          <w:rFonts w:cs="Times New Roman" w:hint="eastAsia"/>
        </w:rPr>
        <w:t>l</w:t>
      </w:r>
      <w:r w:rsidR="00161D3F">
        <w:rPr>
          <w:rFonts w:cs="Times New Roman" w:hint="eastAsia"/>
        </w:rPr>
        <w:t>iteratures)</w:t>
      </w:r>
      <w:r>
        <w:rPr>
          <w:rFonts w:cs="Times New Roman"/>
        </w:rPr>
        <w:t>|</w:t>
      </w:r>
      <w:proofErr w:type="gramEnd"/>
      <w:r w:rsidRPr="00E7263E">
        <w:rPr>
          <w:rFonts w:cs="Times New Roman"/>
        </w:rPr>
        <w:t xml:space="preserve"> </w:t>
      </w:r>
    </w:p>
    <w:tbl>
      <w:tblPr>
        <w:tblStyle w:val="a3"/>
        <w:tblW w:w="13887" w:type="dxa"/>
        <w:jc w:val="center"/>
        <w:tblLook w:val="04A0" w:firstRow="1" w:lastRow="0" w:firstColumn="1" w:lastColumn="0" w:noHBand="0" w:noVBand="1"/>
      </w:tblPr>
      <w:tblGrid>
        <w:gridCol w:w="704"/>
        <w:gridCol w:w="1559"/>
        <w:gridCol w:w="2552"/>
        <w:gridCol w:w="1843"/>
        <w:gridCol w:w="1417"/>
        <w:gridCol w:w="1287"/>
        <w:gridCol w:w="2152"/>
        <w:gridCol w:w="2373"/>
      </w:tblGrid>
      <w:tr w:rsidR="008A77FC" w14:paraId="128012BE" w14:textId="77777777" w:rsidTr="00BC6A5D">
        <w:trPr>
          <w:jc w:val="center"/>
        </w:trPr>
        <w:tc>
          <w:tcPr>
            <w:tcW w:w="704" w:type="dxa"/>
          </w:tcPr>
          <w:p w14:paraId="7C890B13" w14:textId="77777777" w:rsidR="008A77FC" w:rsidRPr="005C268C" w:rsidRDefault="008A77FC" w:rsidP="00BC6A5D">
            <w:pPr>
              <w:jc w:val="center"/>
              <w:rPr>
                <w:rFonts w:ascii="Times New Roman" w:hAnsi="Times New Roman" w:cs="Times New Roman"/>
                <w:b/>
                <w:bCs/>
                <w:sz w:val="18"/>
                <w:szCs w:val="20"/>
              </w:rPr>
            </w:pPr>
            <w:r>
              <w:rPr>
                <w:rFonts w:ascii="Times New Roman" w:hAnsi="Times New Roman" w:cs="Times New Roman" w:hint="eastAsia"/>
                <w:b/>
                <w:bCs/>
                <w:sz w:val="18"/>
                <w:szCs w:val="20"/>
              </w:rPr>
              <w:t>No.</w:t>
            </w:r>
          </w:p>
        </w:tc>
        <w:tc>
          <w:tcPr>
            <w:tcW w:w="1559" w:type="dxa"/>
          </w:tcPr>
          <w:p w14:paraId="307AD136" w14:textId="77777777" w:rsidR="008A77FC" w:rsidRPr="005C268C" w:rsidRDefault="008A77FC" w:rsidP="00BC6A5D">
            <w:pPr>
              <w:jc w:val="center"/>
              <w:rPr>
                <w:rFonts w:ascii="Times New Roman" w:hAnsi="Times New Roman" w:cs="Times New Roman"/>
                <w:b/>
                <w:bCs/>
                <w:sz w:val="18"/>
                <w:szCs w:val="20"/>
              </w:rPr>
            </w:pPr>
            <w:r w:rsidRPr="005C268C">
              <w:rPr>
                <w:rFonts w:ascii="Times New Roman" w:hAnsi="Times New Roman" w:cs="Times New Roman"/>
                <w:b/>
                <w:bCs/>
                <w:sz w:val="18"/>
                <w:szCs w:val="20"/>
              </w:rPr>
              <w:t>Typical research</w:t>
            </w:r>
          </w:p>
        </w:tc>
        <w:tc>
          <w:tcPr>
            <w:tcW w:w="2552" w:type="dxa"/>
          </w:tcPr>
          <w:p w14:paraId="72B8E173" w14:textId="77777777" w:rsidR="008A77FC" w:rsidRPr="005C268C" w:rsidRDefault="008A77FC" w:rsidP="00BC6A5D">
            <w:pPr>
              <w:jc w:val="center"/>
              <w:rPr>
                <w:rFonts w:ascii="Times New Roman" w:hAnsi="Times New Roman" w:cs="Times New Roman"/>
                <w:b/>
                <w:bCs/>
                <w:sz w:val="18"/>
                <w:szCs w:val="20"/>
              </w:rPr>
            </w:pPr>
            <w:r w:rsidRPr="005C268C">
              <w:rPr>
                <w:rFonts w:ascii="Times New Roman" w:hAnsi="Times New Roman" w:cs="Times New Roman"/>
                <w:b/>
                <w:bCs/>
                <w:sz w:val="18"/>
                <w:szCs w:val="20"/>
              </w:rPr>
              <w:t>Method/Model</w:t>
            </w:r>
          </w:p>
        </w:tc>
        <w:tc>
          <w:tcPr>
            <w:tcW w:w="1843" w:type="dxa"/>
          </w:tcPr>
          <w:p w14:paraId="39ADFB01" w14:textId="77777777" w:rsidR="008A77FC" w:rsidRPr="005C268C" w:rsidRDefault="008A77FC" w:rsidP="00BC6A5D">
            <w:pPr>
              <w:jc w:val="center"/>
              <w:rPr>
                <w:rFonts w:ascii="Times New Roman" w:hAnsi="Times New Roman" w:cs="Times New Roman"/>
                <w:b/>
                <w:bCs/>
                <w:sz w:val="18"/>
                <w:szCs w:val="20"/>
              </w:rPr>
            </w:pPr>
            <w:r w:rsidRPr="005C268C">
              <w:rPr>
                <w:rFonts w:ascii="Times New Roman" w:hAnsi="Times New Roman" w:cs="Times New Roman"/>
                <w:b/>
                <w:bCs/>
                <w:sz w:val="18"/>
                <w:szCs w:val="20"/>
              </w:rPr>
              <w:t>Research object</w:t>
            </w:r>
          </w:p>
        </w:tc>
        <w:tc>
          <w:tcPr>
            <w:tcW w:w="1417" w:type="dxa"/>
          </w:tcPr>
          <w:p w14:paraId="62832383" w14:textId="77777777" w:rsidR="008A77FC" w:rsidRPr="005C268C" w:rsidRDefault="008A77FC" w:rsidP="00BC6A5D">
            <w:pPr>
              <w:jc w:val="center"/>
              <w:rPr>
                <w:rFonts w:ascii="Times New Roman" w:hAnsi="Times New Roman" w:cs="Times New Roman"/>
                <w:b/>
                <w:bCs/>
                <w:sz w:val="18"/>
                <w:szCs w:val="20"/>
              </w:rPr>
            </w:pPr>
            <w:r w:rsidRPr="005C268C">
              <w:rPr>
                <w:rFonts w:ascii="Times New Roman" w:hAnsi="Times New Roman" w:cs="Times New Roman"/>
                <w:b/>
                <w:bCs/>
                <w:sz w:val="18"/>
                <w:szCs w:val="20"/>
              </w:rPr>
              <w:t>Research scale</w:t>
            </w:r>
          </w:p>
        </w:tc>
        <w:tc>
          <w:tcPr>
            <w:tcW w:w="1287" w:type="dxa"/>
          </w:tcPr>
          <w:p w14:paraId="5BF643BC" w14:textId="77777777" w:rsidR="008A77FC" w:rsidRPr="005C268C" w:rsidRDefault="008A77FC" w:rsidP="00BC6A5D">
            <w:pPr>
              <w:jc w:val="center"/>
              <w:rPr>
                <w:rFonts w:ascii="Times New Roman" w:hAnsi="Times New Roman" w:cs="Times New Roman"/>
                <w:b/>
                <w:bCs/>
                <w:sz w:val="18"/>
                <w:szCs w:val="20"/>
              </w:rPr>
            </w:pPr>
            <w:r w:rsidRPr="005C268C">
              <w:rPr>
                <w:rFonts w:ascii="Times New Roman" w:hAnsi="Times New Roman" w:cs="Times New Roman" w:hint="eastAsia"/>
                <w:b/>
                <w:bCs/>
                <w:sz w:val="18"/>
                <w:szCs w:val="20"/>
              </w:rPr>
              <w:t>Time period</w:t>
            </w:r>
          </w:p>
        </w:tc>
        <w:tc>
          <w:tcPr>
            <w:tcW w:w="2152" w:type="dxa"/>
          </w:tcPr>
          <w:p w14:paraId="119179C3" w14:textId="77777777" w:rsidR="008A77FC" w:rsidRPr="005C268C" w:rsidRDefault="008A77FC" w:rsidP="00BC6A5D">
            <w:pPr>
              <w:jc w:val="center"/>
              <w:rPr>
                <w:rFonts w:ascii="Times New Roman" w:hAnsi="Times New Roman" w:cs="Times New Roman"/>
                <w:b/>
                <w:bCs/>
                <w:sz w:val="18"/>
                <w:szCs w:val="20"/>
              </w:rPr>
            </w:pPr>
            <w:r w:rsidRPr="005C268C">
              <w:rPr>
                <w:rFonts w:ascii="Times New Roman" w:hAnsi="Times New Roman" w:cs="Times New Roman"/>
                <w:b/>
                <w:bCs/>
                <w:sz w:val="18"/>
                <w:szCs w:val="20"/>
              </w:rPr>
              <w:t>Assessing index</w:t>
            </w:r>
          </w:p>
        </w:tc>
        <w:tc>
          <w:tcPr>
            <w:tcW w:w="2373" w:type="dxa"/>
          </w:tcPr>
          <w:p w14:paraId="14F8E7FD" w14:textId="77777777" w:rsidR="008A77FC" w:rsidRPr="005C268C" w:rsidRDefault="008A77FC" w:rsidP="00BC6A5D">
            <w:pPr>
              <w:jc w:val="center"/>
              <w:rPr>
                <w:rFonts w:ascii="Times New Roman" w:hAnsi="Times New Roman" w:cs="Times New Roman"/>
                <w:b/>
                <w:bCs/>
                <w:sz w:val="18"/>
                <w:szCs w:val="20"/>
              </w:rPr>
            </w:pPr>
            <w:r w:rsidRPr="005C268C">
              <w:rPr>
                <w:rFonts w:ascii="Times New Roman" w:hAnsi="Times New Roman" w:cs="Times New Roman"/>
                <w:b/>
                <w:bCs/>
                <w:sz w:val="18"/>
                <w:szCs w:val="20"/>
              </w:rPr>
              <w:t>Typology of cities/building</w:t>
            </w:r>
          </w:p>
        </w:tc>
      </w:tr>
      <w:tr w:rsidR="008A77FC" w14:paraId="10D0F96E" w14:textId="77777777" w:rsidTr="00BC6A5D">
        <w:trPr>
          <w:trHeight w:val="2196"/>
          <w:jc w:val="center"/>
        </w:trPr>
        <w:tc>
          <w:tcPr>
            <w:tcW w:w="704" w:type="dxa"/>
            <w:vAlign w:val="center"/>
          </w:tcPr>
          <w:p w14:paraId="565BCC3A"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1</w:t>
            </w:r>
          </w:p>
        </w:tc>
        <w:tc>
          <w:tcPr>
            <w:tcW w:w="1559" w:type="dxa"/>
            <w:vAlign w:val="center"/>
          </w:tcPr>
          <w:p w14:paraId="1AB6B8AC" w14:textId="5E6C82D5" w:rsidR="008A77FC" w:rsidRPr="00F46F91" w:rsidRDefault="008A77FC" w:rsidP="00EA3270">
            <w:pPr>
              <w:jc w:val="center"/>
              <w:rPr>
                <w:rFonts w:ascii="Times New Roman" w:hAnsi="Times New Roman" w:cs="Times New Roman"/>
                <w:sz w:val="18"/>
                <w:szCs w:val="20"/>
              </w:rPr>
            </w:pPr>
            <w:proofErr w:type="spellStart"/>
            <w:r>
              <w:rPr>
                <w:rFonts w:ascii="Times New Roman" w:hAnsi="Times New Roman" w:cs="Times New Roman" w:hint="eastAsia"/>
                <w:sz w:val="18"/>
                <w:szCs w:val="20"/>
              </w:rPr>
              <w:t>Berril</w:t>
            </w:r>
            <w:proofErr w:type="spellEnd"/>
            <w:r>
              <w:rPr>
                <w:rFonts w:ascii="Times New Roman" w:hAnsi="Times New Roman" w:cs="Times New Roman" w:hint="eastAsia"/>
                <w:sz w:val="18"/>
                <w:szCs w:val="20"/>
              </w:rPr>
              <w:t xml:space="preserve"> et al., 2021</w:t>
            </w:r>
            <w:r>
              <w:rPr>
                <w:rFonts w:ascii="Times New Roman" w:hAnsi="Times New Roman" w:cs="Times New Roman"/>
                <w:sz w:val="18"/>
                <w:szCs w:val="20"/>
              </w:rPr>
              <w:fldChar w:fldCharType="begin"/>
            </w:r>
            <w:r>
              <w:rPr>
                <w:rFonts w:ascii="Times New Roman" w:hAnsi="Times New Roman" w:cs="Times New Roman"/>
                <w:sz w:val="18"/>
                <w:szCs w:val="20"/>
              </w:rPr>
              <w:instrText xml:space="preserve"> ADDIN ZOTERO_ITEM CSL_CITATION {"citationID":"LKRgtMg9","properties":{"formattedCitation":"\\super 1\\nosupersub{}","plainCitation":"1","noteIndex":0},"citationItems":[{"id":158,"uris":["http://zotero.org/users/13271698/items/7WP4XN8G"],"itemData":{"id":158,"type":"article-journal","container-title":"Environmental Science &amp; Technology","DOI":"10.1021/acs.est.0c05696","ISSN":"0013-936X, 1520-5851","issue":"4","journalAbbreviation":"Environ. Sci. Technol.","language":"en","license":"https://creativecommons.org/licenses/by-nc-nd/4.0/","page":"2224-2233","source":"DOI.org (Crossref)","title":"Linking Housing Policy, Housing Typology, and Residential Energy Demand in the United States","volume":"55","author":[{"family":"Berrill","given":"Peter"},{"family":"Gillingham","given":"Kenneth T."},{"family":"Hertwich","given":"Edgar G."}],"issued":{"date-parts":[["2021",2,16]]}}}],"schema":"https://github.com/citation-style-language/schema/raw/master/csl-citation.json"} </w:instrText>
            </w:r>
            <w:r>
              <w:rPr>
                <w:rFonts w:ascii="Times New Roman" w:hAnsi="Times New Roman" w:cs="Times New Roman"/>
                <w:sz w:val="18"/>
                <w:szCs w:val="20"/>
              </w:rPr>
              <w:fldChar w:fldCharType="separate"/>
            </w:r>
            <w:r w:rsidRPr="00161D3F">
              <w:rPr>
                <w:rFonts w:ascii="Times New Roman" w:hAnsi="Times New Roman" w:cs="Times New Roman"/>
                <w:sz w:val="18"/>
                <w:vertAlign w:val="superscript"/>
              </w:rPr>
              <w:t>1</w:t>
            </w:r>
            <w:r>
              <w:rPr>
                <w:rFonts w:ascii="Times New Roman" w:hAnsi="Times New Roman" w:cs="Times New Roman"/>
                <w:sz w:val="18"/>
                <w:szCs w:val="20"/>
              </w:rPr>
              <w:fldChar w:fldCharType="end"/>
            </w:r>
          </w:p>
        </w:tc>
        <w:tc>
          <w:tcPr>
            <w:tcW w:w="2552" w:type="dxa"/>
            <w:vAlign w:val="center"/>
          </w:tcPr>
          <w:p w14:paraId="6ED74BAA"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Linear regression model of energy end-use</w:t>
            </w:r>
          </w:p>
        </w:tc>
        <w:tc>
          <w:tcPr>
            <w:tcW w:w="1843" w:type="dxa"/>
            <w:vAlign w:val="center"/>
          </w:tcPr>
          <w:p w14:paraId="547EA6E7"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sz w:val="18"/>
                <w:szCs w:val="20"/>
              </w:rPr>
              <w:t>R</w:t>
            </w:r>
            <w:r>
              <w:rPr>
                <w:rFonts w:ascii="Times New Roman" w:hAnsi="Times New Roman" w:cs="Times New Roman" w:hint="eastAsia"/>
                <w:sz w:val="18"/>
                <w:szCs w:val="20"/>
              </w:rPr>
              <w:t>esidential energy demand</w:t>
            </w:r>
          </w:p>
        </w:tc>
        <w:tc>
          <w:tcPr>
            <w:tcW w:w="1417" w:type="dxa"/>
            <w:vAlign w:val="center"/>
          </w:tcPr>
          <w:p w14:paraId="19D5C65C"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U.S.</w:t>
            </w:r>
          </w:p>
        </w:tc>
        <w:tc>
          <w:tcPr>
            <w:tcW w:w="1287" w:type="dxa"/>
            <w:vAlign w:val="center"/>
          </w:tcPr>
          <w:p w14:paraId="3927741D"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2015</w:t>
            </w:r>
          </w:p>
        </w:tc>
        <w:tc>
          <w:tcPr>
            <w:tcW w:w="2152" w:type="dxa"/>
            <w:vAlign w:val="center"/>
          </w:tcPr>
          <w:p w14:paraId="399E5B52"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sz w:val="18"/>
                <w:szCs w:val="20"/>
              </w:rPr>
              <w:t>E</w:t>
            </w:r>
            <w:r>
              <w:rPr>
                <w:rFonts w:ascii="Times New Roman" w:hAnsi="Times New Roman" w:cs="Times New Roman" w:hint="eastAsia"/>
                <w:sz w:val="18"/>
                <w:szCs w:val="20"/>
              </w:rPr>
              <w:t>nergy end-use in urban home</w:t>
            </w:r>
          </w:p>
        </w:tc>
        <w:tc>
          <w:tcPr>
            <w:tcW w:w="2373" w:type="dxa"/>
            <w:vAlign w:val="center"/>
          </w:tcPr>
          <w:p w14:paraId="0B222A04"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Housing type (</w:t>
            </w:r>
            <w:r>
              <w:rPr>
                <w:rFonts w:ascii="Times New Roman" w:hAnsi="Times New Roman" w:cs="Times New Roman"/>
                <w:sz w:val="18"/>
                <w:szCs w:val="20"/>
              </w:rPr>
              <w:t>S</w:t>
            </w:r>
            <w:r>
              <w:rPr>
                <w:rFonts w:ascii="Times New Roman" w:hAnsi="Times New Roman" w:cs="Times New Roman" w:hint="eastAsia"/>
                <w:sz w:val="18"/>
                <w:szCs w:val="20"/>
              </w:rPr>
              <w:t>ingle/multifamily)</w:t>
            </w:r>
          </w:p>
        </w:tc>
      </w:tr>
      <w:tr w:rsidR="008A77FC" w:rsidRPr="00406311" w14:paraId="18E3DAA1" w14:textId="77777777" w:rsidTr="00BC6A5D">
        <w:trPr>
          <w:jc w:val="center"/>
        </w:trPr>
        <w:tc>
          <w:tcPr>
            <w:tcW w:w="704" w:type="dxa"/>
            <w:vAlign w:val="center"/>
          </w:tcPr>
          <w:p w14:paraId="3BFDABB5"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2</w:t>
            </w:r>
          </w:p>
        </w:tc>
        <w:tc>
          <w:tcPr>
            <w:tcW w:w="1559" w:type="dxa"/>
            <w:vAlign w:val="center"/>
          </w:tcPr>
          <w:p w14:paraId="0DB101D1" w14:textId="4A7458FD"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Yap et al., 2025</w:t>
            </w:r>
            <w:r>
              <w:rPr>
                <w:rFonts w:ascii="Times New Roman" w:hAnsi="Times New Roman" w:cs="Times New Roman"/>
                <w:sz w:val="18"/>
                <w:szCs w:val="20"/>
              </w:rPr>
              <w:fldChar w:fldCharType="begin"/>
            </w:r>
            <w:r>
              <w:rPr>
                <w:rFonts w:ascii="Times New Roman" w:hAnsi="Times New Roman" w:cs="Times New Roman"/>
                <w:sz w:val="18"/>
                <w:szCs w:val="20"/>
              </w:rPr>
              <w:instrText xml:space="preserve"> ADDIN ZOTERO_ITEM CSL_CITATION {"citationID":"dmDl1nIA","properties":{"formattedCitation":"\\super 2\\nosupersub{}","plainCitation":"2","noteIndex":0},"citationItems":[{"id":133,"uris":["http://zotero.org/users/13271698/items/9AH725YF"],"itemData":{"id":133,"type":"article-journal","container-title":"Nature Sustainability","DOI":"10.1038/s41893-025-01615-8","ISSN":"2398-9629","journalAbbreviation":"Nat Sustain","language":"en","source":"DOI.org (Crossref)","title":"Revealing building operating carbon dynamics for multiple cities","URL":"https://www.nature.com/articles/s41893-025-01615-8","author":[{"family":"Yap","given":"Winston"},{"family":"Wu","given":"Abraham Noah"},{"family":"Miller","given":"Clayton"},{"family":"Biljecki","given":"Filip"}],"accessed":{"date-parts":[["2025",9,23]]},"issued":{"date-parts":[["2025",8,15]]}}}],"schema":"https://github.com/citation-style-language/schema/raw/master/csl-citation.json"} </w:instrText>
            </w:r>
            <w:r>
              <w:rPr>
                <w:rFonts w:ascii="Times New Roman" w:hAnsi="Times New Roman" w:cs="Times New Roman"/>
                <w:sz w:val="18"/>
                <w:szCs w:val="20"/>
              </w:rPr>
              <w:fldChar w:fldCharType="separate"/>
            </w:r>
            <w:r w:rsidRPr="00161D3F">
              <w:rPr>
                <w:rFonts w:ascii="Times New Roman" w:hAnsi="Times New Roman" w:cs="Times New Roman"/>
                <w:sz w:val="18"/>
                <w:vertAlign w:val="superscript"/>
              </w:rPr>
              <w:t>2</w:t>
            </w:r>
            <w:r>
              <w:rPr>
                <w:rFonts w:ascii="Times New Roman" w:hAnsi="Times New Roman" w:cs="Times New Roman"/>
                <w:sz w:val="18"/>
                <w:szCs w:val="20"/>
              </w:rPr>
              <w:fldChar w:fldCharType="end"/>
            </w:r>
          </w:p>
        </w:tc>
        <w:tc>
          <w:tcPr>
            <w:tcW w:w="2552" w:type="dxa"/>
            <w:vAlign w:val="center"/>
          </w:tcPr>
          <w:p w14:paraId="5A9F7834"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A graph deep learning model that integrates open data on building energy usage and crowdsourced geospatial information</w:t>
            </w:r>
          </w:p>
        </w:tc>
        <w:tc>
          <w:tcPr>
            <w:tcW w:w="1843" w:type="dxa"/>
            <w:vAlign w:val="center"/>
          </w:tcPr>
          <w:p w14:paraId="32D35575"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Building operating carbon emissions</w:t>
            </w:r>
          </w:p>
        </w:tc>
        <w:tc>
          <w:tcPr>
            <w:tcW w:w="1417" w:type="dxa"/>
            <w:vAlign w:val="center"/>
          </w:tcPr>
          <w:p w14:paraId="708238ED"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 xml:space="preserve">5 global cities (Melbourne, NYC, Seattle, Singapore, </w:t>
            </w:r>
            <w:proofErr w:type="spellStart"/>
            <w:r>
              <w:rPr>
                <w:rFonts w:ascii="Times New Roman" w:hAnsi="Times New Roman" w:cs="Times New Roman" w:hint="eastAsia"/>
                <w:sz w:val="18"/>
                <w:szCs w:val="20"/>
              </w:rPr>
              <w:t>Washingtion</w:t>
            </w:r>
            <w:proofErr w:type="spellEnd"/>
            <w:r>
              <w:rPr>
                <w:rFonts w:ascii="Times New Roman" w:hAnsi="Times New Roman" w:cs="Times New Roman" w:hint="eastAsia"/>
                <w:sz w:val="18"/>
                <w:szCs w:val="20"/>
              </w:rPr>
              <w:t xml:space="preserve"> DC), 595173 buildings</w:t>
            </w:r>
          </w:p>
        </w:tc>
        <w:tc>
          <w:tcPr>
            <w:tcW w:w="1287" w:type="dxa"/>
            <w:vAlign w:val="center"/>
          </w:tcPr>
          <w:p w14:paraId="4ECECA9E"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sz w:val="18"/>
                <w:szCs w:val="20"/>
              </w:rPr>
              <w:t>S</w:t>
            </w:r>
            <w:r>
              <w:rPr>
                <w:rFonts w:ascii="Times New Roman" w:hAnsi="Times New Roman" w:cs="Times New Roman" w:hint="eastAsia"/>
                <w:sz w:val="18"/>
                <w:szCs w:val="20"/>
              </w:rPr>
              <w:t>ingle year</w:t>
            </w:r>
          </w:p>
        </w:tc>
        <w:tc>
          <w:tcPr>
            <w:tcW w:w="2152" w:type="dxa"/>
            <w:vAlign w:val="center"/>
          </w:tcPr>
          <w:p w14:paraId="6E3FE63D"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sz w:val="18"/>
                <w:szCs w:val="20"/>
              </w:rPr>
              <w:t>T</w:t>
            </w:r>
            <w:r>
              <w:rPr>
                <w:rFonts w:ascii="Times New Roman" w:hAnsi="Times New Roman" w:cs="Times New Roman" w:hint="eastAsia"/>
                <w:sz w:val="18"/>
                <w:szCs w:val="20"/>
              </w:rPr>
              <w:t>otal annual energy consumption by each building</w:t>
            </w:r>
          </w:p>
        </w:tc>
        <w:tc>
          <w:tcPr>
            <w:tcW w:w="2373" w:type="dxa"/>
            <w:vAlign w:val="center"/>
          </w:tcPr>
          <w:p w14:paraId="2470A002"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Population density, Local climate zone, urban heat island intensity, GDP per capita</w:t>
            </w:r>
          </w:p>
        </w:tc>
      </w:tr>
      <w:tr w:rsidR="008A77FC" w14:paraId="616E88F0" w14:textId="77777777" w:rsidTr="00BC6A5D">
        <w:trPr>
          <w:jc w:val="center"/>
        </w:trPr>
        <w:tc>
          <w:tcPr>
            <w:tcW w:w="704" w:type="dxa"/>
            <w:vAlign w:val="center"/>
          </w:tcPr>
          <w:p w14:paraId="78471343"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3</w:t>
            </w:r>
          </w:p>
        </w:tc>
        <w:tc>
          <w:tcPr>
            <w:tcW w:w="1559" w:type="dxa"/>
            <w:vAlign w:val="center"/>
          </w:tcPr>
          <w:p w14:paraId="59BADF72" w14:textId="11072402"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Yu et al., 2024</w:t>
            </w:r>
            <w:r>
              <w:rPr>
                <w:rFonts w:ascii="Times New Roman" w:hAnsi="Times New Roman" w:cs="Times New Roman"/>
                <w:sz w:val="18"/>
                <w:szCs w:val="20"/>
              </w:rPr>
              <w:fldChar w:fldCharType="begin"/>
            </w:r>
            <w:r>
              <w:rPr>
                <w:rFonts w:ascii="Times New Roman" w:hAnsi="Times New Roman" w:cs="Times New Roman"/>
                <w:sz w:val="18"/>
                <w:szCs w:val="20"/>
              </w:rPr>
              <w:instrText xml:space="preserve"> ADDIN ZOTERO_ITEM CSL_CITATION {"citationID":"UagoHnwu","properties":{"formattedCitation":"\\super 3\\nosupersub{}","plainCitation":"3","noteIndex":0},"citationItems":[{"id":144,"uris":["http://zotero.org/users/13271698/items/KXFBLAVD"],"itemData":{"id":144,"type":"article-journal","abstract":"Abstracts\n            The building sector, which accounts for over 20% of China’s total energy-related carbon emissions, has great potential to reduce emissions and is critical to achieving China’s emissions peak and carbon neutrality targets. However, the lack of data on operational carbon emissions and end-use carbon emissions in the building sector at the city level has become a major barrier to the development of building energy conservation policies and carbon peaking action plans. This study uses a combination of “top-down” and “bottom-up” methods to account for the operational carbon emissions of buildings in 321 cities in China from 2015 to 2020. The energy consumption in buildings is further broken down into six end uses: central heating, distributed heating, cooking and water heating (C&amp;W), lighting, cooling, appliances and others (A&amp;O). The dataset can serve as a reference to support city-level policies on peak building emissions and is of great value for the improvement of the carbon emissions statistical accounting system.","container-title":"Scientific Data","DOI":"10.1038/s41597-024-02971-4","ISSN":"2052-4463","issue":"1","journalAbbreviation":"Sci Data","language":"en","page":"138","source":"DOI.org (Crossref)","title":"City-level building operation and end-use carbon emissions dataset from China for 2015–2020","volume":"11","author":[{"family":"Yu","given":"Yanhui"},{"family":"You","given":"Kairui"},{"family":"Cai","given":"Weiguang"},{"family":"Feng","given":"Wei"},{"family":"Li","given":"Rui"},{"family":"Liu","given":"Qiqi"},{"family":"Chen","given":"Liu"},{"family":"Liu","given":"Yuan"}],"issued":{"date-parts":[["2024",1,26]]}}}],"schema":"https://github.com/citation-style-language/schema/raw/master/csl-citation.json"} </w:instrText>
            </w:r>
            <w:r>
              <w:rPr>
                <w:rFonts w:ascii="Times New Roman" w:hAnsi="Times New Roman" w:cs="Times New Roman"/>
                <w:sz w:val="18"/>
                <w:szCs w:val="20"/>
              </w:rPr>
              <w:fldChar w:fldCharType="separate"/>
            </w:r>
            <w:r w:rsidRPr="006B726D">
              <w:rPr>
                <w:rFonts w:ascii="Times New Roman" w:hAnsi="Times New Roman" w:cs="Times New Roman"/>
                <w:sz w:val="18"/>
                <w:vertAlign w:val="superscript"/>
              </w:rPr>
              <w:t>3</w:t>
            </w:r>
            <w:r>
              <w:rPr>
                <w:rFonts w:ascii="Times New Roman" w:hAnsi="Times New Roman" w:cs="Times New Roman"/>
                <w:sz w:val="18"/>
                <w:szCs w:val="20"/>
              </w:rPr>
              <w:fldChar w:fldCharType="end"/>
            </w:r>
          </w:p>
        </w:tc>
        <w:tc>
          <w:tcPr>
            <w:tcW w:w="2552" w:type="dxa"/>
            <w:vAlign w:val="center"/>
          </w:tcPr>
          <w:p w14:paraId="711B026F"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A</w:t>
            </w:r>
            <w:r w:rsidRPr="00AE54BA">
              <w:rPr>
                <w:rFonts w:ascii="Times New Roman" w:hAnsi="Times New Roman" w:cs="Times New Roman"/>
                <w:sz w:val="18"/>
                <w:szCs w:val="20"/>
              </w:rPr>
              <w:t xml:space="preserve"> combination of “top-down” and “bottom-up” methods</w:t>
            </w:r>
            <w:r>
              <w:rPr>
                <w:rFonts w:ascii="Times New Roman" w:hAnsi="Times New Roman" w:cs="Times New Roman" w:hint="eastAsia"/>
                <w:sz w:val="18"/>
                <w:szCs w:val="20"/>
              </w:rPr>
              <w:t xml:space="preserve"> </w:t>
            </w:r>
            <w:r w:rsidRPr="00AE54BA">
              <w:rPr>
                <w:rFonts w:ascii="Times New Roman" w:hAnsi="Times New Roman" w:cs="Times New Roman"/>
                <w:sz w:val="18"/>
                <w:szCs w:val="20"/>
              </w:rPr>
              <w:t>through an extensive collection of statistical data</w:t>
            </w:r>
          </w:p>
        </w:tc>
        <w:tc>
          <w:tcPr>
            <w:tcW w:w="1843" w:type="dxa"/>
            <w:vAlign w:val="center"/>
          </w:tcPr>
          <w:p w14:paraId="34395D5A"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E</w:t>
            </w:r>
            <w:r w:rsidRPr="00AE54BA">
              <w:rPr>
                <w:rFonts w:ascii="Times New Roman" w:hAnsi="Times New Roman" w:cs="Times New Roman"/>
                <w:sz w:val="18"/>
                <w:szCs w:val="20"/>
              </w:rPr>
              <w:t>nergy consumption and carbon emissions of building operations</w:t>
            </w:r>
          </w:p>
        </w:tc>
        <w:tc>
          <w:tcPr>
            <w:tcW w:w="1417" w:type="dxa"/>
            <w:vAlign w:val="center"/>
          </w:tcPr>
          <w:p w14:paraId="17BF1772" w14:textId="77777777" w:rsidR="008A77FC" w:rsidRPr="00AE54BA"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321 cities in China</w:t>
            </w:r>
          </w:p>
        </w:tc>
        <w:tc>
          <w:tcPr>
            <w:tcW w:w="1287" w:type="dxa"/>
            <w:vAlign w:val="center"/>
          </w:tcPr>
          <w:p w14:paraId="18F32A69"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2015-2020</w:t>
            </w:r>
          </w:p>
        </w:tc>
        <w:tc>
          <w:tcPr>
            <w:tcW w:w="2152" w:type="dxa"/>
            <w:vAlign w:val="center"/>
          </w:tcPr>
          <w:p w14:paraId="43AEC840"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Carbon emissions from building operations, City-level building end-use carbon emissions</w:t>
            </w:r>
          </w:p>
        </w:tc>
        <w:tc>
          <w:tcPr>
            <w:tcW w:w="2373" w:type="dxa"/>
            <w:vAlign w:val="center"/>
          </w:tcPr>
          <w:p w14:paraId="23450B61"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321 cities are classified by heating behavior and temperature into 3 regions.</w:t>
            </w:r>
          </w:p>
        </w:tc>
      </w:tr>
      <w:tr w:rsidR="008A77FC" w14:paraId="29DD56DA" w14:textId="77777777" w:rsidTr="00BC6A5D">
        <w:trPr>
          <w:jc w:val="center"/>
        </w:trPr>
        <w:tc>
          <w:tcPr>
            <w:tcW w:w="704" w:type="dxa"/>
            <w:vAlign w:val="center"/>
          </w:tcPr>
          <w:p w14:paraId="68885BF1"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4</w:t>
            </w:r>
          </w:p>
        </w:tc>
        <w:tc>
          <w:tcPr>
            <w:tcW w:w="1559" w:type="dxa"/>
            <w:vAlign w:val="center"/>
          </w:tcPr>
          <w:p w14:paraId="523C16F3" w14:textId="413AE72F"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You et al., 2025</w:t>
            </w:r>
            <w:r>
              <w:rPr>
                <w:rFonts w:ascii="Times New Roman" w:hAnsi="Times New Roman" w:cs="Times New Roman"/>
                <w:sz w:val="18"/>
                <w:szCs w:val="20"/>
              </w:rPr>
              <w:fldChar w:fldCharType="begin"/>
            </w:r>
            <w:r>
              <w:rPr>
                <w:rFonts w:ascii="Times New Roman" w:hAnsi="Times New Roman" w:cs="Times New Roman"/>
                <w:sz w:val="18"/>
                <w:szCs w:val="20"/>
              </w:rPr>
              <w:instrText xml:space="preserve"> ADDIN ZOTERO_ITEM CSL_CITATION {"citationID":"WdLu4Sve","properties":{"formattedCitation":"\\super 4\\nosupersub{}","plainCitation":"4","noteIndex":0},"citationItems":[{"id":163,"uris":["http://zotero.org/users/13271698/items/ZEGGMYFA"],"itemData":{"id":163,"type":"article-journal","container-title":"Nature Communications","DOI":"10.1038/s41467-025-62675-0","ISSN":"2041-1723","issue":"1","journalAbbreviation":"Nat Commun","language":"en","page":"7358","source":"DOI.org (Crossref)","title":"Mitigating emissions and costs through demand-side solutions in Chinese residential buildings","volume":"16","author":[{"family":"You","given":"Kairui"},{"family":"Li","given":"Yan"},{"family":"Cai","given":"Weiguang"},{"family":"Zhang","given":"Lulu"},{"family":"Liu","given":"Zhengxuan"},{"family":"Feng","given":"Wei"},{"family":"Wei","given":"Yi-Ming"}],"issued":{"date-parts":[["2025",8,9]]}}}],"schema":"https://github.com/citation-style-language/schema/raw/master/csl-citation.json"} </w:instrText>
            </w:r>
            <w:r>
              <w:rPr>
                <w:rFonts w:ascii="Times New Roman" w:hAnsi="Times New Roman" w:cs="Times New Roman"/>
                <w:sz w:val="18"/>
                <w:szCs w:val="20"/>
              </w:rPr>
              <w:fldChar w:fldCharType="separate"/>
            </w:r>
            <w:r w:rsidRPr="006B726D">
              <w:rPr>
                <w:rFonts w:ascii="Times New Roman" w:hAnsi="Times New Roman" w:cs="Times New Roman"/>
                <w:sz w:val="18"/>
                <w:vertAlign w:val="superscript"/>
              </w:rPr>
              <w:t>4</w:t>
            </w:r>
            <w:r>
              <w:rPr>
                <w:rFonts w:ascii="Times New Roman" w:hAnsi="Times New Roman" w:cs="Times New Roman"/>
                <w:sz w:val="18"/>
                <w:szCs w:val="20"/>
              </w:rPr>
              <w:fldChar w:fldCharType="end"/>
            </w:r>
          </w:p>
        </w:tc>
        <w:tc>
          <w:tcPr>
            <w:tcW w:w="2552" w:type="dxa"/>
            <w:vAlign w:val="center"/>
          </w:tcPr>
          <w:p w14:paraId="66493F6B" w14:textId="77777777" w:rsidR="008A77FC" w:rsidRPr="000D7794"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 xml:space="preserve">LCA </w:t>
            </w:r>
            <w:r w:rsidRPr="000D7794">
              <w:rPr>
                <w:rFonts w:ascii="Times New Roman" w:hAnsi="Times New Roman" w:cs="Times New Roman"/>
                <w:sz w:val="18"/>
                <w:szCs w:val="20"/>
              </w:rPr>
              <w:t xml:space="preserve">Avoid-Shift-Improve (ASI) </w:t>
            </w:r>
            <w:r>
              <w:rPr>
                <w:rFonts w:ascii="Times New Roman" w:hAnsi="Times New Roman" w:cs="Times New Roman"/>
                <w:sz w:val="18"/>
                <w:szCs w:val="20"/>
              </w:rPr>
              <w:t>framework</w:t>
            </w:r>
            <w:r>
              <w:rPr>
                <w:rFonts w:ascii="Times New Roman" w:hAnsi="Times New Roman" w:cs="Times New Roman" w:hint="eastAsia"/>
                <w:sz w:val="18"/>
                <w:szCs w:val="20"/>
              </w:rPr>
              <w:t xml:space="preserve"> to explore the impact of </w:t>
            </w:r>
            <w:r w:rsidRPr="000D7794">
              <w:rPr>
                <w:rFonts w:ascii="Times New Roman" w:hAnsi="Times New Roman" w:cs="Times New Roman"/>
                <w:sz w:val="18"/>
                <w:szCs w:val="20"/>
              </w:rPr>
              <w:t>building demand-side solutions (DSS)</w:t>
            </w:r>
          </w:p>
        </w:tc>
        <w:tc>
          <w:tcPr>
            <w:tcW w:w="1843" w:type="dxa"/>
            <w:vAlign w:val="center"/>
          </w:tcPr>
          <w:p w14:paraId="2312CF3A"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Residential building carbon emissions and NPV</w:t>
            </w:r>
          </w:p>
        </w:tc>
        <w:tc>
          <w:tcPr>
            <w:tcW w:w="1417" w:type="dxa"/>
            <w:vAlign w:val="center"/>
          </w:tcPr>
          <w:p w14:paraId="23A4B85E"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Urban and rural residential buildings in China</w:t>
            </w:r>
          </w:p>
        </w:tc>
        <w:tc>
          <w:tcPr>
            <w:tcW w:w="1287" w:type="dxa"/>
            <w:vAlign w:val="center"/>
          </w:tcPr>
          <w:p w14:paraId="0141AEE4"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2020-2060</w:t>
            </w:r>
          </w:p>
        </w:tc>
        <w:tc>
          <w:tcPr>
            <w:tcW w:w="2152" w:type="dxa"/>
            <w:vAlign w:val="center"/>
          </w:tcPr>
          <w:p w14:paraId="4FDF11E8" w14:textId="77777777" w:rsidR="008A77FC" w:rsidRPr="00F46F91" w:rsidRDefault="008A77FC" w:rsidP="00EA3270">
            <w:pPr>
              <w:jc w:val="center"/>
              <w:rPr>
                <w:rFonts w:ascii="Times New Roman" w:hAnsi="Times New Roman" w:cs="Times New Roman"/>
                <w:sz w:val="18"/>
                <w:szCs w:val="20"/>
              </w:rPr>
            </w:pPr>
            <w:r w:rsidRPr="00EC7146">
              <w:rPr>
                <w:rFonts w:ascii="Times New Roman" w:hAnsi="Times New Roman" w:cs="Times New Roman"/>
                <w:sz w:val="18"/>
                <w:szCs w:val="20"/>
              </w:rPr>
              <w:t xml:space="preserve">11 single-DSS-measure scenarios and 9 typical combinations, including: Low (Base), medium (ASI1), and high levels (ASI2) of all measures; </w:t>
            </w:r>
            <w:r w:rsidRPr="00EC7146">
              <w:rPr>
                <w:rFonts w:ascii="Times New Roman" w:hAnsi="Times New Roman" w:cs="Times New Roman"/>
                <w:sz w:val="18"/>
                <w:szCs w:val="20"/>
              </w:rPr>
              <w:lastRenderedPageBreak/>
              <w:t>high level of only avoid (A2), shift (S2) or improve (I2) measures; scenario with most optimistic decarbonization (PD), NPV-saving (PNS), and cost</w:t>
            </w:r>
            <w:r>
              <w:rPr>
                <w:rFonts w:ascii="Times New Roman" w:hAnsi="Times New Roman" w:cs="Times New Roman" w:hint="eastAsia"/>
                <w:sz w:val="18"/>
                <w:szCs w:val="20"/>
              </w:rPr>
              <w:t xml:space="preserve"> </w:t>
            </w:r>
            <w:r w:rsidRPr="00EC7146">
              <w:rPr>
                <w:rFonts w:ascii="Times New Roman" w:hAnsi="Times New Roman" w:cs="Times New Roman"/>
                <w:sz w:val="18"/>
                <w:szCs w:val="20"/>
              </w:rPr>
              <w:t>effectiveness (PCE)</w:t>
            </w:r>
          </w:p>
        </w:tc>
        <w:tc>
          <w:tcPr>
            <w:tcW w:w="2373" w:type="dxa"/>
            <w:vAlign w:val="center"/>
          </w:tcPr>
          <w:p w14:paraId="3BBECA26"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lastRenderedPageBreak/>
              <w:t>3 climate zones including northern area, transition area and southern area</w:t>
            </w:r>
          </w:p>
        </w:tc>
      </w:tr>
      <w:tr w:rsidR="008A77FC" w14:paraId="24EF32D0" w14:textId="77777777" w:rsidTr="00BC6A5D">
        <w:trPr>
          <w:jc w:val="center"/>
        </w:trPr>
        <w:tc>
          <w:tcPr>
            <w:tcW w:w="704" w:type="dxa"/>
            <w:vAlign w:val="center"/>
          </w:tcPr>
          <w:p w14:paraId="2B59A1D8"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5</w:t>
            </w:r>
          </w:p>
        </w:tc>
        <w:tc>
          <w:tcPr>
            <w:tcW w:w="1559" w:type="dxa"/>
            <w:vAlign w:val="center"/>
          </w:tcPr>
          <w:p w14:paraId="28A29B3C" w14:textId="21252B2C"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Zhang et al., 2025</w:t>
            </w:r>
            <w:r>
              <w:rPr>
                <w:rFonts w:ascii="Times New Roman" w:hAnsi="Times New Roman" w:cs="Times New Roman"/>
                <w:sz w:val="18"/>
                <w:szCs w:val="20"/>
              </w:rPr>
              <w:fldChar w:fldCharType="begin"/>
            </w:r>
            <w:r>
              <w:rPr>
                <w:rFonts w:ascii="Times New Roman" w:hAnsi="Times New Roman" w:cs="Times New Roman"/>
                <w:sz w:val="18"/>
                <w:szCs w:val="20"/>
              </w:rPr>
              <w:instrText xml:space="preserve"> ADDIN ZOTERO_ITEM CSL_CITATION {"citationID":"1lSTjcuS","properties":{"formattedCitation":"\\super 5\\nosupersub{}","plainCitation":"5","noteIndex":0},"citationItems":[{"id":193,"uris":["http://zotero.org/users/13271698/items/YCIS2UE4"],"itemData":{"id":193,"type":"article-journal","container-title":"Nature Communications","DOI":"10.1038/s41467-025-62442-1","ISSN":"2041-1723","issue":"1","journalAbbreviation":"Nat Commun","language":"en","page":"7153","source":"DOI.org (Crossref)","title":"Revealing the interplay between decarbonisation, circularity, and cost-effectiveness in building energy renovation","volume":"16","author":[{"family":"Zhang","given":"Chunbo"},{"family":"Hu","given":"Mingming"},{"family":"Sprecher","given":"Benjamin"},{"family":"Sacchi","given":"Romain"},{"family":"Yang","given":"Xining"},{"family":"Yang","given":"Shiyu"},{"family":"Verhagen","given":"Teun Johannes"},{"family":"Zhang","given":"Chi"},{"family":"Steubing","given":"Bernhard"},{"family":"Tukker","given":"Arnold"}],"issued":{"date-parts":[["2025",8,4]]}}}],"schema":"https://github.com/citation-style-language/schema/raw/master/csl-citation.json"} </w:instrText>
            </w:r>
            <w:r>
              <w:rPr>
                <w:rFonts w:ascii="Times New Roman" w:hAnsi="Times New Roman" w:cs="Times New Roman"/>
                <w:sz w:val="18"/>
                <w:szCs w:val="20"/>
              </w:rPr>
              <w:fldChar w:fldCharType="separate"/>
            </w:r>
            <w:r w:rsidRPr="006B726D">
              <w:rPr>
                <w:rFonts w:ascii="Times New Roman" w:hAnsi="Times New Roman" w:cs="Times New Roman"/>
                <w:sz w:val="18"/>
                <w:vertAlign w:val="superscript"/>
              </w:rPr>
              <w:t>5</w:t>
            </w:r>
            <w:r>
              <w:rPr>
                <w:rFonts w:ascii="Times New Roman" w:hAnsi="Times New Roman" w:cs="Times New Roman"/>
                <w:sz w:val="18"/>
                <w:szCs w:val="20"/>
              </w:rPr>
              <w:fldChar w:fldCharType="end"/>
            </w:r>
          </w:p>
        </w:tc>
        <w:tc>
          <w:tcPr>
            <w:tcW w:w="2552" w:type="dxa"/>
            <w:vAlign w:val="center"/>
          </w:tcPr>
          <w:p w14:paraId="012A1661"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Dynamic material flow analysis with a lifecycle footprint analysis</w:t>
            </w:r>
          </w:p>
        </w:tc>
        <w:tc>
          <w:tcPr>
            <w:tcW w:w="1843" w:type="dxa"/>
            <w:vAlign w:val="center"/>
          </w:tcPr>
          <w:p w14:paraId="46A948F3"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The interplay between carbon, material, and economic footprint in Dutch residential sector</w:t>
            </w:r>
          </w:p>
        </w:tc>
        <w:tc>
          <w:tcPr>
            <w:tcW w:w="1417" w:type="dxa"/>
            <w:vAlign w:val="center"/>
          </w:tcPr>
          <w:p w14:paraId="67607794"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Dutch residential sector</w:t>
            </w:r>
          </w:p>
        </w:tc>
        <w:tc>
          <w:tcPr>
            <w:tcW w:w="1287" w:type="dxa"/>
            <w:vAlign w:val="center"/>
          </w:tcPr>
          <w:p w14:paraId="7AD8643F"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2015-2050</w:t>
            </w:r>
          </w:p>
        </w:tc>
        <w:tc>
          <w:tcPr>
            <w:tcW w:w="2152" w:type="dxa"/>
            <w:vAlign w:val="center"/>
          </w:tcPr>
          <w:p w14:paraId="5A8AABE9"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Carbon, material, and economic footprint</w:t>
            </w:r>
          </w:p>
        </w:tc>
        <w:tc>
          <w:tcPr>
            <w:tcW w:w="2373" w:type="dxa"/>
            <w:vAlign w:val="center"/>
          </w:tcPr>
          <w:p w14:paraId="14F2008F"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 xml:space="preserve">Houses are divided into 5 types (detached, semi-detached, terraced, apartment and </w:t>
            </w:r>
            <w:proofErr w:type="spellStart"/>
            <w:r>
              <w:rPr>
                <w:rFonts w:ascii="Times New Roman" w:hAnsi="Times New Roman" w:cs="Times New Roman" w:hint="eastAsia"/>
                <w:sz w:val="18"/>
                <w:szCs w:val="20"/>
              </w:rPr>
              <w:t>maisonette</w:t>
            </w:r>
            <w:proofErr w:type="spellEnd"/>
            <w:r>
              <w:rPr>
                <w:rFonts w:ascii="Times New Roman" w:hAnsi="Times New Roman" w:cs="Times New Roman" w:hint="eastAsia"/>
                <w:sz w:val="18"/>
                <w:szCs w:val="20"/>
              </w:rPr>
              <w:t>) under 5 vintage types (Newly built home 2015-2050, Existing home 2001-2014, 1981-2000, 1961-1980, up to 1960).</w:t>
            </w:r>
          </w:p>
        </w:tc>
      </w:tr>
      <w:tr w:rsidR="008A77FC" w14:paraId="594190EF" w14:textId="77777777" w:rsidTr="00BC6A5D">
        <w:trPr>
          <w:jc w:val="center"/>
        </w:trPr>
        <w:tc>
          <w:tcPr>
            <w:tcW w:w="704" w:type="dxa"/>
            <w:vAlign w:val="center"/>
          </w:tcPr>
          <w:p w14:paraId="077D1BB3"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6</w:t>
            </w:r>
          </w:p>
        </w:tc>
        <w:tc>
          <w:tcPr>
            <w:tcW w:w="1559" w:type="dxa"/>
            <w:vAlign w:val="center"/>
          </w:tcPr>
          <w:p w14:paraId="659C561A" w14:textId="1DCD370B"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Wang et al., 2022</w:t>
            </w:r>
            <w:r>
              <w:rPr>
                <w:rFonts w:ascii="Times New Roman" w:hAnsi="Times New Roman" w:cs="Times New Roman"/>
                <w:sz w:val="18"/>
                <w:szCs w:val="20"/>
              </w:rPr>
              <w:fldChar w:fldCharType="begin"/>
            </w:r>
            <w:r>
              <w:rPr>
                <w:rFonts w:ascii="Times New Roman" w:hAnsi="Times New Roman" w:cs="Times New Roman"/>
                <w:sz w:val="18"/>
                <w:szCs w:val="20"/>
              </w:rPr>
              <w:instrText xml:space="preserve"> ADDIN ZOTERO_ITEM CSL_CITATION {"citationID":"8prSNlWk","properties":{"formattedCitation":"\\super 6\\nosupersub{}","plainCitation":"6","noteIndex":0},"citationItems":[{"id":132,"uris":["http://zotero.org/users/13271698/items/DWJR9SKA"],"itemData":{"id":132,"type":"article-journal","container-title":"Journal of Cleaner Production","DOI":"10.1016/j.jclepro.2022.134272","ISSN":"09596526","journalAbbreviation":"Journal of Cleaner Production","language":"en","page":"134272","source":"DOI.org (Crossref)","title":"High-resolution temporal and spatial evolution of carbon emissions from building operations in Beijing","volume":"376","author":[{"family":"Wang","given":"Jingjing"},{"family":"Wei","given":"Jiajia"},{"family":"Zhang","given":"Weirong"},{"family":"Liu","given":"Zhansheng"},{"family":"Du","given":"Xiuli"},{"family":"Liu","given":"Wenxiang"},{"family":"Pan","given":"Ke"}],"issued":{"date-parts":[["2022",11]]}}}],"schema":"https://github.com/citation-style-language/schema/raw/master/csl-citation.json"} </w:instrText>
            </w:r>
            <w:r>
              <w:rPr>
                <w:rFonts w:ascii="Times New Roman" w:hAnsi="Times New Roman" w:cs="Times New Roman"/>
                <w:sz w:val="18"/>
                <w:szCs w:val="20"/>
              </w:rPr>
              <w:fldChar w:fldCharType="separate"/>
            </w:r>
            <w:r w:rsidRPr="006B726D">
              <w:rPr>
                <w:rFonts w:ascii="Times New Roman" w:hAnsi="Times New Roman" w:cs="Times New Roman"/>
                <w:sz w:val="18"/>
                <w:vertAlign w:val="superscript"/>
              </w:rPr>
              <w:t>6</w:t>
            </w:r>
            <w:r>
              <w:rPr>
                <w:rFonts w:ascii="Times New Roman" w:hAnsi="Times New Roman" w:cs="Times New Roman"/>
                <w:sz w:val="18"/>
                <w:szCs w:val="20"/>
              </w:rPr>
              <w:fldChar w:fldCharType="end"/>
            </w:r>
          </w:p>
        </w:tc>
        <w:tc>
          <w:tcPr>
            <w:tcW w:w="2552" w:type="dxa"/>
            <w:vAlign w:val="center"/>
          </w:tcPr>
          <w:p w14:paraId="39A00680" w14:textId="77777777" w:rsidR="008A77FC" w:rsidRPr="004E1EBE"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 xml:space="preserve">Combining POI data processing and emission factor approach to conduct spatial temporal </w:t>
            </w:r>
            <w:r>
              <w:rPr>
                <w:rFonts w:ascii="Times New Roman" w:hAnsi="Times New Roman" w:cs="Times New Roman"/>
                <w:sz w:val="18"/>
                <w:szCs w:val="20"/>
              </w:rPr>
              <w:t>analysis</w:t>
            </w:r>
            <w:r>
              <w:rPr>
                <w:rFonts w:ascii="Times New Roman" w:hAnsi="Times New Roman" w:cs="Times New Roman" w:hint="eastAsia"/>
                <w:sz w:val="18"/>
                <w:szCs w:val="20"/>
              </w:rPr>
              <w:t xml:space="preserve"> of carbon emissions from building operation </w:t>
            </w:r>
          </w:p>
        </w:tc>
        <w:tc>
          <w:tcPr>
            <w:tcW w:w="1843" w:type="dxa"/>
            <w:vAlign w:val="center"/>
          </w:tcPr>
          <w:p w14:paraId="4B263B49"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Carbon emissions from building operation</w:t>
            </w:r>
          </w:p>
        </w:tc>
        <w:tc>
          <w:tcPr>
            <w:tcW w:w="1417" w:type="dxa"/>
            <w:vAlign w:val="center"/>
          </w:tcPr>
          <w:p w14:paraId="14BD30BF"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 xml:space="preserve">Beijing </w:t>
            </w:r>
          </w:p>
        </w:tc>
        <w:tc>
          <w:tcPr>
            <w:tcW w:w="1287" w:type="dxa"/>
            <w:vAlign w:val="center"/>
          </w:tcPr>
          <w:p w14:paraId="3903BEF8"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2005-2020</w:t>
            </w:r>
          </w:p>
        </w:tc>
        <w:tc>
          <w:tcPr>
            <w:tcW w:w="2152" w:type="dxa"/>
            <w:vAlign w:val="center"/>
          </w:tcPr>
          <w:p w14:paraId="5FC1F0AE" w14:textId="77777777" w:rsidR="008A77FC" w:rsidRPr="00FD4B83" w:rsidRDefault="008A77FC" w:rsidP="00EA3270">
            <w:pPr>
              <w:jc w:val="center"/>
              <w:rPr>
                <w:rFonts w:ascii="Times New Roman" w:hAnsi="Times New Roman" w:cs="Times New Roman"/>
                <w:sz w:val="18"/>
                <w:szCs w:val="20"/>
              </w:rPr>
            </w:pPr>
            <w:r>
              <w:rPr>
                <w:rFonts w:ascii="Times New Roman" w:hAnsi="Times New Roman" w:cs="Times New Roman"/>
                <w:sz w:val="18"/>
                <w:szCs w:val="20"/>
              </w:rPr>
              <w:t>T</w:t>
            </w:r>
            <w:r>
              <w:rPr>
                <w:rFonts w:ascii="Times New Roman" w:hAnsi="Times New Roman" w:cs="Times New Roman" w:hint="eastAsia"/>
                <w:sz w:val="18"/>
                <w:szCs w:val="20"/>
              </w:rPr>
              <w:t xml:space="preserve">emporal and spatial distribution of carbon emissions in </w:t>
            </w:r>
            <w:r>
              <w:rPr>
                <w:rFonts w:ascii="Times New Roman" w:hAnsi="Times New Roman" w:cs="Times New Roman"/>
                <w:sz w:val="18"/>
                <w:szCs w:val="20"/>
              </w:rPr>
              <w:t>different</w:t>
            </w:r>
            <w:r>
              <w:rPr>
                <w:rFonts w:ascii="Times New Roman" w:hAnsi="Times New Roman" w:cs="Times New Roman" w:hint="eastAsia"/>
                <w:sz w:val="18"/>
                <w:szCs w:val="20"/>
              </w:rPr>
              <w:t xml:space="preserve"> sectors</w:t>
            </w:r>
          </w:p>
        </w:tc>
        <w:tc>
          <w:tcPr>
            <w:tcW w:w="2373" w:type="dxa"/>
            <w:vAlign w:val="center"/>
          </w:tcPr>
          <w:p w14:paraId="2E3B3315"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Public buildings, residential buildings, industrial buildings and transportation hubs</w:t>
            </w:r>
          </w:p>
        </w:tc>
      </w:tr>
      <w:tr w:rsidR="008A77FC" w14:paraId="5959EF1C" w14:textId="77777777" w:rsidTr="00BC6A5D">
        <w:trPr>
          <w:jc w:val="center"/>
        </w:trPr>
        <w:tc>
          <w:tcPr>
            <w:tcW w:w="704" w:type="dxa"/>
            <w:vAlign w:val="center"/>
          </w:tcPr>
          <w:p w14:paraId="43621078"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7</w:t>
            </w:r>
          </w:p>
        </w:tc>
        <w:tc>
          <w:tcPr>
            <w:tcW w:w="1559" w:type="dxa"/>
            <w:vAlign w:val="center"/>
          </w:tcPr>
          <w:p w14:paraId="241E97CC" w14:textId="2E4B5CB5"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Xia et al., 2025</w:t>
            </w:r>
            <w:r>
              <w:rPr>
                <w:rFonts w:ascii="Times New Roman" w:hAnsi="Times New Roman" w:cs="Times New Roman"/>
                <w:sz w:val="18"/>
                <w:szCs w:val="20"/>
              </w:rPr>
              <w:fldChar w:fldCharType="begin"/>
            </w:r>
            <w:r>
              <w:rPr>
                <w:rFonts w:ascii="Times New Roman" w:hAnsi="Times New Roman" w:cs="Times New Roman"/>
                <w:sz w:val="18"/>
                <w:szCs w:val="20"/>
              </w:rPr>
              <w:instrText xml:space="preserve"> ADDIN ZOTERO_ITEM CSL_CITATION {"citationID":"1tt1D8j9","properties":{"formattedCitation":"\\super 7\\nosupersub{}","plainCitation":"7","noteIndex":0},"citationItems":[{"id":126,"uris":["http://zotero.org/users/13271698/items/QH4Y2A4X"],"itemData":{"id":126,"type":"article-journal","container-title":"Nature Communications","DOI":"10.1038/s41467-025-62879-4","ISSN":"2041-1723","issue":"1","journalAbbreviation":"Nat Commun","language":"en","page":"7661","source":"DOI.org (Crossref)","title":"Exploiting vacant urban residential buildings to promote carbon neutrality in China","volume":"16","author":[{"family":"Xia","given":"Bing"},{"family":"Xiao","given":"Jianzhuang"},{"family":"Liu","given":"Gang"},{"family":"Guan","given":"Xiangshuo"},{"family":"Lu","given":"Yue"},{"family":"Wang","given":"Yong C."}],"issued":{"date-parts":[["2025",8,18]]}}}],"schema":"https://github.com/citation-style-language/schema/raw/master/csl-citation.json"} </w:instrText>
            </w:r>
            <w:r>
              <w:rPr>
                <w:rFonts w:ascii="Times New Roman" w:hAnsi="Times New Roman" w:cs="Times New Roman"/>
                <w:sz w:val="18"/>
                <w:szCs w:val="20"/>
              </w:rPr>
              <w:fldChar w:fldCharType="separate"/>
            </w:r>
            <w:r w:rsidRPr="005974DB">
              <w:rPr>
                <w:rFonts w:ascii="Times New Roman" w:hAnsi="Times New Roman" w:cs="Times New Roman"/>
                <w:sz w:val="18"/>
                <w:vertAlign w:val="superscript"/>
              </w:rPr>
              <w:t>7</w:t>
            </w:r>
            <w:r>
              <w:rPr>
                <w:rFonts w:ascii="Times New Roman" w:hAnsi="Times New Roman" w:cs="Times New Roman"/>
                <w:sz w:val="18"/>
                <w:szCs w:val="20"/>
              </w:rPr>
              <w:fldChar w:fldCharType="end"/>
            </w:r>
          </w:p>
        </w:tc>
        <w:tc>
          <w:tcPr>
            <w:tcW w:w="2552" w:type="dxa"/>
            <w:vAlign w:val="center"/>
          </w:tcPr>
          <w:p w14:paraId="44B23C89"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A</w:t>
            </w:r>
            <w:r w:rsidRPr="002021D0">
              <w:rPr>
                <w:rFonts w:ascii="Times New Roman" w:hAnsi="Times New Roman" w:cs="Times New Roman"/>
                <w:sz w:val="18"/>
                <w:szCs w:val="20"/>
              </w:rPr>
              <w:t xml:space="preserve"> dynamic housing stock model that incorporates housing vacancy</w:t>
            </w:r>
          </w:p>
        </w:tc>
        <w:tc>
          <w:tcPr>
            <w:tcW w:w="1843" w:type="dxa"/>
            <w:vAlign w:val="center"/>
          </w:tcPr>
          <w:p w14:paraId="04C91BEE"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Residential building</w:t>
            </w:r>
          </w:p>
        </w:tc>
        <w:tc>
          <w:tcPr>
            <w:tcW w:w="1417" w:type="dxa"/>
            <w:vAlign w:val="center"/>
          </w:tcPr>
          <w:p w14:paraId="324129DE"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China</w:t>
            </w:r>
          </w:p>
        </w:tc>
        <w:tc>
          <w:tcPr>
            <w:tcW w:w="1287" w:type="dxa"/>
            <w:vAlign w:val="center"/>
          </w:tcPr>
          <w:p w14:paraId="08EFEA2A"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2023-2060</w:t>
            </w:r>
          </w:p>
        </w:tc>
        <w:tc>
          <w:tcPr>
            <w:tcW w:w="2152" w:type="dxa"/>
            <w:vAlign w:val="center"/>
          </w:tcPr>
          <w:p w14:paraId="76F70FCB"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Housing vacancy rate</w:t>
            </w:r>
          </w:p>
        </w:tc>
        <w:tc>
          <w:tcPr>
            <w:tcW w:w="2373" w:type="dxa"/>
            <w:vAlign w:val="center"/>
          </w:tcPr>
          <w:p w14:paraId="7F25C3F8"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All completed residential buildings is classify into demolished, vacant and in-service. V</w:t>
            </w:r>
            <w:r w:rsidRPr="000E063A">
              <w:rPr>
                <w:rFonts w:ascii="Times New Roman" w:hAnsi="Times New Roman" w:cs="Times New Roman"/>
                <w:sz w:val="18"/>
                <w:szCs w:val="20"/>
              </w:rPr>
              <w:t xml:space="preserve">acant residential buildings </w:t>
            </w:r>
            <w:r>
              <w:rPr>
                <w:rFonts w:ascii="Times New Roman" w:hAnsi="Times New Roman" w:cs="Times New Roman" w:hint="eastAsia"/>
                <w:sz w:val="18"/>
                <w:szCs w:val="20"/>
              </w:rPr>
              <w:t xml:space="preserve">are divided into </w:t>
            </w:r>
            <w:r w:rsidRPr="000E063A">
              <w:rPr>
                <w:rFonts w:ascii="Times New Roman" w:hAnsi="Times New Roman" w:cs="Times New Roman"/>
                <w:sz w:val="18"/>
                <w:szCs w:val="20"/>
              </w:rPr>
              <w:lastRenderedPageBreak/>
              <w:t>underused, new vacant, and reusable residential building</w:t>
            </w:r>
          </w:p>
        </w:tc>
      </w:tr>
      <w:tr w:rsidR="008A77FC" w14:paraId="5F9006D0" w14:textId="77777777" w:rsidTr="00BC6A5D">
        <w:trPr>
          <w:jc w:val="center"/>
        </w:trPr>
        <w:tc>
          <w:tcPr>
            <w:tcW w:w="704" w:type="dxa"/>
            <w:vAlign w:val="center"/>
          </w:tcPr>
          <w:p w14:paraId="6A36F556"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lastRenderedPageBreak/>
              <w:t>8</w:t>
            </w:r>
          </w:p>
        </w:tc>
        <w:tc>
          <w:tcPr>
            <w:tcW w:w="1559" w:type="dxa"/>
            <w:vAlign w:val="center"/>
          </w:tcPr>
          <w:p w14:paraId="596EE139" w14:textId="3BA28C6F" w:rsidR="008A77FC" w:rsidRPr="00F46F91" w:rsidRDefault="008A77FC" w:rsidP="00EA3270">
            <w:pPr>
              <w:jc w:val="center"/>
              <w:rPr>
                <w:rFonts w:ascii="Times New Roman" w:hAnsi="Times New Roman" w:cs="Times New Roman"/>
                <w:sz w:val="18"/>
                <w:szCs w:val="20"/>
              </w:rPr>
            </w:pPr>
            <w:proofErr w:type="spellStart"/>
            <w:r w:rsidRPr="00472BFE">
              <w:rPr>
                <w:rFonts w:ascii="Times New Roman" w:hAnsi="Times New Roman" w:cs="Times New Roman"/>
                <w:sz w:val="18"/>
                <w:szCs w:val="20"/>
              </w:rPr>
              <w:t>Güneralp</w:t>
            </w:r>
            <w:proofErr w:type="spellEnd"/>
            <w:r>
              <w:rPr>
                <w:rFonts w:ascii="Times New Roman" w:hAnsi="Times New Roman" w:cs="Times New Roman" w:hint="eastAsia"/>
                <w:sz w:val="18"/>
                <w:szCs w:val="20"/>
              </w:rPr>
              <w:t xml:space="preserve"> et al., 2017</w:t>
            </w:r>
            <w:r>
              <w:rPr>
                <w:rFonts w:ascii="Times New Roman" w:hAnsi="Times New Roman" w:cs="Times New Roman"/>
                <w:sz w:val="18"/>
                <w:szCs w:val="20"/>
              </w:rPr>
              <w:fldChar w:fldCharType="begin"/>
            </w:r>
            <w:r>
              <w:rPr>
                <w:rFonts w:ascii="Times New Roman" w:hAnsi="Times New Roman" w:cs="Times New Roman"/>
                <w:sz w:val="18"/>
                <w:szCs w:val="20"/>
              </w:rPr>
              <w:instrText xml:space="preserve"> ADDIN ZOTERO_ITEM CSL_CITATION {"citationID":"JQVXJMBN","properties":{"formattedCitation":"\\super 8\\nosupersub{}","plainCitation":"8","noteIndex":0},"citationItems":[{"id":128,"uris":["http://zotero.org/users/13271698/items/VN6IC6RE"],"itemData":{"id":128,"type":"article-journal","abstract":"Significance\n            Urban density significantly impacts urban energy use and the quality of life of urban residents. Here, we provide a global-scale analysis of future urban densities and associated energy use in the built environment under different urbanization scenarios. The relative importance of urban density and energy-efficient technologies varies geographically. In developing regions, urban density tends to be the more critical factor in building energy use. Large-scale retrofitting of building stock later rather than sooner results in more energy savings by the middle of the century. Reducing building energy use, improving the local environment, and mitigating climate change can be achieved through systemic efforts that take potential co-benefits and trade-offs of both higher urban density and building energy efficiency into account.\n          , \n            Although the scale of impending urbanization is well-acknowledged, we have a limited understanding of how urban forms will change and what their impact will be on building energy use. Using both top-down and bottom-up approaches and scenarios, we examine building energy use for heating and cooling. Globally, the energy use for heating and cooling by the middle of the century will be between 45 and 59 exajoules per year (corresponding to an increase of 7–40% since 2010). Most of this variability is due to the uncertainty in future urban densities of rapidly growing cities in Asia and particularly China. Dense urban development leads to less urban energy use overall. Waiting to retrofit the existing built environment until markets are ready in about 5 years to widely deploy the most advanced renovation technologies leads to more savings in building energy use. Potential for savings in energy use is greatest in China when coupled with efficiency gains. Advanced efficiency makes the least difference compared with the business-as-usual scenario in South Asia and Sub-Saharan Africa but significantly contributes to energy savings in North America and Europe. Systemic efforts that focus on both urban form, of which urban density is an indicator, and energy-efficient technologies, but that also account for potential co-benefits and trade-offs with human well-being can contribute to both local and global sustainability. Particularly in growing cities in the developing world, such efforts can improve the well-being of billions of urban residents and contribute to mitigating climate change by reducing energy use in urban areas.","container-title":"Proceedings of the National Academy of Sciences","DOI":"10.1073/pnas.1606035114","ISSN":"0027-8424, 1091-6490","issue":"34","journalAbbreviation":"Proc. Natl. Acad. Sci. U.S.A.","language":"en","page":"8945-8950","source":"DOI.org (Crossref)","title":"Global scenarios of urban density and its impacts on building energy use through 2050","volume":"114","author":[{"family":"Güneralp","given":"Burak"},{"family":"Zhou","given":"Yuyu"},{"family":"Ürge-Vorsatz","given":"Diana"},{"family":"Gupta","given":"Mukesh"},{"family":"Yu","given":"Sha"},{"family":"Patel","given":"Pralit L."},{"family":"Fragkias","given":"Michail"},{"family":"Li","given":"Xiaoma"},{"family":"Seto","given":"Karen C."}],"issued":{"date-parts":[["2017",8,22]]}}}],"schema":"https://github.com/citation-style-language/schema/raw/master/csl-citation.json"} </w:instrText>
            </w:r>
            <w:r>
              <w:rPr>
                <w:rFonts w:ascii="Times New Roman" w:hAnsi="Times New Roman" w:cs="Times New Roman"/>
                <w:sz w:val="18"/>
                <w:szCs w:val="20"/>
              </w:rPr>
              <w:fldChar w:fldCharType="separate"/>
            </w:r>
            <w:r w:rsidRPr="005974DB">
              <w:rPr>
                <w:rFonts w:ascii="Times New Roman" w:hAnsi="Times New Roman" w:cs="Times New Roman"/>
                <w:sz w:val="18"/>
                <w:vertAlign w:val="superscript"/>
              </w:rPr>
              <w:t>8</w:t>
            </w:r>
            <w:r>
              <w:rPr>
                <w:rFonts w:ascii="Times New Roman" w:hAnsi="Times New Roman" w:cs="Times New Roman"/>
                <w:sz w:val="18"/>
                <w:szCs w:val="20"/>
              </w:rPr>
              <w:fldChar w:fldCharType="end"/>
            </w:r>
          </w:p>
        </w:tc>
        <w:tc>
          <w:tcPr>
            <w:tcW w:w="2552" w:type="dxa"/>
            <w:vAlign w:val="center"/>
          </w:tcPr>
          <w:p w14:paraId="0DC320A6" w14:textId="77777777" w:rsidR="008A77FC" w:rsidRPr="00472BFE"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 xml:space="preserve">GCAM is used to quantify the </w:t>
            </w:r>
            <w:r>
              <w:rPr>
                <w:rFonts w:ascii="Times New Roman" w:hAnsi="Times New Roman" w:cs="Times New Roman"/>
                <w:sz w:val="18"/>
                <w:szCs w:val="20"/>
              </w:rPr>
              <w:t>influence</w:t>
            </w:r>
            <w:r>
              <w:rPr>
                <w:rFonts w:ascii="Times New Roman" w:hAnsi="Times New Roman" w:cs="Times New Roman" w:hint="eastAsia"/>
                <w:sz w:val="18"/>
                <w:szCs w:val="20"/>
              </w:rPr>
              <w:t xml:space="preserve"> of urban density on energy use of heating and cooling from top-down perspectives. Bottom-up 3CSEP HEB model is used to quantify the energy savings from retrofitting options. </w:t>
            </w:r>
          </w:p>
        </w:tc>
        <w:tc>
          <w:tcPr>
            <w:tcW w:w="1843" w:type="dxa"/>
            <w:vAlign w:val="center"/>
          </w:tcPr>
          <w:p w14:paraId="11C84B16"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Urban population densities, Energy use for heating and cooling</w:t>
            </w:r>
          </w:p>
        </w:tc>
        <w:tc>
          <w:tcPr>
            <w:tcW w:w="1417" w:type="dxa"/>
            <w:vAlign w:val="center"/>
          </w:tcPr>
          <w:p w14:paraId="4BF5491B"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Global and 11 regions</w:t>
            </w:r>
          </w:p>
        </w:tc>
        <w:tc>
          <w:tcPr>
            <w:tcW w:w="1287" w:type="dxa"/>
            <w:vAlign w:val="center"/>
          </w:tcPr>
          <w:p w14:paraId="1C0280E7"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2020-2050</w:t>
            </w:r>
          </w:p>
        </w:tc>
        <w:tc>
          <w:tcPr>
            <w:tcW w:w="2152" w:type="dxa"/>
            <w:vAlign w:val="center"/>
          </w:tcPr>
          <w:p w14:paraId="2717ED92"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sz w:val="18"/>
                <w:szCs w:val="20"/>
              </w:rPr>
              <w:t>B</w:t>
            </w:r>
            <w:r>
              <w:rPr>
                <w:rFonts w:ascii="Times New Roman" w:hAnsi="Times New Roman" w:cs="Times New Roman" w:hint="eastAsia"/>
                <w:sz w:val="18"/>
                <w:szCs w:val="20"/>
              </w:rPr>
              <w:t>uilding energy use</w:t>
            </w:r>
          </w:p>
        </w:tc>
        <w:tc>
          <w:tcPr>
            <w:tcW w:w="2373" w:type="dxa"/>
            <w:vAlign w:val="center"/>
          </w:tcPr>
          <w:p w14:paraId="5C01B0BC" w14:textId="63C5E4B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Urban population density</w:t>
            </w:r>
          </w:p>
        </w:tc>
      </w:tr>
      <w:tr w:rsidR="008A77FC" w14:paraId="0A27B031" w14:textId="77777777" w:rsidTr="00BC6A5D">
        <w:trPr>
          <w:jc w:val="center"/>
        </w:trPr>
        <w:tc>
          <w:tcPr>
            <w:tcW w:w="704" w:type="dxa"/>
            <w:vAlign w:val="center"/>
          </w:tcPr>
          <w:p w14:paraId="336237E6"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9</w:t>
            </w:r>
          </w:p>
        </w:tc>
        <w:tc>
          <w:tcPr>
            <w:tcW w:w="1559" w:type="dxa"/>
            <w:vAlign w:val="center"/>
          </w:tcPr>
          <w:p w14:paraId="5A074054" w14:textId="10C4DA83"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Tang et al., 2025</w:t>
            </w:r>
            <w:r>
              <w:rPr>
                <w:rFonts w:ascii="Times New Roman" w:hAnsi="Times New Roman" w:cs="Times New Roman"/>
                <w:sz w:val="18"/>
                <w:szCs w:val="20"/>
              </w:rPr>
              <w:fldChar w:fldCharType="begin"/>
            </w:r>
            <w:r>
              <w:rPr>
                <w:rFonts w:ascii="Times New Roman" w:hAnsi="Times New Roman" w:cs="Times New Roman"/>
                <w:sz w:val="18"/>
                <w:szCs w:val="20"/>
              </w:rPr>
              <w:instrText xml:space="preserve"> ADDIN ZOTERO_ITEM CSL_CITATION {"citationID":"bPkW4U2f","properties":{"formattedCitation":"\\super 9\\nosupersub{}","plainCitation":"9","noteIndex":0},"citationItems":[{"id":131,"uris":["http://zotero.org/users/13271698/items/TS6IJDHU"],"itemData":{"id":131,"type":"article-journal","container-title":"Sustainable Cities and Society","DOI":"10.1016/j.scs.2025.106708","ISSN":"22106707","journalAbbreviation":"Sustainable Cities and Society","language":"en","page":"106708","source":"DOI.org (Crossref)","title":"High resolution spatial distribution of CO₂ emissions from building operations and driving factors in the Guangdong-Hong Kong-Macao Greater Bay Area","volume":"131","author":[{"family":"Tang","given":"Yao"},{"family":"Hong","given":"Song"},{"family":"Shi","given":"Shuai"},{"family":"Wu","given":"Shengbiao"},{"family":"Chen","given":"Bin"},{"family":"Yang","given":"Lu"},{"family":"He","given":"Chao"},{"family":"Zhou","given":"Xiaoyan"}],"issued":{"date-parts":[["2025",9]]}}}],"schema":"https://github.com/citation-style-language/schema/raw/master/csl-citation.json"} </w:instrText>
            </w:r>
            <w:r>
              <w:rPr>
                <w:rFonts w:ascii="Times New Roman" w:hAnsi="Times New Roman" w:cs="Times New Roman"/>
                <w:sz w:val="18"/>
                <w:szCs w:val="20"/>
              </w:rPr>
              <w:fldChar w:fldCharType="separate"/>
            </w:r>
            <w:r w:rsidRPr="005974DB">
              <w:rPr>
                <w:rFonts w:ascii="Times New Roman" w:hAnsi="Times New Roman" w:cs="Times New Roman"/>
                <w:sz w:val="18"/>
                <w:vertAlign w:val="superscript"/>
              </w:rPr>
              <w:t>9</w:t>
            </w:r>
            <w:r>
              <w:rPr>
                <w:rFonts w:ascii="Times New Roman" w:hAnsi="Times New Roman" w:cs="Times New Roman"/>
                <w:sz w:val="18"/>
                <w:szCs w:val="20"/>
              </w:rPr>
              <w:fldChar w:fldCharType="end"/>
            </w:r>
          </w:p>
        </w:tc>
        <w:tc>
          <w:tcPr>
            <w:tcW w:w="2552" w:type="dxa"/>
            <w:vAlign w:val="center"/>
          </w:tcPr>
          <w:p w14:paraId="633BC52F"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BOCE downscaling method.</w:t>
            </w:r>
          </w:p>
          <w:p w14:paraId="070880C8"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Multi-scale Geographically Weighted Regression (MGWR)</w:t>
            </w:r>
          </w:p>
        </w:tc>
        <w:tc>
          <w:tcPr>
            <w:tcW w:w="1843" w:type="dxa"/>
            <w:vAlign w:val="center"/>
          </w:tcPr>
          <w:p w14:paraId="6C4130ED"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Building operating carbon emissions</w:t>
            </w:r>
          </w:p>
        </w:tc>
        <w:tc>
          <w:tcPr>
            <w:tcW w:w="1417" w:type="dxa"/>
            <w:vAlign w:val="center"/>
          </w:tcPr>
          <w:p w14:paraId="1BFEDDC0" w14:textId="77777777" w:rsidR="008A77FC" w:rsidRPr="00F46F91" w:rsidRDefault="008A77FC" w:rsidP="00EA3270">
            <w:pPr>
              <w:jc w:val="center"/>
              <w:rPr>
                <w:rFonts w:ascii="Times New Roman" w:hAnsi="Times New Roman" w:cs="Times New Roman"/>
                <w:sz w:val="18"/>
                <w:szCs w:val="20"/>
              </w:rPr>
            </w:pPr>
            <w:r w:rsidRPr="00DC32FF">
              <w:rPr>
                <w:rFonts w:ascii="Times New Roman" w:hAnsi="Times New Roman" w:cs="Times New Roman"/>
                <w:sz w:val="18"/>
                <w:szCs w:val="20"/>
              </w:rPr>
              <w:t>Guangdong-Hong Kong-Macao Greater Bay Area</w:t>
            </w:r>
          </w:p>
        </w:tc>
        <w:tc>
          <w:tcPr>
            <w:tcW w:w="1287" w:type="dxa"/>
            <w:vAlign w:val="center"/>
          </w:tcPr>
          <w:p w14:paraId="1B8DC6B9"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2015, 2020</w:t>
            </w:r>
          </w:p>
        </w:tc>
        <w:tc>
          <w:tcPr>
            <w:tcW w:w="2152" w:type="dxa"/>
            <w:vAlign w:val="center"/>
          </w:tcPr>
          <w:p w14:paraId="290D74FC"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1 km-resolution BOCE map</w:t>
            </w:r>
          </w:p>
        </w:tc>
        <w:tc>
          <w:tcPr>
            <w:tcW w:w="2373" w:type="dxa"/>
            <w:vAlign w:val="center"/>
          </w:tcPr>
          <w:p w14:paraId="044DAFDB" w14:textId="77777777" w:rsidR="008A77FC" w:rsidRPr="00DC32FF" w:rsidRDefault="008A77FC" w:rsidP="00EA3270">
            <w:pPr>
              <w:jc w:val="center"/>
              <w:rPr>
                <w:rFonts w:ascii="Times New Roman" w:hAnsi="Times New Roman" w:cs="Times New Roman"/>
                <w:sz w:val="18"/>
                <w:szCs w:val="20"/>
              </w:rPr>
            </w:pPr>
            <w:r>
              <w:rPr>
                <w:rFonts w:ascii="Times New Roman" w:hAnsi="Times New Roman" w:cs="Times New Roman"/>
                <w:sz w:val="18"/>
                <w:szCs w:val="20"/>
              </w:rPr>
              <w:t>P</w:t>
            </w:r>
            <w:r>
              <w:rPr>
                <w:rFonts w:ascii="Times New Roman" w:hAnsi="Times New Roman" w:cs="Times New Roman" w:hint="eastAsia"/>
                <w:sz w:val="18"/>
                <w:szCs w:val="20"/>
              </w:rPr>
              <w:t xml:space="preserve">ublic and residential, socio-economic factors, natural and </w:t>
            </w:r>
            <w:r>
              <w:rPr>
                <w:rFonts w:ascii="Times New Roman" w:hAnsi="Times New Roman" w:cs="Times New Roman"/>
                <w:sz w:val="18"/>
                <w:szCs w:val="20"/>
              </w:rPr>
              <w:t>climate</w:t>
            </w:r>
            <w:r>
              <w:rPr>
                <w:rFonts w:ascii="Times New Roman" w:hAnsi="Times New Roman" w:cs="Times New Roman" w:hint="eastAsia"/>
                <w:sz w:val="18"/>
                <w:szCs w:val="20"/>
              </w:rPr>
              <w:t xml:space="preserve"> factors.</w:t>
            </w:r>
          </w:p>
        </w:tc>
      </w:tr>
      <w:tr w:rsidR="008A77FC" w14:paraId="7267B6A7" w14:textId="77777777" w:rsidTr="00BC6A5D">
        <w:trPr>
          <w:jc w:val="center"/>
        </w:trPr>
        <w:tc>
          <w:tcPr>
            <w:tcW w:w="704" w:type="dxa"/>
            <w:vAlign w:val="center"/>
          </w:tcPr>
          <w:p w14:paraId="2F9F0B16"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10</w:t>
            </w:r>
          </w:p>
        </w:tc>
        <w:tc>
          <w:tcPr>
            <w:tcW w:w="1559" w:type="dxa"/>
            <w:vAlign w:val="center"/>
          </w:tcPr>
          <w:p w14:paraId="0379292E" w14:textId="33AC4CF3" w:rsidR="008A77FC" w:rsidRPr="00F46F91" w:rsidRDefault="008A77FC" w:rsidP="00EA3270">
            <w:pPr>
              <w:jc w:val="center"/>
              <w:rPr>
                <w:rFonts w:ascii="Times New Roman" w:hAnsi="Times New Roman" w:cs="Times New Roman"/>
                <w:sz w:val="18"/>
                <w:szCs w:val="20"/>
              </w:rPr>
            </w:pPr>
            <w:proofErr w:type="spellStart"/>
            <w:r w:rsidRPr="00FE5849">
              <w:rPr>
                <w:rFonts w:ascii="Times New Roman" w:hAnsi="Times New Roman" w:cs="Times New Roman"/>
                <w:sz w:val="18"/>
                <w:szCs w:val="20"/>
              </w:rPr>
              <w:t>Boccalatte</w:t>
            </w:r>
            <w:proofErr w:type="spellEnd"/>
            <w:r>
              <w:rPr>
                <w:rFonts w:ascii="Times New Roman" w:hAnsi="Times New Roman" w:cs="Times New Roman" w:hint="eastAsia"/>
                <w:sz w:val="18"/>
                <w:szCs w:val="20"/>
              </w:rPr>
              <w:t xml:space="preserve"> et al., 2020</w:t>
            </w:r>
            <w:r>
              <w:rPr>
                <w:rFonts w:ascii="Times New Roman" w:hAnsi="Times New Roman" w:cs="Times New Roman"/>
                <w:sz w:val="18"/>
                <w:szCs w:val="20"/>
              </w:rPr>
              <w:fldChar w:fldCharType="begin"/>
            </w:r>
            <w:r>
              <w:rPr>
                <w:rFonts w:ascii="Times New Roman" w:hAnsi="Times New Roman" w:cs="Times New Roman"/>
                <w:sz w:val="18"/>
                <w:szCs w:val="20"/>
              </w:rPr>
              <w:instrText xml:space="preserve"> ADDIN ZOTERO_ITEM CSL_CITATION {"citationID":"U7CVgo6v","properties":{"formattedCitation":"\\super 10\\nosupersub{}","plainCitation":"10","noteIndex":0},"citationItems":[{"id":130,"uris":["http://zotero.org/users/13271698/items/RD7DLZCH"],"itemData":{"id":130,"type":"article-journal","container-title":"Energy and Buildings","DOI":"10.1016/j.enbuild.2020.110129","ISSN":"03787788","journalAbbreviation":"Energy and Buildings","language":"en","page":"110129","source":"DOI.org (Crossref)","title":"Microclimate and urban morphology effects on building energy demand in different European cities","volume":"224","author":[{"family":"Boccalatte","given":"A."},{"family":"Fossa","given":"M."},{"family":"Gaillard","given":"L."},{"family":"Menezo","given":"C."}],"issued":{"date-parts":[["2020",10]]}}}],"schema":"https://github.com/citation-style-language/schema/raw/master/csl-citation.json"} </w:instrText>
            </w:r>
            <w:r>
              <w:rPr>
                <w:rFonts w:ascii="Times New Roman" w:hAnsi="Times New Roman" w:cs="Times New Roman"/>
                <w:sz w:val="18"/>
                <w:szCs w:val="20"/>
              </w:rPr>
              <w:fldChar w:fldCharType="separate"/>
            </w:r>
            <w:r w:rsidRPr="005974DB">
              <w:rPr>
                <w:rFonts w:ascii="Times New Roman" w:hAnsi="Times New Roman" w:cs="Times New Roman"/>
                <w:sz w:val="18"/>
                <w:vertAlign w:val="superscript"/>
              </w:rPr>
              <w:t>10</w:t>
            </w:r>
            <w:r>
              <w:rPr>
                <w:rFonts w:ascii="Times New Roman" w:hAnsi="Times New Roman" w:cs="Times New Roman"/>
                <w:sz w:val="18"/>
                <w:szCs w:val="20"/>
              </w:rPr>
              <w:fldChar w:fldCharType="end"/>
            </w:r>
          </w:p>
        </w:tc>
        <w:tc>
          <w:tcPr>
            <w:tcW w:w="2552" w:type="dxa"/>
            <w:vAlign w:val="center"/>
          </w:tcPr>
          <w:p w14:paraId="5A2D898C" w14:textId="1D6DD689" w:rsidR="008A77FC" w:rsidRPr="00F46F91" w:rsidRDefault="008A77FC" w:rsidP="00EA3270">
            <w:pPr>
              <w:jc w:val="center"/>
              <w:rPr>
                <w:rFonts w:ascii="Times New Roman" w:hAnsi="Times New Roman" w:cs="Times New Roman"/>
                <w:sz w:val="18"/>
                <w:szCs w:val="20"/>
              </w:rPr>
            </w:pPr>
            <w:r w:rsidRPr="00FE5849">
              <w:rPr>
                <w:rFonts w:ascii="Times New Roman" w:hAnsi="Times New Roman" w:cs="Times New Roman"/>
                <w:sz w:val="18"/>
                <w:szCs w:val="20"/>
              </w:rPr>
              <w:t>Urban Weather Generator</w:t>
            </w:r>
            <w:r>
              <w:rPr>
                <w:rFonts w:ascii="Times New Roman" w:hAnsi="Times New Roman" w:cs="Times New Roman" w:hint="eastAsia"/>
                <w:sz w:val="18"/>
                <w:szCs w:val="20"/>
              </w:rPr>
              <w:t xml:space="preserve">, </w:t>
            </w:r>
            <w:proofErr w:type="spellStart"/>
            <w:r w:rsidRPr="00FE5849">
              <w:rPr>
                <w:rFonts w:ascii="Times New Roman" w:hAnsi="Times New Roman" w:cs="Times New Roman"/>
                <w:sz w:val="18"/>
                <w:szCs w:val="20"/>
              </w:rPr>
              <w:t>EnergyPlus</w:t>
            </w:r>
            <w:proofErr w:type="spellEnd"/>
          </w:p>
        </w:tc>
        <w:tc>
          <w:tcPr>
            <w:tcW w:w="1843" w:type="dxa"/>
            <w:vAlign w:val="center"/>
          </w:tcPr>
          <w:p w14:paraId="2002B6C6"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Urban climate, Heating and cooling energy demand of residential building</w:t>
            </w:r>
          </w:p>
        </w:tc>
        <w:tc>
          <w:tcPr>
            <w:tcW w:w="1417" w:type="dxa"/>
            <w:vAlign w:val="center"/>
          </w:tcPr>
          <w:p w14:paraId="232A8786" w14:textId="77777777" w:rsidR="008A77FC" w:rsidRPr="00F46F91" w:rsidRDefault="008A77FC" w:rsidP="00EA3270">
            <w:pPr>
              <w:jc w:val="center"/>
              <w:rPr>
                <w:rFonts w:ascii="Times New Roman" w:hAnsi="Times New Roman" w:cs="Times New Roman"/>
                <w:sz w:val="18"/>
                <w:szCs w:val="20"/>
              </w:rPr>
            </w:pPr>
            <w:r w:rsidRPr="00FE5849">
              <w:rPr>
                <w:rFonts w:ascii="Times New Roman" w:hAnsi="Times New Roman" w:cs="Times New Roman"/>
                <w:sz w:val="18"/>
                <w:szCs w:val="20"/>
              </w:rPr>
              <w:t>Rome, Paris and Helsinki</w:t>
            </w:r>
          </w:p>
        </w:tc>
        <w:tc>
          <w:tcPr>
            <w:tcW w:w="1287" w:type="dxa"/>
            <w:vAlign w:val="center"/>
          </w:tcPr>
          <w:p w14:paraId="319DDEFF"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 xml:space="preserve">Daily/ Weekly/ </w:t>
            </w:r>
            <w:r>
              <w:rPr>
                <w:rFonts w:ascii="Times New Roman" w:hAnsi="Times New Roman" w:cs="Times New Roman"/>
                <w:sz w:val="18"/>
                <w:szCs w:val="20"/>
              </w:rPr>
              <w:t>W</w:t>
            </w:r>
            <w:r>
              <w:rPr>
                <w:rFonts w:ascii="Times New Roman" w:hAnsi="Times New Roman" w:cs="Times New Roman" w:hint="eastAsia"/>
                <w:sz w:val="18"/>
                <w:szCs w:val="20"/>
              </w:rPr>
              <w:t>hole year</w:t>
            </w:r>
          </w:p>
        </w:tc>
        <w:tc>
          <w:tcPr>
            <w:tcW w:w="2152" w:type="dxa"/>
            <w:vAlign w:val="center"/>
          </w:tcPr>
          <w:p w14:paraId="1080A2C6"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UHI intensity, Building energy consumption</w:t>
            </w:r>
          </w:p>
        </w:tc>
        <w:tc>
          <w:tcPr>
            <w:tcW w:w="2373" w:type="dxa"/>
            <w:vAlign w:val="center"/>
          </w:tcPr>
          <w:p w14:paraId="31F13A02" w14:textId="77777777" w:rsidR="008A77FC" w:rsidRPr="00F46F91" w:rsidRDefault="008A77FC" w:rsidP="00EA3270">
            <w:pPr>
              <w:jc w:val="center"/>
              <w:rPr>
                <w:rFonts w:ascii="Times New Roman" w:hAnsi="Times New Roman" w:cs="Times New Roman"/>
                <w:sz w:val="18"/>
                <w:szCs w:val="20"/>
              </w:rPr>
            </w:pPr>
            <w:r w:rsidRPr="00FE5849">
              <w:rPr>
                <w:rFonts w:ascii="Times New Roman" w:hAnsi="Times New Roman" w:cs="Times New Roman"/>
                <w:sz w:val="18"/>
                <w:szCs w:val="20"/>
              </w:rPr>
              <w:t>building height</w:t>
            </w:r>
            <w:r>
              <w:rPr>
                <w:rFonts w:ascii="Times New Roman" w:hAnsi="Times New Roman" w:cs="Times New Roman" w:hint="eastAsia"/>
                <w:sz w:val="18"/>
                <w:szCs w:val="20"/>
              </w:rPr>
              <w:t xml:space="preserve">, </w:t>
            </w:r>
            <w:r w:rsidRPr="00FE5849">
              <w:rPr>
                <w:rFonts w:ascii="Times New Roman" w:hAnsi="Times New Roman" w:cs="Times New Roman"/>
                <w:sz w:val="18"/>
                <w:szCs w:val="20"/>
              </w:rPr>
              <w:t>building surface density</w:t>
            </w:r>
            <w:r>
              <w:rPr>
                <w:rFonts w:ascii="Times New Roman" w:hAnsi="Times New Roman" w:cs="Times New Roman" w:hint="eastAsia"/>
                <w:sz w:val="18"/>
                <w:szCs w:val="20"/>
              </w:rPr>
              <w:t>,</w:t>
            </w:r>
            <w:r w:rsidRPr="00FE5849">
              <w:rPr>
                <w:rFonts w:ascii="AdvGulliv-R" w:hAnsi="AdvGulliv-R"/>
                <w:color w:val="000000"/>
                <w:sz w:val="16"/>
                <w:szCs w:val="16"/>
              </w:rPr>
              <w:t xml:space="preserve"> </w:t>
            </w:r>
            <w:r w:rsidRPr="00FE5849">
              <w:rPr>
                <w:rFonts w:ascii="Times New Roman" w:hAnsi="Times New Roman" w:cs="Times New Roman"/>
                <w:sz w:val="18"/>
                <w:szCs w:val="20"/>
              </w:rPr>
              <w:t>average canyon width</w:t>
            </w:r>
          </w:p>
        </w:tc>
      </w:tr>
    </w:tbl>
    <w:p w14:paraId="15B70714" w14:textId="77777777" w:rsidR="00D942D5" w:rsidRPr="00D942D5" w:rsidRDefault="00D942D5"/>
    <w:p w14:paraId="2A1FD416" w14:textId="69D18675" w:rsidR="00BC6A5D" w:rsidRDefault="00BC6A5D">
      <w:pPr>
        <w:widowControl/>
        <w:jc w:val="left"/>
      </w:pPr>
      <w:r>
        <w:rPr>
          <w:rFonts w:hint="eastAsia"/>
        </w:rPr>
        <w:br w:type="page"/>
      </w:r>
    </w:p>
    <w:p w14:paraId="1012EFB5" w14:textId="22CEB8C1" w:rsidR="00D942D5" w:rsidRPr="00D942D5" w:rsidRDefault="00D942D5" w:rsidP="00D942D5">
      <w:pPr>
        <w:pStyle w:val="a6"/>
        <w:rPr>
          <w:rFonts w:cs="Times New Roman"/>
        </w:rPr>
      </w:pPr>
      <w:r>
        <w:rPr>
          <w:rFonts w:cs="Times New Roman"/>
        </w:rPr>
        <w:lastRenderedPageBreak/>
        <w:t xml:space="preserve">Supplementary </w:t>
      </w:r>
      <w:r w:rsidRPr="00E7263E">
        <w:rPr>
          <w:rFonts w:cs="Times New Roman"/>
        </w:rPr>
        <w:t xml:space="preserve">Table </w:t>
      </w:r>
      <w:r w:rsidR="00161D3F">
        <w:rPr>
          <w:rFonts w:cs="Times New Roman" w:hint="eastAsia"/>
        </w:rPr>
        <w:t>5</w:t>
      </w:r>
      <w:r>
        <w:rPr>
          <w:rFonts w:cs="Times New Roman"/>
        </w:rPr>
        <w:t xml:space="preserve"> </w:t>
      </w:r>
      <w:r w:rsidR="00161D3F">
        <w:rPr>
          <w:rFonts w:cs="Times New Roman" w:hint="eastAsia"/>
        </w:rPr>
        <w:t>Summary of modeling tools of building energy consumption and CO</w:t>
      </w:r>
      <w:r w:rsidR="00161D3F" w:rsidRPr="00897B13">
        <w:rPr>
          <w:rFonts w:cs="Times New Roman" w:hint="eastAsia"/>
          <w:vertAlign w:val="subscript"/>
        </w:rPr>
        <w:t>2</w:t>
      </w:r>
      <w:r w:rsidR="00161D3F">
        <w:rPr>
          <w:rFonts w:cs="Times New Roman" w:hint="eastAsia"/>
        </w:rPr>
        <w:t xml:space="preserve"> emissions (representative </w:t>
      </w:r>
      <w:proofErr w:type="gramStart"/>
      <w:r w:rsidR="00161D3F">
        <w:rPr>
          <w:rFonts w:cs="Times New Roman" w:hint="eastAsia"/>
        </w:rPr>
        <w:t>literatures)</w:t>
      </w:r>
      <w:r>
        <w:rPr>
          <w:rFonts w:cs="Times New Roman"/>
        </w:rPr>
        <w:t>|</w:t>
      </w:r>
      <w:proofErr w:type="gramEnd"/>
      <w:r w:rsidRPr="00E7263E">
        <w:rPr>
          <w:rFonts w:cs="Times New Roman"/>
        </w:rPr>
        <w:t xml:space="preserve"> </w:t>
      </w:r>
    </w:p>
    <w:tbl>
      <w:tblPr>
        <w:tblStyle w:val="a3"/>
        <w:tblW w:w="13892" w:type="dxa"/>
        <w:jc w:val="center"/>
        <w:tblLook w:val="04A0" w:firstRow="1" w:lastRow="0" w:firstColumn="1" w:lastColumn="0" w:noHBand="0" w:noVBand="1"/>
      </w:tblPr>
      <w:tblGrid>
        <w:gridCol w:w="562"/>
        <w:gridCol w:w="1700"/>
        <w:gridCol w:w="1356"/>
        <w:gridCol w:w="1906"/>
        <w:gridCol w:w="1559"/>
        <w:gridCol w:w="1701"/>
        <w:gridCol w:w="2161"/>
        <w:gridCol w:w="2947"/>
      </w:tblGrid>
      <w:tr w:rsidR="00BC6A5D" w:rsidRPr="005C268C" w14:paraId="6F8AEC69" w14:textId="77777777" w:rsidTr="00BC6A5D">
        <w:trPr>
          <w:jc w:val="center"/>
        </w:trPr>
        <w:tc>
          <w:tcPr>
            <w:tcW w:w="562" w:type="dxa"/>
          </w:tcPr>
          <w:p w14:paraId="533FDAD8" w14:textId="77777777" w:rsidR="008A77FC" w:rsidRPr="005C268C" w:rsidRDefault="008A77FC" w:rsidP="00BC6A5D">
            <w:pPr>
              <w:jc w:val="center"/>
              <w:rPr>
                <w:rFonts w:ascii="Times New Roman" w:hAnsi="Times New Roman" w:cs="Times New Roman"/>
                <w:b/>
                <w:bCs/>
                <w:sz w:val="18"/>
                <w:szCs w:val="20"/>
              </w:rPr>
            </w:pPr>
            <w:r>
              <w:rPr>
                <w:rFonts w:ascii="Times New Roman" w:hAnsi="Times New Roman" w:cs="Times New Roman" w:hint="eastAsia"/>
                <w:b/>
                <w:bCs/>
                <w:sz w:val="18"/>
                <w:szCs w:val="20"/>
              </w:rPr>
              <w:t>No.</w:t>
            </w:r>
          </w:p>
        </w:tc>
        <w:tc>
          <w:tcPr>
            <w:tcW w:w="1700" w:type="dxa"/>
          </w:tcPr>
          <w:p w14:paraId="53BB84D5" w14:textId="77777777" w:rsidR="008A77FC" w:rsidRPr="005C268C" w:rsidRDefault="008A77FC" w:rsidP="00BC6A5D">
            <w:pPr>
              <w:jc w:val="center"/>
              <w:rPr>
                <w:rFonts w:ascii="Times New Roman" w:hAnsi="Times New Roman" w:cs="Times New Roman"/>
                <w:b/>
                <w:bCs/>
                <w:sz w:val="18"/>
                <w:szCs w:val="20"/>
              </w:rPr>
            </w:pPr>
            <w:r w:rsidRPr="005C268C">
              <w:rPr>
                <w:rFonts w:ascii="Times New Roman" w:hAnsi="Times New Roman" w:cs="Times New Roman"/>
                <w:b/>
                <w:bCs/>
                <w:sz w:val="18"/>
                <w:szCs w:val="20"/>
              </w:rPr>
              <w:t>Typical research</w:t>
            </w:r>
          </w:p>
        </w:tc>
        <w:tc>
          <w:tcPr>
            <w:tcW w:w="1356" w:type="dxa"/>
          </w:tcPr>
          <w:p w14:paraId="5BE3BC97" w14:textId="77777777" w:rsidR="008A77FC" w:rsidRPr="005C268C" w:rsidRDefault="008A77FC" w:rsidP="00BC6A5D">
            <w:pPr>
              <w:jc w:val="center"/>
              <w:rPr>
                <w:rFonts w:ascii="Times New Roman" w:hAnsi="Times New Roman" w:cs="Times New Roman"/>
                <w:b/>
                <w:bCs/>
                <w:sz w:val="18"/>
                <w:szCs w:val="20"/>
              </w:rPr>
            </w:pPr>
            <w:r w:rsidRPr="005C268C">
              <w:rPr>
                <w:rFonts w:ascii="Times New Roman" w:hAnsi="Times New Roman" w:cs="Times New Roman"/>
                <w:b/>
                <w:bCs/>
                <w:sz w:val="18"/>
                <w:szCs w:val="20"/>
              </w:rPr>
              <w:t>Method/Model</w:t>
            </w:r>
          </w:p>
        </w:tc>
        <w:tc>
          <w:tcPr>
            <w:tcW w:w="1906" w:type="dxa"/>
          </w:tcPr>
          <w:p w14:paraId="4AC6C532" w14:textId="77777777" w:rsidR="008A77FC" w:rsidRPr="005C268C" w:rsidRDefault="008A77FC" w:rsidP="00BC6A5D">
            <w:pPr>
              <w:jc w:val="center"/>
              <w:rPr>
                <w:rFonts w:ascii="Times New Roman" w:hAnsi="Times New Roman" w:cs="Times New Roman"/>
                <w:b/>
                <w:bCs/>
                <w:sz w:val="18"/>
                <w:szCs w:val="20"/>
              </w:rPr>
            </w:pPr>
            <w:r w:rsidRPr="005C268C">
              <w:rPr>
                <w:rFonts w:ascii="Times New Roman" w:hAnsi="Times New Roman" w:cs="Times New Roman"/>
                <w:b/>
                <w:bCs/>
                <w:sz w:val="18"/>
                <w:szCs w:val="20"/>
              </w:rPr>
              <w:t>Research object</w:t>
            </w:r>
          </w:p>
        </w:tc>
        <w:tc>
          <w:tcPr>
            <w:tcW w:w="1559" w:type="dxa"/>
          </w:tcPr>
          <w:p w14:paraId="4687EEEC" w14:textId="77777777" w:rsidR="008A77FC" w:rsidRPr="005C268C" w:rsidRDefault="008A77FC" w:rsidP="00BC6A5D">
            <w:pPr>
              <w:jc w:val="center"/>
              <w:rPr>
                <w:rFonts w:ascii="Times New Roman" w:hAnsi="Times New Roman" w:cs="Times New Roman"/>
                <w:b/>
                <w:bCs/>
                <w:sz w:val="18"/>
                <w:szCs w:val="20"/>
              </w:rPr>
            </w:pPr>
            <w:r w:rsidRPr="005C268C">
              <w:rPr>
                <w:rFonts w:ascii="Times New Roman" w:hAnsi="Times New Roman" w:cs="Times New Roman"/>
                <w:b/>
                <w:bCs/>
                <w:sz w:val="18"/>
                <w:szCs w:val="20"/>
              </w:rPr>
              <w:t>Research scale</w:t>
            </w:r>
          </w:p>
        </w:tc>
        <w:tc>
          <w:tcPr>
            <w:tcW w:w="1701" w:type="dxa"/>
          </w:tcPr>
          <w:p w14:paraId="67E5B2D1" w14:textId="77777777" w:rsidR="008A77FC" w:rsidRPr="005C268C" w:rsidRDefault="008A77FC" w:rsidP="00BC6A5D">
            <w:pPr>
              <w:jc w:val="center"/>
              <w:rPr>
                <w:rFonts w:ascii="Times New Roman" w:hAnsi="Times New Roman" w:cs="Times New Roman"/>
                <w:b/>
                <w:bCs/>
                <w:sz w:val="18"/>
                <w:szCs w:val="20"/>
              </w:rPr>
            </w:pPr>
            <w:r w:rsidRPr="005C268C">
              <w:rPr>
                <w:rFonts w:ascii="Times New Roman" w:hAnsi="Times New Roman" w:cs="Times New Roman" w:hint="eastAsia"/>
                <w:b/>
                <w:bCs/>
                <w:sz w:val="18"/>
                <w:szCs w:val="20"/>
              </w:rPr>
              <w:t>Time period</w:t>
            </w:r>
          </w:p>
        </w:tc>
        <w:tc>
          <w:tcPr>
            <w:tcW w:w="2161" w:type="dxa"/>
          </w:tcPr>
          <w:p w14:paraId="7209E905" w14:textId="77777777" w:rsidR="008A77FC" w:rsidRPr="005C268C" w:rsidRDefault="008A77FC" w:rsidP="00BC6A5D">
            <w:pPr>
              <w:jc w:val="center"/>
              <w:rPr>
                <w:rFonts w:ascii="Times New Roman" w:hAnsi="Times New Roman" w:cs="Times New Roman"/>
                <w:b/>
                <w:bCs/>
                <w:sz w:val="18"/>
                <w:szCs w:val="20"/>
              </w:rPr>
            </w:pPr>
            <w:r w:rsidRPr="005C268C">
              <w:rPr>
                <w:rFonts w:ascii="Times New Roman" w:hAnsi="Times New Roman" w:cs="Times New Roman"/>
                <w:b/>
                <w:bCs/>
                <w:sz w:val="18"/>
                <w:szCs w:val="20"/>
              </w:rPr>
              <w:t>Assessing index</w:t>
            </w:r>
          </w:p>
        </w:tc>
        <w:tc>
          <w:tcPr>
            <w:tcW w:w="2947" w:type="dxa"/>
          </w:tcPr>
          <w:p w14:paraId="013D50A4" w14:textId="77777777" w:rsidR="008A77FC" w:rsidRPr="005C268C" w:rsidRDefault="008A77FC" w:rsidP="00BC6A5D">
            <w:pPr>
              <w:jc w:val="center"/>
              <w:rPr>
                <w:rFonts w:ascii="Times New Roman" w:hAnsi="Times New Roman" w:cs="Times New Roman"/>
                <w:b/>
                <w:bCs/>
                <w:sz w:val="18"/>
                <w:szCs w:val="20"/>
              </w:rPr>
            </w:pPr>
            <w:r w:rsidRPr="005C268C">
              <w:rPr>
                <w:rFonts w:ascii="Times New Roman" w:hAnsi="Times New Roman" w:cs="Times New Roman"/>
                <w:b/>
                <w:bCs/>
                <w:sz w:val="18"/>
                <w:szCs w:val="20"/>
              </w:rPr>
              <w:t>Typology of cities/building</w:t>
            </w:r>
          </w:p>
        </w:tc>
      </w:tr>
      <w:tr w:rsidR="00BC6A5D" w:rsidRPr="00406311" w14:paraId="4E99483B" w14:textId="77777777" w:rsidTr="00BC6A5D">
        <w:trPr>
          <w:trHeight w:val="1462"/>
          <w:jc w:val="center"/>
        </w:trPr>
        <w:tc>
          <w:tcPr>
            <w:tcW w:w="562" w:type="dxa"/>
            <w:vAlign w:val="center"/>
          </w:tcPr>
          <w:p w14:paraId="3F9C5AF0"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1</w:t>
            </w:r>
          </w:p>
        </w:tc>
        <w:tc>
          <w:tcPr>
            <w:tcW w:w="1700" w:type="dxa"/>
            <w:vAlign w:val="center"/>
          </w:tcPr>
          <w:p w14:paraId="6C5982E0" w14:textId="01FC9F39"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Naeem et al., 2025</w:t>
            </w:r>
            <w:r>
              <w:rPr>
                <w:rFonts w:ascii="Times New Roman" w:hAnsi="Times New Roman" w:cs="Times New Roman"/>
                <w:sz w:val="18"/>
                <w:szCs w:val="20"/>
              </w:rPr>
              <w:fldChar w:fldCharType="begin"/>
            </w:r>
            <w:r>
              <w:rPr>
                <w:rFonts w:ascii="Times New Roman" w:hAnsi="Times New Roman" w:cs="Times New Roman"/>
                <w:sz w:val="18"/>
                <w:szCs w:val="20"/>
              </w:rPr>
              <w:instrText xml:space="preserve"> ADDIN ZOTERO_ITEM CSL_CITATION {"citationID":"fA7mXFgd","properties":{"formattedCitation":"\\super 11\\nosupersub{}","plainCitation":"11","noteIndex":0},"citationItems":[{"id":148,"uris":["http://zotero.org/users/13271698/items/3VIKSZXA"],"itemData":{"id":148,"type":"article-journal","container-title":"Energy and Buildings","DOI":"10.1016/j.enbuild.2024.115257","ISSN":"03787788","journalAbbreviation":"Energy and Buildings","language":"en","page":"115257","source":"DOI.org (Crossref)","title":"EnergyPlus as a computational engine for commercial building operational digital twins","volume":"329","author":[{"family":"Naeem","given":"Aqsa"},{"family":"Ho","given":"Chi On"},{"family":"Kolderup","given":"Erik"},{"family":"Jain","given":"Rishee K."},{"family":"Benson","given":"Sally"},{"family":"De Chalendar","given":"Jacques"}],"issued":{"date-parts":[["2025",2]]}}}],"schema":"https://github.com/citation-style-language/schema/raw/master/csl-citation.json"} </w:instrText>
            </w:r>
            <w:r>
              <w:rPr>
                <w:rFonts w:ascii="Times New Roman" w:hAnsi="Times New Roman" w:cs="Times New Roman"/>
                <w:sz w:val="18"/>
                <w:szCs w:val="20"/>
              </w:rPr>
              <w:fldChar w:fldCharType="separate"/>
            </w:r>
            <w:r w:rsidRPr="005974DB">
              <w:rPr>
                <w:rFonts w:ascii="Times New Roman" w:hAnsi="Times New Roman" w:cs="Times New Roman"/>
                <w:sz w:val="18"/>
                <w:vertAlign w:val="superscript"/>
              </w:rPr>
              <w:t>11</w:t>
            </w:r>
            <w:r>
              <w:rPr>
                <w:rFonts w:ascii="Times New Roman" w:hAnsi="Times New Roman" w:cs="Times New Roman"/>
                <w:sz w:val="18"/>
                <w:szCs w:val="20"/>
              </w:rPr>
              <w:fldChar w:fldCharType="end"/>
            </w:r>
          </w:p>
        </w:tc>
        <w:tc>
          <w:tcPr>
            <w:tcW w:w="1356" w:type="dxa"/>
            <w:vAlign w:val="center"/>
          </w:tcPr>
          <w:p w14:paraId="40FEB579" w14:textId="77777777" w:rsidR="008A77FC" w:rsidRPr="00F46F91" w:rsidRDefault="008A77FC" w:rsidP="00EA3270">
            <w:pPr>
              <w:jc w:val="center"/>
              <w:rPr>
                <w:rFonts w:ascii="Times New Roman" w:hAnsi="Times New Roman" w:cs="Times New Roman"/>
                <w:sz w:val="18"/>
                <w:szCs w:val="20"/>
              </w:rPr>
            </w:pPr>
            <w:proofErr w:type="spellStart"/>
            <w:r>
              <w:rPr>
                <w:rFonts w:ascii="Times New Roman" w:hAnsi="Times New Roman" w:cs="Times New Roman" w:hint="eastAsia"/>
                <w:sz w:val="18"/>
                <w:szCs w:val="20"/>
              </w:rPr>
              <w:t>EnergyPlus</w:t>
            </w:r>
            <w:proofErr w:type="spellEnd"/>
          </w:p>
        </w:tc>
        <w:tc>
          <w:tcPr>
            <w:tcW w:w="1906" w:type="dxa"/>
            <w:vAlign w:val="center"/>
          </w:tcPr>
          <w:p w14:paraId="0684C498"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Commercial building energy demand</w:t>
            </w:r>
          </w:p>
        </w:tc>
        <w:tc>
          <w:tcPr>
            <w:tcW w:w="1559" w:type="dxa"/>
            <w:vAlign w:val="center"/>
          </w:tcPr>
          <w:p w14:paraId="2E76A255"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Multi-zone office building in U.S.</w:t>
            </w:r>
          </w:p>
        </w:tc>
        <w:tc>
          <w:tcPr>
            <w:tcW w:w="1701" w:type="dxa"/>
            <w:vAlign w:val="center"/>
          </w:tcPr>
          <w:p w14:paraId="183E69AD"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2022-07.05-09.11</w:t>
            </w:r>
          </w:p>
        </w:tc>
        <w:tc>
          <w:tcPr>
            <w:tcW w:w="2161" w:type="dxa"/>
            <w:vAlign w:val="center"/>
          </w:tcPr>
          <w:p w14:paraId="2D68E0AC"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Operational digital twin technology</w:t>
            </w:r>
          </w:p>
        </w:tc>
        <w:tc>
          <w:tcPr>
            <w:tcW w:w="2947" w:type="dxa"/>
            <w:vAlign w:val="center"/>
          </w:tcPr>
          <w:p w14:paraId="2B80039F" w14:textId="77777777" w:rsidR="008A77FC" w:rsidRPr="00F46F91"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Thermal zone inside a building</w:t>
            </w:r>
          </w:p>
        </w:tc>
      </w:tr>
      <w:tr w:rsidR="00BC6A5D" w:rsidRPr="00F46F91" w14:paraId="087EE6C3" w14:textId="77777777" w:rsidTr="00BC6A5D">
        <w:trPr>
          <w:trHeight w:val="2196"/>
          <w:jc w:val="center"/>
        </w:trPr>
        <w:tc>
          <w:tcPr>
            <w:tcW w:w="562" w:type="dxa"/>
            <w:vAlign w:val="center"/>
          </w:tcPr>
          <w:p w14:paraId="6974DE24"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2</w:t>
            </w:r>
          </w:p>
        </w:tc>
        <w:tc>
          <w:tcPr>
            <w:tcW w:w="1700" w:type="dxa"/>
            <w:vAlign w:val="center"/>
          </w:tcPr>
          <w:p w14:paraId="437AFBB2" w14:textId="6F05C5F0"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Yan et al., 2022</w:t>
            </w:r>
            <w:r>
              <w:rPr>
                <w:rFonts w:ascii="Times New Roman" w:hAnsi="Times New Roman" w:cs="Times New Roman"/>
                <w:sz w:val="18"/>
                <w:szCs w:val="20"/>
              </w:rPr>
              <w:fldChar w:fldCharType="begin"/>
            </w:r>
            <w:r>
              <w:rPr>
                <w:rFonts w:ascii="Times New Roman" w:hAnsi="Times New Roman" w:cs="Times New Roman"/>
                <w:sz w:val="18"/>
                <w:szCs w:val="20"/>
              </w:rPr>
              <w:instrText xml:space="preserve"> ADDIN ZOTERO_ITEM CSL_CITATION {"citationID":"NR7gibOz","properties":{"formattedCitation":"\\super 12\\nosupersub{}","plainCitation":"12","noteIndex":0},"citationItems":[{"id":147,"uris":["http://zotero.org/users/13271698/items/PUQJKVT7"],"itemData":{"id":147,"type":"article-journal","container-title":"Building Simulation","DOI":"10.1007/s12273-022-0909-9","ISSN":"1996-3599, 1996-8744","issue":"11","journalAbbreviation":"Build. Simul.","language":"en","page":"1849-1868","source":"DOI.org (Crossref)","title":"DeST 3.0: A new-generation building performance simulation platform","title-short":"DeST 3.0","volume":"15","author":[{"family":"Yan","given":"Da"},{"family":"Zhou","given":"Xin"},{"family":"An","given":"Jingjing"},{"family":"Kang","given":"Xuyuan"},{"family":"Bu","given":"Fan"},{"family":"Chen","given":"Youming"},{"family":"Pan","given":"Yiqun"},{"family":"Gao","given":"Yan"},{"family":"Zhang","given":"Qunli"},{"family":"Zhou","given":"Hui"},{"family":"Qiu","given":"Kuining"},{"family":"Liu","given":"Jing"},{"family":"Liu","given":"Yan"},{"family":"Li","given":"Honglian"},{"family":"Zhang","given":"Lei"},{"family":"Dong","given":"Hong"},{"family":"Sun","given":"Lixin"},{"family":"Pan","given":"Song"},{"family":"Zhou","given":"Xiang"},{"family":"Tian","given":"Zhe"},{"family":"Zhang","given":"Wenjie"},{"family":"Wu","given":"Ruhong"},{"family":"Sun","given":"Hongsan"},{"family":"Huang","given":"Yu"},{"family":"Su","given":"Xiaohong"},{"family":"Zhang","given":"Yongwei"},{"family":"Shen","given":"Rui"},{"family":"Chen","given":"Diankun"},{"family":"Wei","given":"Guangyuan"},{"family":"Chen","given":"Yixing"},{"family":"Peng","given":"Jinqing"}],"issued":{"date-parts":[["2022",11]]}}}],"schema":"https://github.com/citation-style-language/schema/raw/master/csl-citation.json"} </w:instrText>
            </w:r>
            <w:r>
              <w:rPr>
                <w:rFonts w:ascii="Times New Roman" w:hAnsi="Times New Roman" w:cs="Times New Roman"/>
                <w:sz w:val="18"/>
                <w:szCs w:val="20"/>
              </w:rPr>
              <w:fldChar w:fldCharType="separate"/>
            </w:r>
            <w:r w:rsidRPr="005974DB">
              <w:rPr>
                <w:rFonts w:ascii="Times New Roman" w:hAnsi="Times New Roman" w:cs="Times New Roman"/>
                <w:sz w:val="18"/>
                <w:vertAlign w:val="superscript"/>
              </w:rPr>
              <w:t>12</w:t>
            </w:r>
            <w:r>
              <w:rPr>
                <w:rFonts w:ascii="Times New Roman" w:hAnsi="Times New Roman" w:cs="Times New Roman"/>
                <w:sz w:val="18"/>
                <w:szCs w:val="20"/>
              </w:rPr>
              <w:fldChar w:fldCharType="end"/>
            </w:r>
          </w:p>
        </w:tc>
        <w:tc>
          <w:tcPr>
            <w:tcW w:w="1356" w:type="dxa"/>
            <w:vAlign w:val="center"/>
          </w:tcPr>
          <w:p w14:paraId="6016B5BA"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DeST</w:t>
            </w:r>
          </w:p>
        </w:tc>
        <w:tc>
          <w:tcPr>
            <w:tcW w:w="1906" w:type="dxa"/>
            <w:vAlign w:val="center"/>
          </w:tcPr>
          <w:p w14:paraId="62468725"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sz w:val="18"/>
                <w:szCs w:val="20"/>
              </w:rPr>
              <w:t>W</w:t>
            </w:r>
            <w:r>
              <w:rPr>
                <w:rFonts w:ascii="Times New Roman" w:hAnsi="Times New Roman" w:cs="Times New Roman" w:hint="eastAsia"/>
                <w:sz w:val="18"/>
                <w:szCs w:val="20"/>
              </w:rPr>
              <w:t>hole lifecycle of building</w:t>
            </w:r>
          </w:p>
        </w:tc>
        <w:tc>
          <w:tcPr>
            <w:tcW w:w="1559" w:type="dxa"/>
            <w:vAlign w:val="center"/>
          </w:tcPr>
          <w:p w14:paraId="46BB89D5"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Building energy modelling program</w:t>
            </w:r>
          </w:p>
        </w:tc>
        <w:tc>
          <w:tcPr>
            <w:tcW w:w="1701" w:type="dxa"/>
            <w:vAlign w:val="center"/>
          </w:tcPr>
          <w:p w14:paraId="23A37FBB" w14:textId="15152F40"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w:t>
            </w:r>
          </w:p>
        </w:tc>
        <w:tc>
          <w:tcPr>
            <w:tcW w:w="2161" w:type="dxa"/>
            <w:vAlign w:val="center"/>
          </w:tcPr>
          <w:p w14:paraId="5267EA1F" w14:textId="77777777" w:rsidR="008A77FC" w:rsidRPr="004112A5" w:rsidRDefault="008A77FC" w:rsidP="00EA3270">
            <w:pPr>
              <w:jc w:val="center"/>
              <w:rPr>
                <w:rFonts w:ascii="Times New Roman" w:hAnsi="Times New Roman" w:cs="Times New Roman"/>
                <w:sz w:val="18"/>
                <w:szCs w:val="20"/>
              </w:rPr>
            </w:pPr>
            <w:r>
              <w:rPr>
                <w:rFonts w:ascii="Times New Roman" w:hAnsi="Times New Roman" w:cs="Times New Roman"/>
                <w:sz w:val="18"/>
                <w:szCs w:val="20"/>
              </w:rPr>
              <w:t>H</w:t>
            </w:r>
            <w:r>
              <w:rPr>
                <w:rFonts w:ascii="Times New Roman" w:hAnsi="Times New Roman" w:cs="Times New Roman" w:hint="eastAsia"/>
                <w:sz w:val="18"/>
                <w:szCs w:val="20"/>
              </w:rPr>
              <w:t xml:space="preserve">igh-performance simulation based on </w:t>
            </w:r>
            <w:r>
              <w:rPr>
                <w:rFonts w:ascii="Times New Roman" w:hAnsi="Times New Roman" w:cs="Times New Roman"/>
                <w:sz w:val="18"/>
                <w:szCs w:val="20"/>
              </w:rPr>
              <w:t>parallel</w:t>
            </w:r>
            <w:r>
              <w:rPr>
                <w:rFonts w:ascii="Times New Roman" w:hAnsi="Times New Roman" w:cs="Times New Roman" w:hint="eastAsia"/>
                <w:sz w:val="18"/>
                <w:szCs w:val="20"/>
              </w:rPr>
              <w:t xml:space="preserve"> computation</w:t>
            </w:r>
          </w:p>
        </w:tc>
        <w:tc>
          <w:tcPr>
            <w:tcW w:w="2947" w:type="dxa"/>
            <w:vAlign w:val="center"/>
          </w:tcPr>
          <w:p w14:paraId="778D8226"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Building thermal envelope and fabric load, Space-cooling equipment performance, Space-Heating equipment performance</w:t>
            </w:r>
          </w:p>
        </w:tc>
      </w:tr>
      <w:tr w:rsidR="00BC6A5D" w:rsidRPr="00F46F91" w14:paraId="5B8541D1" w14:textId="77777777" w:rsidTr="00BC6A5D">
        <w:trPr>
          <w:trHeight w:val="2196"/>
          <w:jc w:val="center"/>
        </w:trPr>
        <w:tc>
          <w:tcPr>
            <w:tcW w:w="562" w:type="dxa"/>
            <w:vAlign w:val="center"/>
          </w:tcPr>
          <w:p w14:paraId="076773F3"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3</w:t>
            </w:r>
          </w:p>
        </w:tc>
        <w:tc>
          <w:tcPr>
            <w:tcW w:w="1700" w:type="dxa"/>
            <w:vAlign w:val="center"/>
          </w:tcPr>
          <w:p w14:paraId="26D7F218" w14:textId="1B41D871"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Quan et al., 2016</w:t>
            </w:r>
            <w:r>
              <w:rPr>
                <w:rFonts w:ascii="Times New Roman" w:hAnsi="Times New Roman" w:cs="Times New Roman"/>
                <w:sz w:val="18"/>
                <w:szCs w:val="20"/>
              </w:rPr>
              <w:fldChar w:fldCharType="begin"/>
            </w:r>
            <w:r>
              <w:rPr>
                <w:rFonts w:ascii="Times New Roman" w:hAnsi="Times New Roman" w:cs="Times New Roman"/>
                <w:sz w:val="18"/>
                <w:szCs w:val="20"/>
              </w:rPr>
              <w:instrText xml:space="preserve"> ADDIN ZOTERO_ITEM CSL_CITATION {"citationID":"Rzze2BkV","properties":{"formattedCitation":"\\super 13\\nosupersub{}","plainCitation":"13","noteIndex":0},"citationItems":[{"id":146,"uris":["http://zotero.org/users/13271698/items/9IVGK8A8"],"itemData":{"id":146,"type":"article-journal","container-title":"Energy Procedia","DOI":"10.1016/j.egypro.2016.06.035","ISSN":"18766102","journalAbbreviation":"Energy Procedia","language":"en","page":"126-132","source":"DOI.org (Crossref)","title":"Urban Form and Building Energy Performance in Shanghai Neighborhoods","volume":"88","author":[{"family":"Quan","given":"Steven Jige"},{"family":"Wu","given":"Jiang"},{"family":"Wang","given":"Yi"},{"family":"Shi","given":"Zhongming"},{"family":"Yang","given":"Tianren"},{"family":"Yang","given":"Perry Pei-Ju"}],"issued":{"date-parts":[["2016",6]]}}}],"schema":"https://github.com/citation-style-language/schema/raw/master/csl-citation.json"} </w:instrText>
            </w:r>
            <w:r>
              <w:rPr>
                <w:rFonts w:ascii="Times New Roman" w:hAnsi="Times New Roman" w:cs="Times New Roman"/>
                <w:sz w:val="18"/>
                <w:szCs w:val="20"/>
              </w:rPr>
              <w:fldChar w:fldCharType="separate"/>
            </w:r>
            <w:r w:rsidRPr="005974DB">
              <w:rPr>
                <w:rFonts w:ascii="Times New Roman" w:hAnsi="Times New Roman" w:cs="Times New Roman"/>
                <w:sz w:val="18"/>
                <w:vertAlign w:val="superscript"/>
              </w:rPr>
              <w:t>13</w:t>
            </w:r>
            <w:r>
              <w:rPr>
                <w:rFonts w:ascii="Times New Roman" w:hAnsi="Times New Roman" w:cs="Times New Roman"/>
                <w:sz w:val="18"/>
                <w:szCs w:val="20"/>
              </w:rPr>
              <w:fldChar w:fldCharType="end"/>
            </w:r>
          </w:p>
        </w:tc>
        <w:tc>
          <w:tcPr>
            <w:tcW w:w="1356" w:type="dxa"/>
            <w:vAlign w:val="center"/>
          </w:tcPr>
          <w:p w14:paraId="456F3AC4"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UMI (Urban Modeling Interface) and UWG (Urban Weather Generator)</w:t>
            </w:r>
          </w:p>
        </w:tc>
        <w:tc>
          <w:tcPr>
            <w:tcW w:w="1906" w:type="dxa"/>
            <w:vAlign w:val="center"/>
          </w:tcPr>
          <w:p w14:paraId="572E45F2"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Building energy use</w:t>
            </w:r>
          </w:p>
        </w:tc>
        <w:tc>
          <w:tcPr>
            <w:tcW w:w="1559" w:type="dxa"/>
            <w:vAlign w:val="center"/>
          </w:tcPr>
          <w:p w14:paraId="253E3F77"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Nine Shanghai neighborhoods</w:t>
            </w:r>
          </w:p>
        </w:tc>
        <w:tc>
          <w:tcPr>
            <w:tcW w:w="1701" w:type="dxa"/>
            <w:vAlign w:val="center"/>
          </w:tcPr>
          <w:p w14:paraId="601576F2" w14:textId="1DF6833B"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w:t>
            </w:r>
          </w:p>
        </w:tc>
        <w:tc>
          <w:tcPr>
            <w:tcW w:w="2161" w:type="dxa"/>
            <w:vAlign w:val="center"/>
          </w:tcPr>
          <w:p w14:paraId="3280FD07"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Floor area ratio</w:t>
            </w:r>
          </w:p>
        </w:tc>
        <w:tc>
          <w:tcPr>
            <w:tcW w:w="2947" w:type="dxa"/>
            <w:vAlign w:val="center"/>
          </w:tcPr>
          <w:p w14:paraId="1977CA97"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Building density</w:t>
            </w:r>
          </w:p>
        </w:tc>
      </w:tr>
      <w:tr w:rsidR="00BC6A5D" w:rsidRPr="00F46F91" w14:paraId="523749F8" w14:textId="77777777" w:rsidTr="00BC6A5D">
        <w:trPr>
          <w:trHeight w:val="2196"/>
          <w:jc w:val="center"/>
        </w:trPr>
        <w:tc>
          <w:tcPr>
            <w:tcW w:w="562" w:type="dxa"/>
            <w:vAlign w:val="center"/>
          </w:tcPr>
          <w:p w14:paraId="223ACB8A"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lastRenderedPageBreak/>
              <w:t>4</w:t>
            </w:r>
          </w:p>
        </w:tc>
        <w:tc>
          <w:tcPr>
            <w:tcW w:w="1700" w:type="dxa"/>
            <w:vAlign w:val="center"/>
          </w:tcPr>
          <w:p w14:paraId="449F3417" w14:textId="3CA4C05B"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Song et al., 2024</w:t>
            </w:r>
            <w:r>
              <w:rPr>
                <w:rFonts w:ascii="Times New Roman" w:hAnsi="Times New Roman" w:cs="Times New Roman"/>
                <w:sz w:val="18"/>
                <w:szCs w:val="20"/>
              </w:rPr>
              <w:fldChar w:fldCharType="begin"/>
            </w:r>
            <w:r>
              <w:rPr>
                <w:rFonts w:ascii="Times New Roman" w:hAnsi="Times New Roman" w:cs="Times New Roman"/>
                <w:sz w:val="18"/>
                <w:szCs w:val="20"/>
              </w:rPr>
              <w:instrText xml:space="preserve"> ADDIN ZOTERO_ITEM CSL_CITATION {"citationID":"jlqVJiKy","properties":{"formattedCitation":"\\super 14\\nosupersub{}","plainCitation":"14","noteIndex":0},"citationItems":[{"id":138,"uris":["http://zotero.org/users/13271698/items/U2T8KNFU"],"itemData":{"id":138,"type":"article-journal","container-title":"Sustainable Cities and Society","DOI":"10.1016/j.scs.2024.105425","ISSN":"22106707","journalAbbreviation":"Sustainable Cities and Society","language":"en","page":"105425","source":"DOI.org (Crossref)","title":"Developing urban building energy models for shanghai city with multi-source open data","volume":"106","author":[{"family":"Song","given":"Chengcheng"},{"family":"Deng","given":"Zhang"},{"family":"Zhao","given":"Wenxian"},{"family":"Yuan","given":"Yue"},{"family":"Liu","given":"Mengyue"},{"family":"Xu","given":"Shen"},{"family":"Chen","given":"Yixing"}],"issued":{"date-parts":[["2024",7]]}}}],"schema":"https://github.com/citation-style-language/schema/raw/master/csl-citation.json"} </w:instrText>
            </w:r>
            <w:r>
              <w:rPr>
                <w:rFonts w:ascii="Times New Roman" w:hAnsi="Times New Roman" w:cs="Times New Roman"/>
                <w:sz w:val="18"/>
                <w:szCs w:val="20"/>
              </w:rPr>
              <w:fldChar w:fldCharType="separate"/>
            </w:r>
            <w:r w:rsidRPr="009E7DB0">
              <w:rPr>
                <w:rFonts w:ascii="Times New Roman" w:hAnsi="Times New Roman" w:cs="Times New Roman"/>
                <w:sz w:val="18"/>
                <w:vertAlign w:val="superscript"/>
              </w:rPr>
              <w:t>14</w:t>
            </w:r>
            <w:r>
              <w:rPr>
                <w:rFonts w:ascii="Times New Roman" w:hAnsi="Times New Roman" w:cs="Times New Roman"/>
                <w:sz w:val="18"/>
                <w:szCs w:val="20"/>
              </w:rPr>
              <w:fldChar w:fldCharType="end"/>
            </w:r>
          </w:p>
        </w:tc>
        <w:tc>
          <w:tcPr>
            <w:tcW w:w="1356" w:type="dxa"/>
            <w:vAlign w:val="center"/>
          </w:tcPr>
          <w:p w14:paraId="2A9E30B8" w14:textId="77777777" w:rsidR="008A77FC" w:rsidRDefault="008A77FC" w:rsidP="00EA3270">
            <w:pPr>
              <w:jc w:val="center"/>
              <w:rPr>
                <w:rFonts w:ascii="Times New Roman" w:hAnsi="Times New Roman" w:cs="Times New Roman"/>
                <w:sz w:val="18"/>
                <w:szCs w:val="20"/>
              </w:rPr>
            </w:pPr>
            <w:proofErr w:type="spellStart"/>
            <w:r>
              <w:rPr>
                <w:rFonts w:ascii="Times New Roman" w:hAnsi="Times New Roman" w:cs="Times New Roman" w:hint="eastAsia"/>
                <w:sz w:val="18"/>
                <w:szCs w:val="20"/>
              </w:rPr>
              <w:t>AutoBPS</w:t>
            </w:r>
            <w:proofErr w:type="spellEnd"/>
            <w:r>
              <w:rPr>
                <w:rFonts w:ascii="Times New Roman" w:hAnsi="Times New Roman" w:cs="Times New Roman" w:hint="eastAsia"/>
                <w:sz w:val="18"/>
                <w:szCs w:val="20"/>
              </w:rPr>
              <w:t xml:space="preserve"> and </w:t>
            </w:r>
            <w:proofErr w:type="spellStart"/>
            <w:r>
              <w:rPr>
                <w:rFonts w:ascii="Times New Roman" w:hAnsi="Times New Roman" w:cs="Times New Roman" w:hint="eastAsia"/>
                <w:sz w:val="18"/>
                <w:szCs w:val="20"/>
              </w:rPr>
              <w:t>EnergyPlus</w:t>
            </w:r>
            <w:proofErr w:type="spellEnd"/>
          </w:p>
        </w:tc>
        <w:tc>
          <w:tcPr>
            <w:tcW w:w="1906" w:type="dxa"/>
            <w:vAlign w:val="center"/>
          </w:tcPr>
          <w:p w14:paraId="11BFDEEF"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Urban Building Energy Modeling</w:t>
            </w:r>
          </w:p>
        </w:tc>
        <w:tc>
          <w:tcPr>
            <w:tcW w:w="1559" w:type="dxa"/>
            <w:vAlign w:val="center"/>
          </w:tcPr>
          <w:p w14:paraId="08D8335F"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Shanghai City, China</w:t>
            </w:r>
          </w:p>
        </w:tc>
        <w:tc>
          <w:tcPr>
            <w:tcW w:w="1701" w:type="dxa"/>
            <w:vAlign w:val="center"/>
          </w:tcPr>
          <w:p w14:paraId="69376DFE" w14:textId="68C2624B"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w:t>
            </w:r>
          </w:p>
        </w:tc>
        <w:tc>
          <w:tcPr>
            <w:tcW w:w="2161" w:type="dxa"/>
            <w:vAlign w:val="center"/>
          </w:tcPr>
          <w:p w14:paraId="0E83A91B"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Footprints, AOIs, POIs, Land cover</w:t>
            </w:r>
          </w:p>
        </w:tc>
        <w:tc>
          <w:tcPr>
            <w:tcW w:w="2947" w:type="dxa"/>
            <w:vAlign w:val="center"/>
          </w:tcPr>
          <w:p w14:paraId="6BFB1FA3"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B</w:t>
            </w:r>
            <w:r w:rsidRPr="00037639">
              <w:rPr>
                <w:rFonts w:ascii="Times New Roman" w:hAnsi="Times New Roman" w:cs="Times New Roman"/>
                <w:sz w:val="18"/>
                <w:szCs w:val="20"/>
              </w:rPr>
              <w:t xml:space="preserve">uilding footprints, building heights, </w:t>
            </w:r>
            <w:r>
              <w:rPr>
                <w:rFonts w:ascii="Times New Roman" w:hAnsi="Times New Roman" w:cs="Times New Roman" w:hint="eastAsia"/>
                <w:sz w:val="18"/>
                <w:szCs w:val="20"/>
              </w:rPr>
              <w:t>Point of Interest (</w:t>
            </w:r>
            <w:r w:rsidRPr="00037639">
              <w:rPr>
                <w:rFonts w:ascii="Times New Roman" w:hAnsi="Times New Roman" w:cs="Times New Roman"/>
                <w:sz w:val="18"/>
                <w:szCs w:val="20"/>
              </w:rPr>
              <w:t>POIs</w:t>
            </w:r>
            <w:r>
              <w:rPr>
                <w:rFonts w:ascii="Times New Roman" w:hAnsi="Times New Roman" w:cs="Times New Roman" w:hint="eastAsia"/>
                <w:sz w:val="18"/>
                <w:szCs w:val="20"/>
              </w:rPr>
              <w:t>)</w:t>
            </w:r>
            <w:r w:rsidRPr="00037639">
              <w:rPr>
                <w:rFonts w:ascii="Times New Roman" w:hAnsi="Times New Roman" w:cs="Times New Roman"/>
                <w:sz w:val="18"/>
                <w:szCs w:val="20"/>
              </w:rPr>
              <w:t>, areas of interest (AOIs)</w:t>
            </w:r>
          </w:p>
        </w:tc>
      </w:tr>
      <w:tr w:rsidR="00BC6A5D" w:rsidRPr="00F46F91" w14:paraId="6CBEBDFE" w14:textId="77777777" w:rsidTr="00BC6A5D">
        <w:trPr>
          <w:trHeight w:val="2196"/>
          <w:jc w:val="center"/>
        </w:trPr>
        <w:tc>
          <w:tcPr>
            <w:tcW w:w="562" w:type="dxa"/>
            <w:vAlign w:val="center"/>
          </w:tcPr>
          <w:p w14:paraId="2E1D8C75" w14:textId="77777777" w:rsidR="008A77FC" w:rsidRPr="006733F7"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5</w:t>
            </w:r>
          </w:p>
        </w:tc>
        <w:tc>
          <w:tcPr>
            <w:tcW w:w="1700" w:type="dxa"/>
            <w:vAlign w:val="center"/>
          </w:tcPr>
          <w:p w14:paraId="3EA2246B" w14:textId="41782E0F"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Deng et al., 2025</w:t>
            </w:r>
            <w:r>
              <w:rPr>
                <w:rFonts w:ascii="Times New Roman" w:hAnsi="Times New Roman" w:cs="Times New Roman"/>
                <w:sz w:val="18"/>
                <w:szCs w:val="20"/>
              </w:rPr>
              <w:fldChar w:fldCharType="begin"/>
            </w:r>
            <w:r>
              <w:rPr>
                <w:rFonts w:ascii="Times New Roman" w:hAnsi="Times New Roman" w:cs="Times New Roman"/>
                <w:sz w:val="18"/>
                <w:szCs w:val="20"/>
              </w:rPr>
              <w:instrText xml:space="preserve"> ADDIN ZOTERO_ITEM CSL_CITATION {"citationID":"VyWshQcm","properties":{"formattedCitation":"\\super 15\\nosupersub{}","plainCitation":"15","noteIndex":0},"citationItems":[{"id":124,"uris":["http://zotero.org/users/13271698/items/HWT4F45B"],"itemData":{"id":124,"type":"article-journal","container-title":"Applied Energy","DOI":"10.1016/j.apenergy.2025.125450","ISSN":"03062619","journalAbbreviation":"Applied Energy","language":"en","page":"125450","source":"DOI.org (Crossref)","title":"Provincial allocation of China's commercial building operational carbon toward carbon neutrality","volume":"384","author":[{"family":"Deng","given":"Yanqiao"},{"family":"Ma","given":"Minda"},{"family":"Zhou","given":"Nan"},{"family":"Zou","given":"Chenchen"},{"family":"Ma","given":"Zhili"},{"family":"Yan","given":"Ran"},{"family":"Ma","given":"Xin"}],"issued":{"date-parts":[["2025",4]]}}}],"schema":"https://github.com/citation-style-language/schema/raw/master/csl-citation.json"} </w:instrText>
            </w:r>
            <w:r>
              <w:rPr>
                <w:rFonts w:ascii="Times New Roman" w:hAnsi="Times New Roman" w:cs="Times New Roman"/>
                <w:sz w:val="18"/>
                <w:szCs w:val="20"/>
              </w:rPr>
              <w:fldChar w:fldCharType="separate"/>
            </w:r>
            <w:r w:rsidRPr="009E7DB0">
              <w:rPr>
                <w:rFonts w:ascii="Times New Roman" w:hAnsi="Times New Roman" w:cs="Times New Roman"/>
                <w:sz w:val="18"/>
                <w:vertAlign w:val="superscript"/>
              </w:rPr>
              <w:t>15</w:t>
            </w:r>
            <w:r>
              <w:rPr>
                <w:rFonts w:ascii="Times New Roman" w:hAnsi="Times New Roman" w:cs="Times New Roman"/>
                <w:sz w:val="18"/>
                <w:szCs w:val="20"/>
              </w:rPr>
              <w:fldChar w:fldCharType="end"/>
            </w:r>
          </w:p>
        </w:tc>
        <w:tc>
          <w:tcPr>
            <w:tcW w:w="1356" w:type="dxa"/>
            <w:vAlign w:val="center"/>
          </w:tcPr>
          <w:p w14:paraId="6D5BF463"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Top-down emission model</w:t>
            </w:r>
          </w:p>
        </w:tc>
        <w:tc>
          <w:tcPr>
            <w:tcW w:w="1906" w:type="dxa"/>
            <w:vAlign w:val="center"/>
          </w:tcPr>
          <w:p w14:paraId="7BBB59CB"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 xml:space="preserve">Commercial </w:t>
            </w:r>
            <w:r>
              <w:rPr>
                <w:rFonts w:ascii="Times New Roman" w:hAnsi="Times New Roman" w:cs="Times New Roman"/>
                <w:sz w:val="18"/>
                <w:szCs w:val="20"/>
              </w:rPr>
              <w:t>building</w:t>
            </w:r>
            <w:r>
              <w:rPr>
                <w:rFonts w:ascii="Times New Roman" w:hAnsi="Times New Roman" w:cs="Times New Roman" w:hint="eastAsia"/>
                <w:sz w:val="18"/>
                <w:szCs w:val="20"/>
              </w:rPr>
              <w:t xml:space="preserve"> operational carbon emissions</w:t>
            </w:r>
          </w:p>
        </w:tc>
        <w:tc>
          <w:tcPr>
            <w:tcW w:w="1559" w:type="dxa"/>
            <w:vAlign w:val="center"/>
          </w:tcPr>
          <w:p w14:paraId="5D70CD3C"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30 provinces excluded Tibet, Hong Kong, Macau, and Taiwan</w:t>
            </w:r>
          </w:p>
        </w:tc>
        <w:tc>
          <w:tcPr>
            <w:tcW w:w="1701" w:type="dxa"/>
            <w:vAlign w:val="center"/>
          </w:tcPr>
          <w:p w14:paraId="4B7E66D0"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2020-2060</w:t>
            </w:r>
          </w:p>
        </w:tc>
        <w:tc>
          <w:tcPr>
            <w:tcW w:w="2161" w:type="dxa"/>
            <w:vAlign w:val="center"/>
          </w:tcPr>
          <w:p w14:paraId="4B3B289B"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sz w:val="18"/>
                <w:szCs w:val="20"/>
              </w:rPr>
              <w:t>E</w:t>
            </w:r>
            <w:r>
              <w:rPr>
                <w:rFonts w:ascii="Times New Roman" w:hAnsi="Times New Roman" w:cs="Times New Roman" w:hint="eastAsia"/>
                <w:sz w:val="18"/>
                <w:szCs w:val="20"/>
              </w:rPr>
              <w:t>nergy peak level and time</w:t>
            </w:r>
          </w:p>
        </w:tc>
        <w:tc>
          <w:tcPr>
            <w:tcW w:w="2947" w:type="dxa"/>
            <w:vAlign w:val="center"/>
          </w:tcPr>
          <w:p w14:paraId="3791A37E"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Building floor area, per capita areas of commercial building</w:t>
            </w:r>
          </w:p>
        </w:tc>
      </w:tr>
      <w:tr w:rsidR="00BC6A5D" w:rsidRPr="00F46F91" w14:paraId="13076DB2" w14:textId="77777777" w:rsidTr="00BC6A5D">
        <w:trPr>
          <w:trHeight w:val="2196"/>
          <w:jc w:val="center"/>
        </w:trPr>
        <w:tc>
          <w:tcPr>
            <w:tcW w:w="562" w:type="dxa"/>
            <w:vAlign w:val="center"/>
          </w:tcPr>
          <w:p w14:paraId="6C8BAC36"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6</w:t>
            </w:r>
          </w:p>
        </w:tc>
        <w:tc>
          <w:tcPr>
            <w:tcW w:w="1700" w:type="dxa"/>
            <w:vAlign w:val="center"/>
          </w:tcPr>
          <w:p w14:paraId="455A8608" w14:textId="68FB2E88"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Dawodu et al., 2016</w:t>
            </w:r>
            <w:r>
              <w:rPr>
                <w:rFonts w:ascii="Times New Roman" w:hAnsi="Times New Roman" w:cs="Times New Roman"/>
                <w:sz w:val="18"/>
                <w:szCs w:val="20"/>
              </w:rPr>
              <w:fldChar w:fldCharType="begin"/>
            </w:r>
            <w:r>
              <w:rPr>
                <w:rFonts w:ascii="Times New Roman" w:hAnsi="Times New Roman" w:cs="Times New Roman"/>
                <w:sz w:val="18"/>
                <w:szCs w:val="20"/>
              </w:rPr>
              <w:instrText xml:space="preserve"> ADDIN ZOTERO_ITEM CSL_CITATION {"citationID":"aQQMR3I6","properties":{"formattedCitation":"\\super 16\\nosupersub{}","plainCitation":"16","noteIndex":0},"citationItems":[{"id":136,"uris":["http://zotero.org/users/13271698/items/8ZC52ANK"],"itemData":{"id":136,"type":"article-journal","container-title":"Energy Procedia","DOI":"10.1016/j.egypro.2017.03.789","ISSN":"18766102","journalAbbreviation":"Energy Procedia","language":"en","page":"3449-3455","source":"DOI.org (Crossref)","title":"Impact of Floor Area Ratio (FAR) on Energy Consumption at Meso Scale in China: Case Study of Ningbo","title-short":"Impact of Floor Area Ratio (FAR) on Energy Consumption at Meso Scale in China","volume":"105","author":[{"family":"Dawodu","given":"Ayotunde"},{"family":"Cheshmehzangi","given":"Ali"}],"issued":{"date-parts":[["2017",5]]}}}],"schema":"https://github.com/citation-style-language/schema/raw/master/csl-citation.json"} </w:instrText>
            </w:r>
            <w:r>
              <w:rPr>
                <w:rFonts w:ascii="Times New Roman" w:hAnsi="Times New Roman" w:cs="Times New Roman"/>
                <w:sz w:val="18"/>
                <w:szCs w:val="20"/>
              </w:rPr>
              <w:fldChar w:fldCharType="separate"/>
            </w:r>
            <w:r w:rsidRPr="009E7DB0">
              <w:rPr>
                <w:rFonts w:ascii="Times New Roman" w:hAnsi="Times New Roman" w:cs="Times New Roman"/>
                <w:sz w:val="18"/>
                <w:vertAlign w:val="superscript"/>
              </w:rPr>
              <w:t>16</w:t>
            </w:r>
            <w:r>
              <w:rPr>
                <w:rFonts w:ascii="Times New Roman" w:hAnsi="Times New Roman" w:cs="Times New Roman"/>
                <w:sz w:val="18"/>
                <w:szCs w:val="20"/>
              </w:rPr>
              <w:fldChar w:fldCharType="end"/>
            </w:r>
          </w:p>
        </w:tc>
        <w:tc>
          <w:tcPr>
            <w:tcW w:w="1356" w:type="dxa"/>
            <w:vAlign w:val="center"/>
          </w:tcPr>
          <w:p w14:paraId="3CD4C8D5" w14:textId="77777777" w:rsidR="008A77FC" w:rsidRDefault="008A77FC" w:rsidP="00EA3270">
            <w:pPr>
              <w:jc w:val="center"/>
              <w:rPr>
                <w:rFonts w:ascii="Times New Roman" w:hAnsi="Times New Roman" w:cs="Times New Roman"/>
                <w:sz w:val="18"/>
                <w:szCs w:val="20"/>
              </w:rPr>
            </w:pPr>
            <w:r w:rsidRPr="007F1545">
              <w:rPr>
                <w:rFonts w:ascii="Times New Roman" w:hAnsi="Times New Roman" w:cs="Times New Roman"/>
                <w:sz w:val="18"/>
                <w:szCs w:val="20"/>
              </w:rPr>
              <w:t xml:space="preserve">Autodesk </w:t>
            </w:r>
            <w:proofErr w:type="spellStart"/>
            <w:r w:rsidRPr="007F1545">
              <w:rPr>
                <w:rFonts w:ascii="Times New Roman" w:hAnsi="Times New Roman" w:cs="Times New Roman"/>
                <w:sz w:val="18"/>
                <w:szCs w:val="20"/>
              </w:rPr>
              <w:t>EcoTect</w:t>
            </w:r>
            <w:proofErr w:type="spellEnd"/>
            <w:r w:rsidRPr="007F1545">
              <w:rPr>
                <w:rFonts w:ascii="Times New Roman" w:hAnsi="Times New Roman" w:cs="Times New Roman"/>
                <w:sz w:val="18"/>
                <w:szCs w:val="20"/>
              </w:rPr>
              <w:t xml:space="preserve"> 2011</w:t>
            </w:r>
            <w:r>
              <w:rPr>
                <w:rFonts w:ascii="Times New Roman" w:hAnsi="Times New Roman" w:cs="Times New Roman" w:hint="eastAsia"/>
                <w:sz w:val="18"/>
                <w:szCs w:val="20"/>
              </w:rPr>
              <w:t xml:space="preserve"> (A simulation-driven building environmental </w:t>
            </w:r>
            <w:r>
              <w:rPr>
                <w:rFonts w:ascii="Times New Roman" w:hAnsi="Times New Roman" w:cs="Times New Roman"/>
                <w:sz w:val="18"/>
                <w:szCs w:val="20"/>
              </w:rPr>
              <w:t>analysis</w:t>
            </w:r>
            <w:r>
              <w:rPr>
                <w:rFonts w:ascii="Times New Roman" w:hAnsi="Times New Roman" w:cs="Times New Roman" w:hint="eastAsia"/>
                <w:sz w:val="18"/>
                <w:szCs w:val="20"/>
              </w:rPr>
              <w:t xml:space="preserve"> software</w:t>
            </w:r>
            <w:r>
              <w:rPr>
                <w:rFonts w:ascii="Times New Roman" w:hAnsi="Times New Roman" w:cs="Times New Roman"/>
                <w:sz w:val="18"/>
                <w:szCs w:val="20"/>
              </w:rPr>
              <w:t xml:space="preserve"> </w:t>
            </w:r>
            <w:r>
              <w:rPr>
                <w:rFonts w:ascii="Times New Roman" w:hAnsi="Times New Roman" w:cs="Times New Roman" w:hint="eastAsia"/>
                <w:sz w:val="18"/>
                <w:szCs w:val="20"/>
              </w:rPr>
              <w:t xml:space="preserve">that can conduct </w:t>
            </w:r>
            <w:r>
              <w:rPr>
                <w:rFonts w:ascii="Times New Roman" w:hAnsi="Times New Roman" w:cs="Times New Roman"/>
                <w:sz w:val="18"/>
                <w:szCs w:val="20"/>
              </w:rPr>
              <w:t>geometry</w:t>
            </w:r>
            <w:r>
              <w:rPr>
                <w:rFonts w:ascii="Times New Roman" w:hAnsi="Times New Roman" w:cs="Times New Roman" w:hint="eastAsia"/>
                <w:sz w:val="18"/>
                <w:szCs w:val="20"/>
              </w:rPr>
              <w:t xml:space="preserve"> analysis)</w:t>
            </w:r>
          </w:p>
        </w:tc>
        <w:tc>
          <w:tcPr>
            <w:tcW w:w="1906" w:type="dxa"/>
            <w:vAlign w:val="center"/>
          </w:tcPr>
          <w:p w14:paraId="4A296ABF"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Residential building heating and cooling energy demand</w:t>
            </w:r>
          </w:p>
        </w:tc>
        <w:tc>
          <w:tcPr>
            <w:tcW w:w="1559" w:type="dxa"/>
            <w:vAlign w:val="center"/>
          </w:tcPr>
          <w:p w14:paraId="31F0F349" w14:textId="77777777" w:rsidR="008A77FC" w:rsidRDefault="008A77FC" w:rsidP="00EA3270">
            <w:pPr>
              <w:jc w:val="center"/>
              <w:rPr>
                <w:rFonts w:ascii="Times New Roman" w:hAnsi="Times New Roman" w:cs="Times New Roman"/>
                <w:sz w:val="18"/>
                <w:szCs w:val="20"/>
              </w:rPr>
            </w:pPr>
            <w:proofErr w:type="spellStart"/>
            <w:proofErr w:type="gramStart"/>
            <w:r>
              <w:rPr>
                <w:rFonts w:ascii="Times New Roman" w:hAnsi="Times New Roman" w:cs="Times New Roman" w:hint="eastAsia"/>
                <w:sz w:val="18"/>
                <w:szCs w:val="20"/>
              </w:rPr>
              <w:t>N</w:t>
            </w:r>
            <w:r w:rsidRPr="006B58EE">
              <w:rPr>
                <w:rFonts w:ascii="Times New Roman" w:hAnsi="Times New Roman" w:cs="Times New Roman"/>
                <w:sz w:val="18"/>
                <w:szCs w:val="20"/>
              </w:rPr>
              <w:t>eighbourhood</w:t>
            </w:r>
            <w:proofErr w:type="spellEnd"/>
            <w:r w:rsidRPr="006B58EE">
              <w:rPr>
                <w:rFonts w:ascii="Times New Roman" w:hAnsi="Times New Roman" w:cs="Times New Roman"/>
                <w:sz w:val="18"/>
                <w:szCs w:val="20"/>
              </w:rPr>
              <w:t xml:space="preserve"> </w:t>
            </w:r>
            <w:r>
              <w:rPr>
                <w:rFonts w:ascii="Times New Roman" w:hAnsi="Times New Roman" w:cs="Times New Roman" w:hint="eastAsia"/>
                <w:sz w:val="18"/>
                <w:szCs w:val="20"/>
              </w:rPr>
              <w:t xml:space="preserve"> (</w:t>
            </w:r>
            <w:proofErr w:type="spellStart"/>
            <w:proofErr w:type="gramEnd"/>
            <w:r>
              <w:rPr>
                <w:rFonts w:ascii="Times New Roman" w:hAnsi="Times New Roman" w:cs="Times New Roman" w:hint="eastAsia"/>
                <w:sz w:val="18"/>
                <w:szCs w:val="20"/>
              </w:rPr>
              <w:t>Meso</w:t>
            </w:r>
            <w:proofErr w:type="spellEnd"/>
            <w:r>
              <w:rPr>
                <w:rFonts w:ascii="Times New Roman" w:hAnsi="Times New Roman" w:cs="Times New Roman" w:hint="eastAsia"/>
                <w:sz w:val="18"/>
                <w:szCs w:val="20"/>
              </w:rPr>
              <w:t xml:space="preserve">) </w:t>
            </w:r>
            <w:r w:rsidRPr="006B58EE">
              <w:rPr>
                <w:rFonts w:ascii="Times New Roman" w:hAnsi="Times New Roman" w:cs="Times New Roman"/>
                <w:sz w:val="18"/>
                <w:szCs w:val="20"/>
              </w:rPr>
              <w:t>level</w:t>
            </w:r>
            <w:r>
              <w:rPr>
                <w:rFonts w:ascii="Times New Roman" w:hAnsi="Times New Roman" w:cs="Times New Roman" w:hint="eastAsia"/>
                <w:sz w:val="18"/>
                <w:szCs w:val="20"/>
              </w:rPr>
              <w:t xml:space="preserve"> in Ningbo city, China</w:t>
            </w:r>
          </w:p>
        </w:tc>
        <w:tc>
          <w:tcPr>
            <w:tcW w:w="1701" w:type="dxa"/>
            <w:vAlign w:val="center"/>
          </w:tcPr>
          <w:p w14:paraId="03B1FF74"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1</w:t>
            </w:r>
            <w:r w:rsidRPr="00077ABE">
              <w:rPr>
                <w:rFonts w:ascii="Times New Roman" w:hAnsi="Times New Roman" w:cs="Times New Roman" w:hint="eastAsia"/>
                <w:sz w:val="18"/>
                <w:szCs w:val="20"/>
                <w:vertAlign w:val="superscript"/>
              </w:rPr>
              <w:t>st</w:t>
            </w:r>
            <w:r>
              <w:rPr>
                <w:rFonts w:ascii="Times New Roman" w:hAnsi="Times New Roman" w:cs="Times New Roman" w:hint="eastAsia"/>
                <w:sz w:val="18"/>
                <w:szCs w:val="20"/>
              </w:rPr>
              <w:t xml:space="preserve"> January-31</w:t>
            </w:r>
            <w:r w:rsidRPr="00077ABE">
              <w:rPr>
                <w:rFonts w:ascii="Times New Roman" w:hAnsi="Times New Roman" w:cs="Times New Roman" w:hint="eastAsia"/>
                <w:sz w:val="18"/>
                <w:szCs w:val="20"/>
                <w:vertAlign w:val="superscript"/>
              </w:rPr>
              <w:t>st</w:t>
            </w:r>
            <w:r>
              <w:rPr>
                <w:rFonts w:ascii="Times New Roman" w:hAnsi="Times New Roman" w:cs="Times New Roman" w:hint="eastAsia"/>
                <w:sz w:val="18"/>
                <w:szCs w:val="20"/>
              </w:rPr>
              <w:t xml:space="preserve"> December </w:t>
            </w:r>
          </w:p>
        </w:tc>
        <w:tc>
          <w:tcPr>
            <w:tcW w:w="2161" w:type="dxa"/>
            <w:vAlign w:val="center"/>
          </w:tcPr>
          <w:p w14:paraId="5EA1C700"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Floor Area Ratio (FAR)</w:t>
            </w:r>
          </w:p>
        </w:tc>
        <w:tc>
          <w:tcPr>
            <w:tcW w:w="2947" w:type="dxa"/>
            <w:vAlign w:val="center"/>
          </w:tcPr>
          <w:p w14:paraId="7F5C3E3C"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 xml:space="preserve">Building density </w:t>
            </w:r>
          </w:p>
        </w:tc>
      </w:tr>
      <w:tr w:rsidR="00BC6A5D" w:rsidRPr="00F46F91" w14:paraId="09CBEFA6" w14:textId="77777777" w:rsidTr="00BC6A5D">
        <w:trPr>
          <w:trHeight w:val="2196"/>
          <w:jc w:val="center"/>
        </w:trPr>
        <w:tc>
          <w:tcPr>
            <w:tcW w:w="562" w:type="dxa"/>
            <w:vAlign w:val="center"/>
          </w:tcPr>
          <w:p w14:paraId="1F080069"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lastRenderedPageBreak/>
              <w:t>7</w:t>
            </w:r>
          </w:p>
        </w:tc>
        <w:tc>
          <w:tcPr>
            <w:tcW w:w="1700" w:type="dxa"/>
            <w:vAlign w:val="center"/>
          </w:tcPr>
          <w:p w14:paraId="11047F35" w14:textId="1D160E4D" w:rsidR="008A77FC" w:rsidRDefault="008A77FC" w:rsidP="00EA3270">
            <w:pPr>
              <w:jc w:val="center"/>
              <w:rPr>
                <w:rFonts w:ascii="Times New Roman" w:hAnsi="Times New Roman" w:cs="Times New Roman"/>
                <w:sz w:val="18"/>
                <w:szCs w:val="20"/>
              </w:rPr>
            </w:pPr>
            <w:proofErr w:type="spellStart"/>
            <w:r w:rsidRPr="002F057F">
              <w:rPr>
                <w:rFonts w:ascii="Times New Roman" w:hAnsi="Times New Roman" w:cs="Times New Roman"/>
                <w:sz w:val="18"/>
                <w:szCs w:val="20"/>
              </w:rPr>
              <w:t>Tümtürk</w:t>
            </w:r>
            <w:proofErr w:type="spellEnd"/>
            <w:r>
              <w:rPr>
                <w:rFonts w:ascii="Times New Roman" w:hAnsi="Times New Roman" w:cs="Times New Roman" w:hint="eastAsia"/>
                <w:sz w:val="18"/>
                <w:szCs w:val="20"/>
              </w:rPr>
              <w:t>, 2025</w:t>
            </w:r>
            <w:r>
              <w:rPr>
                <w:rFonts w:ascii="Times New Roman" w:hAnsi="Times New Roman" w:cs="Times New Roman"/>
                <w:sz w:val="18"/>
                <w:szCs w:val="20"/>
              </w:rPr>
              <w:fldChar w:fldCharType="begin"/>
            </w:r>
            <w:r>
              <w:rPr>
                <w:rFonts w:ascii="Times New Roman" w:hAnsi="Times New Roman" w:cs="Times New Roman"/>
                <w:sz w:val="18"/>
                <w:szCs w:val="20"/>
              </w:rPr>
              <w:instrText xml:space="preserve"> ADDIN ZOTERO_ITEM CSL_CITATION {"citationID":"HyfLkb0Z","properties":{"formattedCitation":"\\super 17\\nosupersub{}","plainCitation":"17","noteIndex":0},"citationItems":[{"id":196,"uris":["http://zotero.org/users/13271698/items/AC2ELHNX"],"itemData":{"id":196,"type":"article-journal","container-title":"Cities","DOI":"10.1016/j.cities.2025.106308","ISSN":"02642751","journalAbbreviation":"Cities","language":"en","page":"106308","source":"DOI.org (Crossref)","title":"Multiple pathways to urban density: A comparative diachronic analysis of building type transitions across three city centers","title-short":"Multiple pathways to urban density","volume":"167","author":[{"family":"Tümtürk","given":"Onur"}],"issued":{"date-parts":[["2025",12]]}}}],"schema":"https://github.com/citation-style-language/schema/raw/master/csl-citation.json"} </w:instrText>
            </w:r>
            <w:r>
              <w:rPr>
                <w:rFonts w:ascii="Times New Roman" w:hAnsi="Times New Roman" w:cs="Times New Roman"/>
                <w:sz w:val="18"/>
                <w:szCs w:val="20"/>
              </w:rPr>
              <w:fldChar w:fldCharType="separate"/>
            </w:r>
            <w:r w:rsidRPr="009E7DB0">
              <w:rPr>
                <w:rFonts w:ascii="Times New Roman" w:hAnsi="Times New Roman" w:cs="Times New Roman"/>
                <w:sz w:val="18"/>
                <w:vertAlign w:val="superscript"/>
              </w:rPr>
              <w:t>17</w:t>
            </w:r>
            <w:r>
              <w:rPr>
                <w:rFonts w:ascii="Times New Roman" w:hAnsi="Times New Roman" w:cs="Times New Roman"/>
                <w:sz w:val="18"/>
                <w:szCs w:val="20"/>
              </w:rPr>
              <w:fldChar w:fldCharType="end"/>
            </w:r>
          </w:p>
        </w:tc>
        <w:tc>
          <w:tcPr>
            <w:tcW w:w="1356" w:type="dxa"/>
            <w:vAlign w:val="center"/>
          </w:tcPr>
          <w:p w14:paraId="7490DD88"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Longitudinal morphological dataset</w:t>
            </w:r>
          </w:p>
        </w:tc>
        <w:tc>
          <w:tcPr>
            <w:tcW w:w="1906" w:type="dxa"/>
            <w:vAlign w:val="center"/>
          </w:tcPr>
          <w:p w14:paraId="748F9CF8"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Building type transition</w:t>
            </w:r>
          </w:p>
        </w:tc>
        <w:tc>
          <w:tcPr>
            <w:tcW w:w="1559" w:type="dxa"/>
            <w:vAlign w:val="center"/>
          </w:tcPr>
          <w:p w14:paraId="4485CBF5"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New York, Midtown Manhattan, Central Melbourne, Eixample, Barcelona</w:t>
            </w:r>
          </w:p>
        </w:tc>
        <w:tc>
          <w:tcPr>
            <w:tcW w:w="1701" w:type="dxa"/>
            <w:vAlign w:val="center"/>
          </w:tcPr>
          <w:p w14:paraId="5BEE4534"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1890-2021; 1888-2020; 1890-2017</w:t>
            </w:r>
          </w:p>
        </w:tc>
        <w:tc>
          <w:tcPr>
            <w:tcW w:w="2161" w:type="dxa"/>
            <w:vAlign w:val="center"/>
          </w:tcPr>
          <w:p w14:paraId="5EE1B581" w14:textId="77777777" w:rsidR="008A77FC" w:rsidRDefault="008A77FC" w:rsidP="00EA3270">
            <w:pPr>
              <w:jc w:val="center"/>
              <w:rPr>
                <w:rFonts w:ascii="Times New Roman" w:hAnsi="Times New Roman" w:cs="Times New Roman"/>
                <w:sz w:val="18"/>
                <w:szCs w:val="20"/>
              </w:rPr>
            </w:pPr>
            <w:r w:rsidRPr="002F057F">
              <w:rPr>
                <w:rFonts w:ascii="Times New Roman" w:hAnsi="Times New Roman" w:cs="Times New Roman"/>
                <w:sz w:val="18"/>
                <w:szCs w:val="20"/>
              </w:rPr>
              <w:t>Accessible Ground Space Index (AGSI) and Accessible Floor Space Index (AFSI)</w:t>
            </w:r>
          </w:p>
        </w:tc>
        <w:tc>
          <w:tcPr>
            <w:tcW w:w="2947" w:type="dxa"/>
            <w:vAlign w:val="center"/>
          </w:tcPr>
          <w:p w14:paraId="13FCF8FF"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Urban density</w:t>
            </w:r>
          </w:p>
        </w:tc>
      </w:tr>
      <w:tr w:rsidR="00BC6A5D" w:rsidRPr="00F46F91" w14:paraId="05D1868B" w14:textId="77777777" w:rsidTr="00BC6A5D">
        <w:trPr>
          <w:trHeight w:val="2196"/>
          <w:jc w:val="center"/>
        </w:trPr>
        <w:tc>
          <w:tcPr>
            <w:tcW w:w="562" w:type="dxa"/>
            <w:vAlign w:val="center"/>
          </w:tcPr>
          <w:p w14:paraId="6FB56355"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8</w:t>
            </w:r>
          </w:p>
        </w:tc>
        <w:tc>
          <w:tcPr>
            <w:tcW w:w="1700" w:type="dxa"/>
            <w:vAlign w:val="center"/>
          </w:tcPr>
          <w:p w14:paraId="1CB09E48" w14:textId="2A8F5882"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Haddad et al., 2024</w:t>
            </w:r>
            <w:r>
              <w:rPr>
                <w:rFonts w:ascii="Times New Roman" w:hAnsi="Times New Roman" w:cs="Times New Roman"/>
                <w:sz w:val="18"/>
                <w:szCs w:val="20"/>
              </w:rPr>
              <w:fldChar w:fldCharType="begin"/>
            </w:r>
            <w:r>
              <w:rPr>
                <w:rFonts w:ascii="Times New Roman" w:hAnsi="Times New Roman" w:cs="Times New Roman"/>
                <w:sz w:val="18"/>
                <w:szCs w:val="20"/>
              </w:rPr>
              <w:instrText xml:space="preserve"> ADDIN ZOTERO_ITEM CSL_CITATION {"citationID":"c6p7cYpY","properties":{"formattedCitation":"\\super 18\\nosupersub{}","plainCitation":"18","noteIndex":0},"citationItems":[{"id":153,"uris":["http://zotero.org/users/13271698/items/WYVLM2EQ"],"itemData":{"id":153,"type":"article-journal","container-title":"Nature Cities","DOI":"10.1038/s44284-023-00005-5","ISSN":"2731-9997","issue":"1","journalAbbreviation":"Nat Cities","language":"en","page":"62-72","source":"DOI.org (Crossref)","title":"Quantifying the energy impact of heat mitigation technologies at the urban scale","volume":"1","author":[{"family":"Haddad","given":"Shamila"},{"family":"Zhang","given":"Wanni"},{"family":"Paolini","given":"Riccardo"},{"family":"Gao","given":"Kai"},{"family":"Altheeb","given":"Muzahim"},{"family":"Al Mogirah","given":"Abdulrahman"},{"family":"Bin Moammar","given":"Abdullatif"},{"family":"Hong","given":"Tianzhen"},{"family":"Khan","given":"Ansar"},{"family":"Cartalis","given":"Constantinos"},{"family":"Polydoros","given":"Anastasios"},{"family":"Santamouris","given":"Mattheos"}],"issued":{"date-parts":[["2024",1,11]]}}}],"schema":"https://github.com/citation-style-language/schema/raw/master/csl-citation.json"} </w:instrText>
            </w:r>
            <w:r>
              <w:rPr>
                <w:rFonts w:ascii="Times New Roman" w:hAnsi="Times New Roman" w:cs="Times New Roman"/>
                <w:sz w:val="18"/>
                <w:szCs w:val="20"/>
              </w:rPr>
              <w:fldChar w:fldCharType="separate"/>
            </w:r>
            <w:r w:rsidRPr="008A77FC">
              <w:rPr>
                <w:rFonts w:ascii="Times New Roman" w:hAnsi="Times New Roman" w:cs="Times New Roman"/>
                <w:sz w:val="18"/>
                <w:vertAlign w:val="superscript"/>
              </w:rPr>
              <w:t>18</w:t>
            </w:r>
            <w:r>
              <w:rPr>
                <w:rFonts w:ascii="Times New Roman" w:hAnsi="Times New Roman" w:cs="Times New Roman"/>
                <w:sz w:val="18"/>
                <w:szCs w:val="20"/>
              </w:rPr>
              <w:fldChar w:fldCharType="end"/>
            </w:r>
          </w:p>
        </w:tc>
        <w:tc>
          <w:tcPr>
            <w:tcW w:w="1356" w:type="dxa"/>
            <w:vAlign w:val="center"/>
          </w:tcPr>
          <w:p w14:paraId="3EB4E0EF" w14:textId="77777777" w:rsidR="008A77FC" w:rsidRDefault="008A77FC" w:rsidP="00EA3270">
            <w:pPr>
              <w:jc w:val="center"/>
              <w:rPr>
                <w:rFonts w:ascii="Times New Roman" w:hAnsi="Times New Roman" w:cs="Times New Roman"/>
                <w:sz w:val="18"/>
                <w:szCs w:val="20"/>
              </w:rPr>
            </w:pPr>
            <w:proofErr w:type="spellStart"/>
            <w:r>
              <w:rPr>
                <w:rFonts w:ascii="Times New Roman" w:hAnsi="Times New Roman" w:cs="Times New Roman" w:hint="eastAsia"/>
                <w:sz w:val="18"/>
                <w:szCs w:val="20"/>
              </w:rPr>
              <w:t>CityBES</w:t>
            </w:r>
            <w:proofErr w:type="spellEnd"/>
          </w:p>
        </w:tc>
        <w:tc>
          <w:tcPr>
            <w:tcW w:w="1906" w:type="dxa"/>
            <w:vAlign w:val="center"/>
          </w:tcPr>
          <w:p w14:paraId="3C26142E"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Cooling load and energy conservation potential</w:t>
            </w:r>
          </w:p>
        </w:tc>
        <w:tc>
          <w:tcPr>
            <w:tcW w:w="1559" w:type="dxa"/>
            <w:vAlign w:val="center"/>
          </w:tcPr>
          <w:p w14:paraId="1BE0FD02"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 xml:space="preserve">3323 buildings in </w:t>
            </w:r>
            <w:r w:rsidRPr="00EC0078">
              <w:rPr>
                <w:rFonts w:ascii="Times New Roman" w:hAnsi="Times New Roman" w:cs="Times New Roman"/>
                <w:sz w:val="18"/>
                <w:szCs w:val="20"/>
              </w:rPr>
              <w:t>Riyadh, Saudi Arabia.</w:t>
            </w:r>
          </w:p>
        </w:tc>
        <w:tc>
          <w:tcPr>
            <w:tcW w:w="1701" w:type="dxa"/>
            <w:vAlign w:val="center"/>
          </w:tcPr>
          <w:p w14:paraId="2156F678" w14:textId="1BCB6B5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w:t>
            </w:r>
          </w:p>
        </w:tc>
        <w:tc>
          <w:tcPr>
            <w:tcW w:w="2161" w:type="dxa"/>
            <w:vAlign w:val="center"/>
          </w:tcPr>
          <w:p w14:paraId="203A0AAD" w14:textId="5117DECE"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w:t>
            </w:r>
          </w:p>
        </w:tc>
        <w:tc>
          <w:tcPr>
            <w:tcW w:w="2947" w:type="dxa"/>
            <w:vAlign w:val="center"/>
          </w:tcPr>
          <w:p w14:paraId="6DB84159" w14:textId="5D779EE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w:t>
            </w:r>
          </w:p>
        </w:tc>
      </w:tr>
      <w:tr w:rsidR="00BC6A5D" w:rsidRPr="00F46F91" w14:paraId="24C416E2" w14:textId="77777777" w:rsidTr="00BC6A5D">
        <w:trPr>
          <w:trHeight w:val="2196"/>
          <w:jc w:val="center"/>
        </w:trPr>
        <w:tc>
          <w:tcPr>
            <w:tcW w:w="562" w:type="dxa"/>
            <w:vAlign w:val="center"/>
          </w:tcPr>
          <w:p w14:paraId="52232C75"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9</w:t>
            </w:r>
          </w:p>
        </w:tc>
        <w:tc>
          <w:tcPr>
            <w:tcW w:w="1700" w:type="dxa"/>
            <w:vAlign w:val="center"/>
          </w:tcPr>
          <w:p w14:paraId="2A6D538E" w14:textId="388C1D8A"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Chen et al., 2017</w:t>
            </w:r>
            <w:r>
              <w:rPr>
                <w:rFonts w:ascii="Times New Roman" w:hAnsi="Times New Roman" w:cs="Times New Roman"/>
                <w:sz w:val="18"/>
                <w:szCs w:val="20"/>
              </w:rPr>
              <w:fldChar w:fldCharType="begin"/>
            </w:r>
            <w:r>
              <w:rPr>
                <w:rFonts w:ascii="Times New Roman" w:hAnsi="Times New Roman" w:cs="Times New Roman"/>
                <w:sz w:val="18"/>
                <w:szCs w:val="20"/>
              </w:rPr>
              <w:instrText xml:space="preserve"> ADDIN ZOTERO_ITEM CSL_CITATION {"citationID":"Ku87cggI","properties":{"formattedCitation":"\\super 19\\nosupersub{}","plainCitation":"19","noteIndex":0},"citationItems":[{"id":155,"uris":["http://zotero.org/users/13271698/items/EQKYIIV3"],"itemData":{"id":155,"type":"article-journal","container-title":"Applied Energy","DOI":"10.1016/j.apenergy.2017.07.128","ISSN":"03062619","journalAbbreviation":"Applied Energy","language":"en","page":"323-335","source":"DOI.org (Crossref)","title":"Automatic generation and simulation of urban building energy models based on city datasets for city-scale building retrofit analysis","volume":"205","author":[{"family":"Chen","given":"Yixing"},{"family":"Hong","given":"Tianzhen"},{"family":"Piette","given":"Mary Ann"}],"issued":{"date-parts":[["2017",11]]}}}],"schema":"https://github.com/citation-style-language/schema/raw/master/csl-citation.json"} </w:instrText>
            </w:r>
            <w:r>
              <w:rPr>
                <w:rFonts w:ascii="Times New Roman" w:hAnsi="Times New Roman" w:cs="Times New Roman"/>
                <w:sz w:val="18"/>
                <w:szCs w:val="20"/>
              </w:rPr>
              <w:fldChar w:fldCharType="separate"/>
            </w:r>
            <w:r w:rsidRPr="008A77FC">
              <w:rPr>
                <w:rFonts w:ascii="Times New Roman" w:hAnsi="Times New Roman" w:cs="Times New Roman"/>
                <w:sz w:val="18"/>
                <w:vertAlign w:val="superscript"/>
              </w:rPr>
              <w:t>19</w:t>
            </w:r>
            <w:r>
              <w:rPr>
                <w:rFonts w:ascii="Times New Roman" w:hAnsi="Times New Roman" w:cs="Times New Roman"/>
                <w:sz w:val="18"/>
                <w:szCs w:val="20"/>
              </w:rPr>
              <w:fldChar w:fldCharType="end"/>
            </w:r>
          </w:p>
        </w:tc>
        <w:tc>
          <w:tcPr>
            <w:tcW w:w="1356" w:type="dxa"/>
            <w:vAlign w:val="center"/>
          </w:tcPr>
          <w:p w14:paraId="3F2B3A44" w14:textId="77777777" w:rsidR="008A77FC" w:rsidRDefault="008A77FC" w:rsidP="00EA3270">
            <w:pPr>
              <w:jc w:val="center"/>
              <w:rPr>
                <w:rFonts w:ascii="Times New Roman" w:hAnsi="Times New Roman" w:cs="Times New Roman"/>
                <w:sz w:val="18"/>
                <w:szCs w:val="20"/>
              </w:rPr>
            </w:pPr>
            <w:proofErr w:type="spellStart"/>
            <w:r>
              <w:rPr>
                <w:rFonts w:ascii="Times New Roman" w:hAnsi="Times New Roman" w:cs="Times New Roman" w:hint="eastAsia"/>
                <w:sz w:val="18"/>
                <w:szCs w:val="20"/>
              </w:rPr>
              <w:t>CityBES</w:t>
            </w:r>
            <w:proofErr w:type="spellEnd"/>
            <w:r>
              <w:rPr>
                <w:rFonts w:ascii="Times New Roman" w:hAnsi="Times New Roman" w:cs="Times New Roman" w:hint="eastAsia"/>
                <w:sz w:val="18"/>
                <w:szCs w:val="20"/>
              </w:rPr>
              <w:t xml:space="preserve"> and </w:t>
            </w:r>
            <w:proofErr w:type="spellStart"/>
            <w:r>
              <w:rPr>
                <w:rFonts w:ascii="Times New Roman" w:hAnsi="Times New Roman" w:cs="Times New Roman" w:hint="eastAsia"/>
                <w:sz w:val="18"/>
                <w:szCs w:val="20"/>
              </w:rPr>
              <w:t>Energyplus</w:t>
            </w:r>
            <w:proofErr w:type="spellEnd"/>
          </w:p>
        </w:tc>
        <w:tc>
          <w:tcPr>
            <w:tcW w:w="1906" w:type="dxa"/>
            <w:vAlign w:val="center"/>
          </w:tcPr>
          <w:p w14:paraId="786707B5" w14:textId="77777777" w:rsidR="008A77FC" w:rsidRDefault="008A77FC" w:rsidP="00EA3270">
            <w:pPr>
              <w:jc w:val="center"/>
              <w:rPr>
                <w:rFonts w:ascii="Times New Roman" w:hAnsi="Times New Roman" w:cs="Times New Roman"/>
                <w:sz w:val="18"/>
                <w:szCs w:val="20"/>
              </w:rPr>
            </w:pPr>
            <w:r w:rsidRPr="005D5F3B">
              <w:rPr>
                <w:rFonts w:ascii="Times New Roman" w:hAnsi="Times New Roman" w:cs="Times New Roman"/>
                <w:sz w:val="18"/>
                <w:szCs w:val="20"/>
              </w:rPr>
              <w:t>Automatic generation and simulation of urban building energy models</w:t>
            </w:r>
          </w:p>
        </w:tc>
        <w:tc>
          <w:tcPr>
            <w:tcW w:w="1559" w:type="dxa"/>
            <w:vAlign w:val="center"/>
          </w:tcPr>
          <w:p w14:paraId="239FB61F" w14:textId="77777777" w:rsidR="008A77FC" w:rsidRDefault="008A77FC" w:rsidP="00EA3270">
            <w:pPr>
              <w:jc w:val="center"/>
              <w:rPr>
                <w:rFonts w:ascii="Times New Roman" w:hAnsi="Times New Roman" w:cs="Times New Roman"/>
                <w:sz w:val="18"/>
                <w:szCs w:val="20"/>
              </w:rPr>
            </w:pPr>
            <w:r w:rsidRPr="005D5F3B">
              <w:rPr>
                <w:rFonts w:ascii="Times New Roman" w:hAnsi="Times New Roman" w:cs="Times New Roman"/>
                <w:sz w:val="18"/>
                <w:szCs w:val="20"/>
              </w:rPr>
              <w:t>940 office and retail buildings in six city districts in northeast San Francisco, United States</w:t>
            </w:r>
          </w:p>
        </w:tc>
        <w:tc>
          <w:tcPr>
            <w:tcW w:w="1701" w:type="dxa"/>
            <w:vAlign w:val="center"/>
          </w:tcPr>
          <w:p w14:paraId="411A9768" w14:textId="65E1AEA9"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w:t>
            </w:r>
          </w:p>
        </w:tc>
        <w:tc>
          <w:tcPr>
            <w:tcW w:w="2161" w:type="dxa"/>
            <w:vAlign w:val="center"/>
          </w:tcPr>
          <w:p w14:paraId="342F49F2"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Energy conservation measure</w:t>
            </w:r>
          </w:p>
        </w:tc>
        <w:tc>
          <w:tcPr>
            <w:tcW w:w="2947" w:type="dxa"/>
            <w:vAlign w:val="center"/>
          </w:tcPr>
          <w:p w14:paraId="1534A89A"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Building types</w:t>
            </w:r>
          </w:p>
        </w:tc>
      </w:tr>
      <w:tr w:rsidR="00BC6A5D" w:rsidRPr="00F46F91" w14:paraId="320753DE" w14:textId="77777777" w:rsidTr="00BC6A5D">
        <w:trPr>
          <w:trHeight w:val="2196"/>
          <w:jc w:val="center"/>
        </w:trPr>
        <w:tc>
          <w:tcPr>
            <w:tcW w:w="562" w:type="dxa"/>
            <w:vAlign w:val="center"/>
          </w:tcPr>
          <w:p w14:paraId="11AEA130"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lastRenderedPageBreak/>
              <w:t>10</w:t>
            </w:r>
          </w:p>
        </w:tc>
        <w:tc>
          <w:tcPr>
            <w:tcW w:w="1700" w:type="dxa"/>
            <w:vAlign w:val="center"/>
          </w:tcPr>
          <w:p w14:paraId="736A740B" w14:textId="44F4EACA"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Weiler et al., 2022</w:t>
            </w:r>
            <w:r>
              <w:rPr>
                <w:rFonts w:ascii="Times New Roman" w:hAnsi="Times New Roman" w:cs="Times New Roman"/>
                <w:sz w:val="18"/>
                <w:szCs w:val="20"/>
              </w:rPr>
              <w:fldChar w:fldCharType="begin"/>
            </w:r>
            <w:r>
              <w:rPr>
                <w:rFonts w:ascii="Times New Roman" w:hAnsi="Times New Roman" w:cs="Times New Roman"/>
                <w:sz w:val="18"/>
                <w:szCs w:val="20"/>
              </w:rPr>
              <w:instrText xml:space="preserve"> ADDIN ZOTERO_ITEM CSL_CITATION {"citationID":"kJ1kKgPC","properties":{"formattedCitation":"\\super 20\\nosupersub{}","plainCitation":"20","noteIndex":0},"citationItems":[{"id":157,"uris":["http://zotero.org/users/13271698/items/3XKLSQ8P"],"itemData":{"id":157,"type":"article-journal","container-title":"Applied Energy","DOI":"10.1016/j.apenergy.2022.118651","ISSN":"03062619","journalAbbreviation":"Applied Energy","language":"en","page":"118651","source":"DOI.org (Crossref)","title":"Automatic dimensioning of energy system components for building cluster simulation","volume":"313","author":[{"family":"Weiler","given":"Verena"},{"family":"Lust","given":"Daniel"},{"family":"Brennenstuhl","given":"Marcus"},{"family":"Brassel","given":"Kai-Holger"},{"family":"Duminil","given":"Eric"},{"family":"Eicker","given":"Ursula"}],"issued":{"date-parts":[["2022",5]]}}}],"schema":"https://github.com/citation-style-language/schema/raw/master/csl-citation.json"} </w:instrText>
            </w:r>
            <w:r>
              <w:rPr>
                <w:rFonts w:ascii="Times New Roman" w:hAnsi="Times New Roman" w:cs="Times New Roman"/>
                <w:sz w:val="18"/>
                <w:szCs w:val="20"/>
              </w:rPr>
              <w:fldChar w:fldCharType="separate"/>
            </w:r>
            <w:r w:rsidRPr="008A77FC">
              <w:rPr>
                <w:rFonts w:ascii="Times New Roman" w:hAnsi="Times New Roman" w:cs="Times New Roman"/>
                <w:sz w:val="18"/>
                <w:vertAlign w:val="superscript"/>
              </w:rPr>
              <w:t>20</w:t>
            </w:r>
            <w:r>
              <w:rPr>
                <w:rFonts w:ascii="Times New Roman" w:hAnsi="Times New Roman" w:cs="Times New Roman"/>
                <w:sz w:val="18"/>
                <w:szCs w:val="20"/>
              </w:rPr>
              <w:fldChar w:fldCharType="end"/>
            </w:r>
          </w:p>
        </w:tc>
        <w:tc>
          <w:tcPr>
            <w:tcW w:w="1356" w:type="dxa"/>
            <w:vAlign w:val="center"/>
          </w:tcPr>
          <w:p w14:paraId="55F2C062" w14:textId="77777777" w:rsidR="008A77FC" w:rsidRDefault="008A77FC" w:rsidP="00EA3270">
            <w:pPr>
              <w:jc w:val="center"/>
              <w:rPr>
                <w:rFonts w:ascii="Times New Roman" w:hAnsi="Times New Roman" w:cs="Times New Roman"/>
                <w:sz w:val="18"/>
                <w:szCs w:val="20"/>
              </w:rPr>
            </w:pPr>
            <w:proofErr w:type="spellStart"/>
            <w:r>
              <w:rPr>
                <w:rFonts w:ascii="Times New Roman" w:hAnsi="Times New Roman" w:cs="Times New Roman" w:hint="eastAsia"/>
                <w:sz w:val="18"/>
                <w:szCs w:val="20"/>
              </w:rPr>
              <w:t>SimStadt</w:t>
            </w:r>
            <w:proofErr w:type="spellEnd"/>
            <w:r>
              <w:rPr>
                <w:rFonts w:ascii="Times New Roman" w:hAnsi="Times New Roman" w:cs="Times New Roman" w:hint="eastAsia"/>
                <w:sz w:val="18"/>
                <w:szCs w:val="20"/>
              </w:rPr>
              <w:t xml:space="preserve"> and </w:t>
            </w:r>
            <w:r w:rsidRPr="006764FE">
              <w:rPr>
                <w:rFonts w:ascii="Times New Roman" w:hAnsi="Times New Roman" w:cs="Times New Roman"/>
                <w:sz w:val="18"/>
                <w:szCs w:val="20"/>
              </w:rPr>
              <w:t>INSEL</w:t>
            </w:r>
          </w:p>
        </w:tc>
        <w:tc>
          <w:tcPr>
            <w:tcW w:w="1906" w:type="dxa"/>
            <w:vAlign w:val="center"/>
          </w:tcPr>
          <w:p w14:paraId="5CCB4924"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A</w:t>
            </w:r>
            <w:r w:rsidRPr="00903CCF">
              <w:rPr>
                <w:rFonts w:ascii="Times New Roman" w:hAnsi="Times New Roman" w:cs="Times New Roman"/>
                <w:sz w:val="18"/>
                <w:szCs w:val="20"/>
              </w:rPr>
              <w:t>utomatic energy system modeling and simulation</w:t>
            </w:r>
            <w:r>
              <w:rPr>
                <w:rFonts w:ascii="Times New Roman" w:hAnsi="Times New Roman" w:cs="Times New Roman" w:hint="eastAsia"/>
                <w:sz w:val="18"/>
                <w:szCs w:val="20"/>
              </w:rPr>
              <w:t xml:space="preserve"> (Rule based and optimization based)</w:t>
            </w:r>
          </w:p>
        </w:tc>
        <w:tc>
          <w:tcPr>
            <w:tcW w:w="1559" w:type="dxa"/>
            <w:vAlign w:val="center"/>
          </w:tcPr>
          <w:p w14:paraId="7DC1C63D" w14:textId="77777777" w:rsidR="008A77FC" w:rsidRDefault="008A77FC" w:rsidP="00EA3270">
            <w:pPr>
              <w:jc w:val="center"/>
              <w:rPr>
                <w:rFonts w:ascii="Times New Roman" w:hAnsi="Times New Roman" w:cs="Times New Roman"/>
                <w:sz w:val="18"/>
                <w:szCs w:val="20"/>
              </w:rPr>
            </w:pPr>
            <w:r w:rsidRPr="00903CCF">
              <w:rPr>
                <w:rFonts w:ascii="Times New Roman" w:hAnsi="Times New Roman" w:cs="Times New Roman"/>
                <w:sz w:val="18"/>
                <w:szCs w:val="20"/>
              </w:rPr>
              <w:t xml:space="preserve">11 buildings </w:t>
            </w:r>
            <w:r>
              <w:rPr>
                <w:rFonts w:ascii="Times New Roman" w:hAnsi="Times New Roman" w:cs="Times New Roman" w:hint="eastAsia"/>
                <w:sz w:val="18"/>
                <w:szCs w:val="20"/>
              </w:rPr>
              <w:t>in a German suburban town (</w:t>
            </w:r>
            <w:proofErr w:type="spellStart"/>
            <w:r w:rsidRPr="006764FE">
              <w:rPr>
                <w:rFonts w:ascii="Times New Roman" w:hAnsi="Times New Roman" w:cs="Times New Roman"/>
                <w:sz w:val="18"/>
                <w:szCs w:val="20"/>
              </w:rPr>
              <w:t>Wüstenro</w:t>
            </w:r>
            <w:proofErr w:type="spellEnd"/>
            <w:r>
              <w:rPr>
                <w:rFonts w:ascii="Times New Roman" w:hAnsi="Times New Roman" w:cs="Times New Roman" w:hint="eastAsia"/>
                <w:sz w:val="18"/>
                <w:szCs w:val="20"/>
              </w:rPr>
              <w:t>)</w:t>
            </w:r>
          </w:p>
        </w:tc>
        <w:tc>
          <w:tcPr>
            <w:tcW w:w="1701" w:type="dxa"/>
            <w:vAlign w:val="center"/>
          </w:tcPr>
          <w:p w14:paraId="0DDEFC0A"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2020/2050</w:t>
            </w:r>
          </w:p>
        </w:tc>
        <w:tc>
          <w:tcPr>
            <w:tcW w:w="2161" w:type="dxa"/>
            <w:vAlign w:val="center"/>
          </w:tcPr>
          <w:p w14:paraId="3E77B212" w14:textId="77777777" w:rsidR="008A77FC" w:rsidRDefault="008A77FC" w:rsidP="00EA3270">
            <w:pPr>
              <w:jc w:val="center"/>
              <w:rPr>
                <w:rFonts w:ascii="Times New Roman" w:hAnsi="Times New Roman" w:cs="Times New Roman"/>
                <w:sz w:val="18"/>
                <w:szCs w:val="20"/>
              </w:rPr>
            </w:pPr>
            <w:r>
              <w:rPr>
                <w:rFonts w:ascii="Times New Roman" w:hAnsi="Times New Roman" w:cs="Times New Roman"/>
                <w:sz w:val="18"/>
                <w:szCs w:val="20"/>
              </w:rPr>
              <w:t>T</w:t>
            </w:r>
            <w:r>
              <w:rPr>
                <w:rFonts w:ascii="Times New Roman" w:hAnsi="Times New Roman" w:cs="Times New Roman" w:hint="eastAsia"/>
                <w:sz w:val="18"/>
                <w:szCs w:val="20"/>
              </w:rPr>
              <w:t>otal annual cost</w:t>
            </w:r>
          </w:p>
        </w:tc>
        <w:tc>
          <w:tcPr>
            <w:tcW w:w="2947" w:type="dxa"/>
            <w:vAlign w:val="center"/>
          </w:tcPr>
          <w:p w14:paraId="10F73D5A" w14:textId="39EFF28F" w:rsidR="008A77FC" w:rsidRDefault="008A77FC" w:rsidP="00EA3270">
            <w:pPr>
              <w:jc w:val="center"/>
              <w:rPr>
                <w:rFonts w:ascii="Times New Roman" w:hAnsi="Times New Roman" w:cs="Times New Roman"/>
                <w:sz w:val="18"/>
                <w:szCs w:val="20"/>
              </w:rPr>
            </w:pPr>
            <w:r>
              <w:rPr>
                <w:rFonts w:ascii="Times New Roman" w:hAnsi="Times New Roman" w:cs="Times New Roman" w:hint="eastAsia"/>
                <w:sz w:val="18"/>
                <w:szCs w:val="20"/>
              </w:rPr>
              <w:t>-</w:t>
            </w:r>
          </w:p>
        </w:tc>
      </w:tr>
    </w:tbl>
    <w:p w14:paraId="247669E9" w14:textId="77777777" w:rsidR="00D942D5" w:rsidRDefault="00D942D5"/>
    <w:p w14:paraId="734ECB67" w14:textId="77777777" w:rsidR="00D942D5" w:rsidRDefault="00D942D5"/>
    <w:p w14:paraId="4B16CF4C" w14:textId="77777777" w:rsidR="00D942D5" w:rsidRDefault="00D942D5">
      <w:pPr>
        <w:sectPr w:rsidR="00D942D5" w:rsidSect="00D942D5">
          <w:pgSz w:w="16838" w:h="11906" w:orient="landscape"/>
          <w:pgMar w:top="1800" w:right="1440" w:bottom="1800" w:left="1440" w:header="851" w:footer="992" w:gutter="0"/>
          <w:cols w:space="425"/>
          <w:docGrid w:type="lines" w:linePitch="312"/>
        </w:sectPr>
      </w:pPr>
    </w:p>
    <w:p w14:paraId="5B0AE265" w14:textId="0CEEFFFA" w:rsidR="000D2D72" w:rsidRDefault="000D2D72" w:rsidP="001B1882">
      <w:pPr>
        <w:pStyle w:val="1"/>
      </w:pPr>
      <w:r>
        <w:rPr>
          <w:rFonts w:hint="eastAsia"/>
        </w:rPr>
        <w:lastRenderedPageBreak/>
        <w:t>S</w:t>
      </w:r>
      <w:r>
        <w:t>upplementary Method</w:t>
      </w:r>
    </w:p>
    <w:p w14:paraId="79257ACA" w14:textId="56B3C1AB" w:rsidR="007B503C" w:rsidRPr="0087367D" w:rsidRDefault="007B503C" w:rsidP="007B503C">
      <w:pPr>
        <w:rPr>
          <w:rFonts w:ascii="Times New Roman" w:hAnsi="Times New Roman" w:cs="Times New Roman"/>
        </w:rPr>
      </w:pPr>
      <w:r w:rsidRPr="0087367D">
        <w:rPr>
          <w:rFonts w:ascii="Times New Roman" w:hAnsi="Times New Roman" w:cs="Times New Roman"/>
        </w:rPr>
        <w:t>Assessment of Urban Renewable Energy Utilization Rate</w:t>
      </w:r>
    </w:p>
    <w:p w14:paraId="2DE4A0BA" w14:textId="77777777" w:rsidR="007B503C" w:rsidRPr="0087367D" w:rsidRDefault="007B503C" w:rsidP="007B503C">
      <w:pPr>
        <w:rPr>
          <w:rFonts w:ascii="Times New Roman" w:hAnsi="Times New Roman" w:cs="Times New Roman"/>
        </w:rPr>
      </w:pPr>
      <w:r w:rsidRPr="0087367D">
        <w:rPr>
          <w:rFonts w:ascii="Times New Roman" w:hAnsi="Times New Roman" w:cs="Times New Roman"/>
        </w:rPr>
        <w:t>The renewable energy utilization rate is a critical metric for assessing the efficiency and sustainability of urban energy systems. It reflects the capacity of a city to harness renewable energy sources relative to its available spatial and temporal resources. In this study, we employ the distributed photovoltaic (PV) utilization rate at the city level to characterize this indicator. This metric quantifies the density of PV deployment per unit building area and per unit effective generation time, serving as a proxy for the efficiency of solar energy integration within urban built environments.</w:t>
      </w:r>
    </w:p>
    <w:p w14:paraId="36F6D776" w14:textId="77777777" w:rsidR="007B503C" w:rsidRPr="0087367D" w:rsidRDefault="007B503C" w:rsidP="007B503C">
      <w:pPr>
        <w:rPr>
          <w:rFonts w:ascii="Times New Roman" w:hAnsi="Times New Roman" w:cs="Times New Roman"/>
        </w:rPr>
      </w:pPr>
      <w:r w:rsidRPr="0087367D">
        <w:rPr>
          <w:rFonts w:ascii="Times New Roman" w:hAnsi="Times New Roman" w:cs="Times New Roman"/>
        </w:rPr>
        <w:t>The city-level renewable energy utilization rate (</w:t>
      </w:r>
      <m:oMath>
        <m:r>
          <w:rPr>
            <w:rFonts w:ascii="Cambria Math" w:hAnsi="Cambria Math" w:cs="Times New Roman"/>
          </w:rPr>
          <m:t>U</m:t>
        </m:r>
      </m:oMath>
      <w:r w:rsidRPr="0087367D">
        <w:rPr>
          <w:rFonts w:ascii="Times New Roman" w:hAnsi="Times New Roman" w:cs="Times New Roman"/>
        </w:rPr>
        <w:t>) is defined as the ratio of the total installed capacity of distributed PV systems within the city to the product of the total building footprint area and the annual effective utilization hours of PV generation. Mathematically, it is expressed as:</w:t>
      </w:r>
    </w:p>
    <w:p w14:paraId="36B4A62E" w14:textId="796253C8" w:rsidR="007B503C" w:rsidRPr="0087367D" w:rsidRDefault="00000000" w:rsidP="007B503C">
      <w:pPr>
        <w:rPr>
          <w:rFonts w:ascii="Times New Roman" w:hAnsi="Times New Roman" w:cs="Times New Roman"/>
        </w:rPr>
      </w:pPr>
      <m:oMathPara>
        <m:oMath>
          <m:eqArr>
            <m:eqArrPr>
              <m:maxDist m:val="1"/>
              <m:ctrlPr>
                <w:rPr>
                  <w:rFonts w:ascii="Cambria Math" w:hAnsi="Cambria Math" w:cs="Times New Roman"/>
                  <w:i/>
                </w:rPr>
              </m:ctrlPr>
            </m:eqArrPr>
            <m:e>
              <m:r>
                <w:rPr>
                  <w:rFonts w:ascii="Cambria Math" w:hAnsi="Cambria Math" w:cs="Times New Roman"/>
                </w:rPr>
                <m:t>U=</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hint="eastAsia"/>
                        </w:rPr>
                        <m:t>city</m:t>
                      </m:r>
                    </m:sub>
                  </m:sSub>
                </m:num>
                <m:den>
                  <m:r>
                    <w:rPr>
                      <w:rFonts w:ascii="Cambria Math" w:hAnsi="Cambria Math" w:cs="Times New Roman"/>
                    </w:rPr>
                    <m:t>A</m:t>
                  </m:r>
                  <m:r>
                    <w:rPr>
                      <w:rFonts w:ascii="Cambria Math" w:hAnsi="Cambria Math" w:cs="Times New Roman" w:hint="eastAsia"/>
                    </w:rPr>
                    <m:t>×</m:t>
                  </m:r>
                  <m:r>
                    <w:rPr>
                      <w:rFonts w:ascii="Cambria Math" w:hAnsi="Cambria Math" w:cs="Times New Roman"/>
                    </w:rPr>
                    <m:t>H</m:t>
                  </m:r>
                </m:den>
              </m:f>
              <m:r>
                <w:rPr>
                  <w:rFonts w:ascii="Cambria Math" w:hAnsi="Cambria Math" w:cs="Times New Roman"/>
                </w:rPr>
                <m:t>#</m:t>
              </m:r>
              <m:r>
                <m:rPr>
                  <m:nor/>
                </m:rPr>
                <w:rPr>
                  <w:rFonts w:ascii="Times New Roman" w:hAnsi="Times New Roman" w:cs="Times New Roman"/>
                </w:rPr>
                <m:t>(1)</m:t>
              </m:r>
              <m:ctrlPr>
                <w:rPr>
                  <w:rFonts w:ascii="Cambria Math" w:hAnsi="Cambria Math" w:cs="Times New Roman"/>
                </w:rPr>
              </m:ctrlPr>
            </m:e>
          </m:eqArr>
        </m:oMath>
      </m:oMathPara>
    </w:p>
    <w:p w14:paraId="4B580428" w14:textId="77777777" w:rsidR="007B503C" w:rsidRPr="0087367D" w:rsidRDefault="007B503C" w:rsidP="007B503C">
      <w:pPr>
        <w:rPr>
          <w:rFonts w:ascii="Times New Roman" w:hAnsi="Times New Roman" w:cs="Times New Roman"/>
        </w:rPr>
      </w:pPr>
      <w:r w:rsidRPr="0087367D">
        <w:rPr>
          <w:rFonts w:ascii="Times New Roman" w:hAnsi="Times New Roman" w:cs="Times New Roman"/>
        </w:rPr>
        <w:t>W</w:t>
      </w:r>
      <w:r w:rsidRPr="0087367D">
        <w:rPr>
          <w:rFonts w:ascii="Times New Roman" w:hAnsi="Times New Roman" w:cs="Times New Roman" w:hint="eastAsia"/>
        </w:rPr>
        <w:t>here</w:t>
      </w:r>
      <w:r w:rsidRPr="0087367D">
        <w:rPr>
          <w:rFonts w:ascii="Times New Roman" w:hAnsi="Times New Roman" w:cs="Times New Roman"/>
        </w:rPr>
        <w:t xml:space="preserve">, </w:t>
      </w:r>
      <m:oMath>
        <m:r>
          <w:rPr>
            <w:rFonts w:ascii="Cambria Math" w:hAnsi="Cambria Math" w:cs="Times New Roman"/>
          </w:rPr>
          <m:t>U</m:t>
        </m:r>
      </m:oMath>
      <w:r w:rsidRPr="0087367D">
        <w:rPr>
          <w:rFonts w:ascii="Times New Roman" w:hAnsi="Times New Roman" w:cs="Times New Roman" w:hint="eastAsia"/>
        </w:rPr>
        <w:t xml:space="preserve"> </w:t>
      </w:r>
      <w:r w:rsidRPr="0087367D">
        <w:rPr>
          <w:rFonts w:ascii="Times New Roman" w:hAnsi="Times New Roman" w:cs="Times New Roman"/>
        </w:rPr>
        <w:t xml:space="preserve">is the city-level renewable energy utilization rate (in kW/km²·h),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hint="eastAsia"/>
              </w:rPr>
              <m:t>city</m:t>
            </m:r>
          </m:sub>
        </m:sSub>
      </m:oMath>
      <w:r w:rsidRPr="0087367D">
        <w:rPr>
          <w:rFonts w:ascii="Times New Roman" w:hAnsi="Times New Roman" w:cs="Times New Roman" w:hint="eastAsia"/>
        </w:rPr>
        <w:t xml:space="preserve"> </w:t>
      </w:r>
      <w:r w:rsidRPr="0087367D">
        <w:rPr>
          <w:rFonts w:ascii="Times New Roman" w:hAnsi="Times New Roman" w:cs="Times New Roman"/>
        </w:rPr>
        <w:t xml:space="preserve">is the total installed distributed PV capacity at the city level (in kW), </w:t>
      </w:r>
      <w:r w:rsidRPr="0087367D">
        <w:rPr>
          <w:rFonts w:ascii="Times New Roman" w:hAnsi="Times New Roman" w:cs="Times New Roman" w:hint="eastAsia"/>
        </w:rPr>
        <w:t>a</w:t>
      </w:r>
      <w:r w:rsidRPr="0087367D">
        <w:rPr>
          <w:rFonts w:ascii="Times New Roman" w:hAnsi="Times New Roman" w:cs="Times New Roman"/>
        </w:rPr>
        <w:t xml:space="preserve">nd </w:t>
      </w:r>
      <m:oMath>
        <m:r>
          <w:rPr>
            <w:rFonts w:ascii="Cambria Math" w:hAnsi="Cambria Math" w:cs="Times New Roman"/>
          </w:rPr>
          <m:t>A</m:t>
        </m:r>
      </m:oMath>
      <w:r w:rsidRPr="0087367D">
        <w:rPr>
          <w:rFonts w:ascii="Times New Roman" w:hAnsi="Times New Roman" w:cs="Times New Roman"/>
        </w:rPr>
        <w:t xml:space="preserve"> is the total building footprint area of the city (in km²)</w:t>
      </w:r>
      <w:r w:rsidRPr="0087367D">
        <w:rPr>
          <w:rFonts w:ascii="Times New Roman" w:hAnsi="Times New Roman" w:cs="Times New Roman" w:hint="eastAsia"/>
        </w:rPr>
        <w:t>.</w:t>
      </w:r>
      <w:r w:rsidRPr="0087367D">
        <w:rPr>
          <w:rFonts w:ascii="Times New Roman" w:hAnsi="Times New Roman" w:cs="Times New Roman"/>
        </w:rPr>
        <w:t xml:space="preserve"> </w:t>
      </w:r>
      <m:oMath>
        <m:r>
          <w:rPr>
            <w:rFonts w:ascii="Cambria Math" w:hAnsi="Cambria Math" w:cs="Times New Roman"/>
          </w:rPr>
          <m:t>H</m:t>
        </m:r>
      </m:oMath>
      <w:r w:rsidRPr="0087367D">
        <w:rPr>
          <w:rFonts w:ascii="Times New Roman" w:hAnsi="Times New Roman" w:cs="Times New Roman" w:hint="eastAsia"/>
        </w:rPr>
        <w:t xml:space="preserve"> </w:t>
      </w:r>
      <w:proofErr w:type="gramStart"/>
      <w:r w:rsidRPr="0087367D">
        <w:rPr>
          <w:rFonts w:ascii="Times New Roman" w:hAnsi="Times New Roman" w:cs="Times New Roman"/>
        </w:rPr>
        <w:t>is</w:t>
      </w:r>
      <w:proofErr w:type="gramEnd"/>
      <w:r w:rsidRPr="0087367D">
        <w:rPr>
          <w:rFonts w:ascii="Times New Roman" w:hAnsi="Times New Roman" w:cs="Times New Roman"/>
        </w:rPr>
        <w:t xml:space="preserve"> the annual effective utilization hours of PV generation, which are sourced from the PV Resource Development Planning Table, with units in hours. The unit of </w:t>
      </w:r>
      <m:oMath>
        <m:r>
          <w:rPr>
            <w:rFonts w:ascii="Cambria Math" w:hAnsi="Cambria Math" w:cs="Times New Roman"/>
          </w:rPr>
          <m:t>U</m:t>
        </m:r>
      </m:oMath>
      <w:r w:rsidRPr="0087367D">
        <w:rPr>
          <w:rFonts w:ascii="Times New Roman" w:hAnsi="Times New Roman" w:cs="Times New Roman"/>
        </w:rPr>
        <w:t xml:space="preserve"> is kW/km²·h, which represents the installed PV capacity (in kW) per square kilometer of building footprint area and per hour of effective annual generation time. This metric can be interpreted as the PV power carrying capacity density per unit land area and per unit time, reflecting the efficiency of PV deployment over urban building spaces.</w:t>
      </w:r>
    </w:p>
    <w:p w14:paraId="0AA45D62" w14:textId="77777777" w:rsidR="007B503C" w:rsidRPr="0087367D" w:rsidRDefault="007B503C" w:rsidP="007B503C">
      <w:pPr>
        <w:rPr>
          <w:rFonts w:ascii="Times New Roman" w:hAnsi="Times New Roman" w:cs="Times New Roman"/>
        </w:rPr>
      </w:pPr>
    </w:p>
    <w:p w14:paraId="5E9F2CD3" w14:textId="77777777" w:rsidR="007B503C" w:rsidRPr="0087367D" w:rsidRDefault="007B503C" w:rsidP="007B503C">
      <w:pPr>
        <w:rPr>
          <w:rFonts w:ascii="Times New Roman" w:hAnsi="Times New Roman" w:cs="Times New Roman"/>
        </w:rPr>
      </w:pPr>
      <w:r w:rsidRPr="0087367D">
        <w:rPr>
          <w:rFonts w:ascii="Times New Roman" w:hAnsi="Times New Roman" w:cs="Times New Roman"/>
        </w:rPr>
        <w:t>The city-level distributed PV capacity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hint="eastAsia"/>
              </w:rPr>
              <m:t>city</m:t>
            </m:r>
          </m:sub>
        </m:sSub>
      </m:oMath>
      <w:r w:rsidRPr="0087367D">
        <w:rPr>
          <w:rFonts w:ascii="Times New Roman" w:hAnsi="Times New Roman" w:cs="Times New Roman"/>
        </w:rPr>
        <w:t>) is derived from the provincial distributed PV capacity, scaled by the ratio of the city’s rooftop PV deployment potential to that of the province:</w:t>
      </w:r>
    </w:p>
    <w:p w14:paraId="1B878BA6" w14:textId="2E50840B" w:rsidR="007B503C" w:rsidRPr="0087367D" w:rsidRDefault="00000000" w:rsidP="007B503C">
      <w:pPr>
        <w:rPr>
          <w:rFonts w:ascii="Times New Roman" w:hAnsi="Times New Roman" w:cs="Times New Roman"/>
        </w:rPr>
      </w:pPr>
      <m:oMathPara>
        <m:oMath>
          <m:eqArr>
            <m:eqArrPr>
              <m:maxDist m:val="1"/>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hint="eastAsia"/>
                    </w:rPr>
                    <m:t>city</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prov</m:t>
                  </m:r>
                </m:sub>
              </m:sSub>
              <m:r>
                <w:rPr>
                  <w:rFonts w:ascii="Cambria Math" w:hAnsi="Cambria Math" w:cs="Times New Roman" w:hint="eastAsia"/>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hint="eastAsia"/>
                        </w:rPr>
                        <m:t>city</m:t>
                      </m:r>
                    </m:sub>
                  </m:sSub>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hint="eastAsia"/>
                        </w:rPr>
                        <m:t>prov</m:t>
                      </m:r>
                    </m:sub>
                  </m:sSub>
                </m:den>
              </m:f>
              <m:r>
                <w:rPr>
                  <w:rFonts w:ascii="Cambria Math" w:hAnsi="Cambria Math" w:cs="Times New Roman"/>
                </w:rPr>
                <m:t>#</m:t>
              </m:r>
              <m:r>
                <m:rPr>
                  <m:nor/>
                </m:rPr>
                <w:rPr>
                  <w:rFonts w:ascii="Times New Roman" w:hAnsi="Times New Roman" w:cs="Times New Roman"/>
                </w:rPr>
                <m:t>(2)</m:t>
              </m:r>
              <m:ctrlPr>
                <w:rPr>
                  <w:rFonts w:ascii="Cambria Math" w:hAnsi="Cambria Math" w:cs="Times New Roman"/>
                </w:rPr>
              </m:ctrlPr>
            </m:e>
          </m:eqArr>
        </m:oMath>
      </m:oMathPara>
    </w:p>
    <w:p w14:paraId="3A050F7C" w14:textId="53C12932" w:rsidR="007B503C" w:rsidRPr="0087367D" w:rsidRDefault="007B503C" w:rsidP="007B503C">
      <w:pPr>
        <w:rPr>
          <w:rFonts w:ascii="Times New Roman" w:hAnsi="Times New Roman" w:cs="Times New Roman"/>
        </w:rPr>
      </w:pPr>
      <w:r w:rsidRPr="0087367D">
        <w:rPr>
          <w:rFonts w:ascii="Times New Roman" w:hAnsi="Times New Roman" w:cs="Times New Roman"/>
        </w:rPr>
        <w:t>W</w:t>
      </w:r>
      <w:r w:rsidRPr="0087367D">
        <w:rPr>
          <w:rFonts w:ascii="Times New Roman" w:hAnsi="Times New Roman" w:cs="Times New Roman" w:hint="eastAsia"/>
        </w:rPr>
        <w:t>here</w:t>
      </w:r>
      <w:r w:rsidRPr="0087367D">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prov</m:t>
            </m:r>
          </m:sub>
        </m:sSub>
      </m:oMath>
      <w:r w:rsidRPr="0087367D">
        <w:rPr>
          <w:rFonts w:ascii="Times New Roman" w:hAnsi="Times New Roman" w:cs="Times New Roman" w:hint="eastAsia"/>
        </w:rPr>
        <w:t xml:space="preserve"> </w:t>
      </w:r>
      <w:r w:rsidRPr="0087367D">
        <w:rPr>
          <w:rFonts w:ascii="Times New Roman" w:hAnsi="Times New Roman" w:cs="Times New Roman"/>
        </w:rPr>
        <w:t>is the distributed PV capacity of the province where the city is located,</w:t>
      </w:r>
      <w:r w:rsidRPr="0087367D">
        <w:rPr>
          <w:rFonts w:ascii="Times New Roman" w:hAnsi="Times New Roman"/>
        </w:rPr>
        <w:t xml:space="preserve"> </w:t>
      </w:r>
      <w:r w:rsidRPr="0087367D">
        <w:rPr>
          <w:rFonts w:ascii="Times New Roman" w:hAnsi="Times New Roman" w:cs="Times New Roman"/>
        </w:rPr>
        <w:t>obtained from the National Energy Administration (</w:t>
      </w:r>
      <w:hyperlink r:id="rId11" w:history="1">
        <w:r w:rsidRPr="0087367D">
          <w:rPr>
            <w:rStyle w:val="af0"/>
            <w:rFonts w:ascii="Times New Roman" w:hAnsi="Times New Roman" w:cs="Times New Roman"/>
          </w:rPr>
          <w:t>https://www.nea.gov.cn/2022-03/09/c_1310508114.htm</w:t>
        </w:r>
      </w:hyperlink>
      <w:r w:rsidRPr="0087367D">
        <w:rPr>
          <w:rFonts w:ascii="Times New Roman" w:hAnsi="Times New Roman" w:cs="Times New Roman"/>
        </w:rPr>
        <w:t>),</w:t>
      </w:r>
      <w:r w:rsidRPr="0087367D">
        <w:rPr>
          <w:rFonts w:ascii="Times New Roman" w:hAnsi="Times New Roman" w:cs="Times New Roman" w:hint="eastAsia"/>
        </w:rPr>
        <w:t xml:space="preserve"> </w:t>
      </w:r>
      <w:r w:rsidRPr="0087367D">
        <w:rPr>
          <w:rFonts w:ascii="Times New Roman" w:hAnsi="Times New Roman" w:cs="Times New Roman"/>
        </w:rPr>
        <w:t xml:space="preserve">with units in kW.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hint="eastAsia"/>
              </w:rPr>
              <m:t>city</m:t>
            </m:r>
          </m:sub>
        </m:sSub>
      </m:oMath>
      <w:r w:rsidRPr="0087367D">
        <w:rPr>
          <w:rFonts w:ascii="Times New Roman" w:hAnsi="Times New Roman" w:cs="Times New Roman" w:hint="eastAsia"/>
        </w:rPr>
        <w:t xml:space="preserve"> </w:t>
      </w:r>
      <w:r w:rsidRPr="0087367D">
        <w:rPr>
          <w:rFonts w:ascii="Times New Roman" w:hAnsi="Times New Roman" w:cs="Times New Roman"/>
        </w:rPr>
        <w:t xml:space="preserve">and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hint="eastAsia"/>
              </w:rPr>
              <m:t>prov</m:t>
            </m:r>
          </m:sub>
        </m:sSub>
      </m:oMath>
      <w:r w:rsidRPr="0087367D">
        <w:rPr>
          <w:rFonts w:ascii="Times New Roman" w:hAnsi="Times New Roman" w:cs="Times New Roman" w:hint="eastAsia"/>
        </w:rPr>
        <w:t xml:space="preserve"> </w:t>
      </w:r>
      <w:r w:rsidRPr="0087367D">
        <w:rPr>
          <w:rFonts w:ascii="Times New Roman" w:hAnsi="Times New Roman" w:cs="Times New Roman"/>
        </w:rPr>
        <w:t xml:space="preserve">represent the rooftop PV deployment potential of the city and province, which are referenced from the study by Shi </w:t>
      </w:r>
      <w:proofErr w:type="gramStart"/>
      <w:r w:rsidRPr="0087367D">
        <w:rPr>
          <w:rFonts w:ascii="Times New Roman" w:hAnsi="Times New Roman" w:cs="Times New Roman"/>
        </w:rPr>
        <w:t>et al.(</w:t>
      </w:r>
      <w:proofErr w:type="gramEnd"/>
      <w:r w:rsidRPr="0087367D">
        <w:rPr>
          <w:rFonts w:ascii="Times New Roman" w:hAnsi="Times New Roman" w:cs="Times New Roman"/>
        </w:rPr>
        <w:t>2025).</w:t>
      </w:r>
    </w:p>
    <w:p w14:paraId="6F2FDA04" w14:textId="77777777" w:rsidR="007B503C" w:rsidRPr="0087367D" w:rsidRDefault="007B503C" w:rsidP="007B503C">
      <w:pPr>
        <w:rPr>
          <w:rFonts w:ascii="Times New Roman" w:hAnsi="Times New Roman" w:cs="Times New Roman"/>
        </w:rPr>
      </w:pPr>
    </w:p>
    <w:p w14:paraId="19CBC0B8" w14:textId="77777777" w:rsidR="007B503C" w:rsidRPr="0087367D" w:rsidRDefault="007B503C" w:rsidP="007B503C">
      <w:pPr>
        <w:rPr>
          <w:rFonts w:ascii="Times New Roman" w:hAnsi="Times New Roman" w:cs="Times New Roman"/>
        </w:rPr>
      </w:pPr>
      <w:r w:rsidRPr="0087367D">
        <w:rPr>
          <w:rFonts w:ascii="Times New Roman" w:hAnsi="Times New Roman" w:cs="Times New Roman"/>
        </w:rPr>
        <w:t xml:space="preserve">The building footprint area </w:t>
      </w:r>
      <m:oMath>
        <m:r>
          <w:rPr>
            <w:rFonts w:ascii="Cambria Math" w:hAnsi="Cambria Math" w:cs="Times New Roman"/>
          </w:rPr>
          <m:t>A</m:t>
        </m:r>
      </m:oMath>
      <w:r w:rsidRPr="0087367D">
        <w:rPr>
          <w:rFonts w:ascii="Times New Roman" w:hAnsi="Times New Roman" w:cs="Times New Roman"/>
        </w:rPr>
        <w:t xml:space="preserve"> is defined differently in each scheme:</w:t>
      </w:r>
    </w:p>
    <w:p w14:paraId="38AD10A9" w14:textId="77777777" w:rsidR="007B503C" w:rsidRPr="0087367D" w:rsidRDefault="007B503C" w:rsidP="007B503C">
      <w:pPr>
        <w:pStyle w:val="af"/>
        <w:numPr>
          <w:ilvl w:val="0"/>
          <w:numId w:val="3"/>
        </w:numPr>
        <w:ind w:firstLineChars="0"/>
        <w:rPr>
          <w:rFonts w:ascii="Times New Roman" w:hAnsi="Times New Roman" w:cs="Times New Roman"/>
        </w:rPr>
      </w:pPr>
      <w:r w:rsidRPr="0087367D">
        <w:rPr>
          <w:rFonts w:ascii="Times New Roman" w:hAnsi="Times New Roman" w:cs="Times New Roman" w:hint="eastAsia"/>
        </w:rPr>
        <w:t>Scheme</w:t>
      </w:r>
      <w:r w:rsidRPr="0087367D">
        <w:rPr>
          <w:rFonts w:ascii="Times New Roman" w:hAnsi="Times New Roman" w:cs="Times New Roman"/>
        </w:rPr>
        <w:t xml:space="preserve"> 1</w:t>
      </w:r>
      <w:r w:rsidRPr="0087367D">
        <w:rPr>
          <w:rFonts w:ascii="Times New Roman" w:hAnsi="Times New Roman" w:cs="Times New Roman" w:hint="eastAsia"/>
        </w:rPr>
        <w:t>:</w:t>
      </w:r>
    </w:p>
    <w:p w14:paraId="6264F79D" w14:textId="77777777" w:rsidR="007B503C" w:rsidRPr="0087367D" w:rsidRDefault="007B503C" w:rsidP="007B503C">
      <w:pPr>
        <w:pStyle w:val="af"/>
        <w:ind w:left="440" w:firstLineChars="0" w:firstLine="0"/>
        <w:rPr>
          <w:rFonts w:ascii="Times New Roman" w:hAnsi="Times New Roman" w:cs="Times New Roman"/>
        </w:rPr>
      </w:pPr>
      <w:r w:rsidRPr="0087367D">
        <w:rPr>
          <w:rFonts w:ascii="Times New Roman" w:hAnsi="Times New Roman" w:cs="Times New Roman"/>
        </w:rPr>
        <w:t>The building footprint area encompasses all building types, including residential, commercial, and public buildings.</w:t>
      </w:r>
    </w:p>
    <w:p w14:paraId="567C222B" w14:textId="19B1E6AD" w:rsidR="007B503C" w:rsidRPr="0087367D" w:rsidRDefault="00000000" w:rsidP="007B503C">
      <w:pPr>
        <w:pStyle w:val="af"/>
        <w:ind w:left="440" w:firstLineChars="0" w:firstLine="0"/>
        <w:rPr>
          <w:rFonts w:ascii="Times New Roman" w:hAnsi="Times New Roman" w:cs="Times New Roman"/>
        </w:rPr>
      </w:pPr>
      <m:oMathPara>
        <m:oMath>
          <m:eqArr>
            <m:eqArrPr>
              <m:maxDist m:val="1"/>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residential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commercial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public</m:t>
                  </m:r>
                </m:sub>
              </m:sSub>
              <m:r>
                <w:rPr>
                  <w:rFonts w:ascii="Cambria Math" w:hAnsi="Cambria Math" w:cs="Times New Roman"/>
                </w:rPr>
                <m:t>#</m:t>
              </m:r>
              <m:r>
                <m:rPr>
                  <m:nor/>
                </m:rPr>
                <w:rPr>
                  <w:rFonts w:ascii="Times New Roman" w:hAnsi="Times New Roman" w:cs="Times New Roman"/>
                </w:rPr>
                <m:t>(3)</m:t>
              </m:r>
              <m:ctrlPr>
                <w:rPr>
                  <w:rFonts w:ascii="Cambria Math" w:hAnsi="Cambria Math" w:cs="Times New Roman"/>
                </w:rPr>
              </m:ctrlPr>
            </m:e>
          </m:eqArr>
        </m:oMath>
      </m:oMathPara>
    </w:p>
    <w:p w14:paraId="7337A72E" w14:textId="77777777" w:rsidR="007B503C" w:rsidRPr="0087367D" w:rsidRDefault="007B503C" w:rsidP="007B503C">
      <w:pPr>
        <w:pStyle w:val="af"/>
        <w:ind w:left="440" w:firstLineChars="0" w:firstLine="0"/>
        <w:rPr>
          <w:rFonts w:ascii="Times New Roman" w:hAnsi="Times New Roman" w:cs="Times New Roman"/>
        </w:rPr>
      </w:pPr>
      <w:r w:rsidRPr="0087367D">
        <w:rPr>
          <w:rFonts w:ascii="Times New Roman" w:hAnsi="Times New Roman" w:cs="Times New Roman"/>
        </w:rPr>
        <w:t>The utilization rate is therefore:</w:t>
      </w:r>
    </w:p>
    <w:p w14:paraId="39158E91" w14:textId="1254B1E7" w:rsidR="007B503C" w:rsidRPr="0087367D" w:rsidRDefault="00000000" w:rsidP="007B503C">
      <w:pPr>
        <w:rPr>
          <w:rFonts w:ascii="Times New Roman" w:hAnsi="Times New Roman" w:cs="Times New Roman"/>
        </w:rPr>
      </w:pPr>
      <m:oMathPara>
        <m:oMath>
          <m:eqArr>
            <m:eqArrPr>
              <m:maxDist m:val="1"/>
              <m:ctrlPr>
                <w:rPr>
                  <w:rFonts w:ascii="Cambria Math" w:hAnsi="Cambria Math" w:cs="Times New Roman"/>
                  <w:i/>
                </w:rPr>
              </m:ctrlPr>
            </m:eqArrPr>
            <m:e>
              <m:r>
                <w:rPr>
                  <w:rFonts w:ascii="Cambria Math" w:hAnsi="Cambria Math" w:cs="Times New Roman"/>
                </w:rPr>
                <m:t>U=</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hint="eastAsia"/>
                        </w:rPr>
                        <m:t>city</m:t>
                      </m:r>
                    </m:sub>
                  </m:sSub>
                </m:num>
                <m:den>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hint="eastAsia"/>
                    </w:rPr>
                    <m:t>×</m:t>
                  </m:r>
                  <m:r>
                    <w:rPr>
                      <w:rFonts w:ascii="Cambria Math" w:hAnsi="Cambria Math" w:cs="Times New Roman"/>
                    </w:rPr>
                    <m:t>H</m:t>
                  </m:r>
                </m:den>
              </m:f>
              <m:r>
                <w:rPr>
                  <w:rFonts w:ascii="Cambria Math" w:hAnsi="Cambria Math" w:cs="Times New Roman"/>
                </w:rPr>
                <m:t>#</m:t>
              </m:r>
              <m:r>
                <m:rPr>
                  <m:nor/>
                </m:rPr>
                <w:rPr>
                  <w:rFonts w:ascii="Times New Roman" w:hAnsi="Times New Roman" w:cs="Times New Roman"/>
                </w:rPr>
                <m:t>(4)</m:t>
              </m:r>
              <m:ctrlPr>
                <w:rPr>
                  <w:rFonts w:ascii="Cambria Math" w:hAnsi="Cambria Math" w:cs="Times New Roman"/>
                </w:rPr>
              </m:ctrlPr>
            </m:e>
          </m:eqArr>
        </m:oMath>
      </m:oMathPara>
    </w:p>
    <w:p w14:paraId="0B0B1816" w14:textId="77777777" w:rsidR="007B503C" w:rsidRPr="0087367D" w:rsidRDefault="007B503C" w:rsidP="007B503C">
      <w:pPr>
        <w:pStyle w:val="af"/>
        <w:numPr>
          <w:ilvl w:val="0"/>
          <w:numId w:val="3"/>
        </w:numPr>
        <w:ind w:firstLineChars="0"/>
        <w:rPr>
          <w:rFonts w:ascii="Times New Roman" w:hAnsi="Times New Roman" w:cs="Times New Roman"/>
        </w:rPr>
      </w:pPr>
      <w:r w:rsidRPr="0087367D">
        <w:rPr>
          <w:rFonts w:ascii="Times New Roman" w:hAnsi="Times New Roman" w:cs="Times New Roman" w:hint="eastAsia"/>
        </w:rPr>
        <w:t>Scheme</w:t>
      </w:r>
      <w:r w:rsidRPr="0087367D">
        <w:rPr>
          <w:rFonts w:ascii="Times New Roman" w:hAnsi="Times New Roman" w:cs="Times New Roman"/>
        </w:rPr>
        <w:t xml:space="preserve"> 2</w:t>
      </w:r>
      <w:r w:rsidRPr="0087367D">
        <w:rPr>
          <w:rFonts w:ascii="Times New Roman" w:hAnsi="Times New Roman" w:cs="Times New Roman" w:hint="eastAsia"/>
        </w:rPr>
        <w:t>:</w:t>
      </w:r>
    </w:p>
    <w:p w14:paraId="43A7BB70" w14:textId="77777777" w:rsidR="007B503C" w:rsidRPr="0087367D" w:rsidRDefault="007B503C" w:rsidP="007B503C">
      <w:pPr>
        <w:pStyle w:val="af"/>
        <w:ind w:left="440" w:firstLineChars="0" w:firstLine="0"/>
        <w:rPr>
          <w:rFonts w:ascii="Times New Roman" w:hAnsi="Times New Roman" w:cs="Times New Roman"/>
        </w:rPr>
      </w:pPr>
      <w:r w:rsidRPr="0087367D">
        <w:rPr>
          <w:rFonts w:ascii="Times New Roman" w:hAnsi="Times New Roman" w:cs="Times New Roman"/>
        </w:rPr>
        <w:t xml:space="preserve">The building footprint area includes only commercial and public buildings, excluding </w:t>
      </w:r>
      <w:r w:rsidRPr="0087367D">
        <w:rPr>
          <w:rFonts w:ascii="Times New Roman" w:hAnsi="Times New Roman" w:cs="Times New Roman"/>
        </w:rPr>
        <w:lastRenderedPageBreak/>
        <w:t>residential structures.</w:t>
      </w:r>
    </w:p>
    <w:p w14:paraId="14CEA16A" w14:textId="0C29A06D" w:rsidR="007B503C" w:rsidRPr="0087367D" w:rsidRDefault="00000000" w:rsidP="007B503C">
      <w:pPr>
        <w:pStyle w:val="af"/>
        <w:ind w:left="440" w:firstLineChars="0" w:firstLine="0"/>
        <w:rPr>
          <w:rFonts w:ascii="Times New Roman" w:hAnsi="Times New Roman" w:cs="Times New Roman"/>
        </w:rPr>
      </w:pPr>
      <m:oMathPara>
        <m:oMath>
          <m:eqArr>
            <m:eqArrPr>
              <m:maxDist m:val="1"/>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commercial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public</m:t>
                  </m:r>
                </m:sub>
              </m:sSub>
              <m:r>
                <w:rPr>
                  <w:rFonts w:ascii="Cambria Math" w:hAnsi="Cambria Math" w:cs="Times New Roman"/>
                </w:rPr>
                <m:t>#</m:t>
              </m:r>
              <m:r>
                <m:rPr>
                  <m:nor/>
                </m:rPr>
                <w:rPr>
                  <w:rFonts w:ascii="Times New Roman" w:hAnsi="Times New Roman" w:cs="Times New Roman"/>
                </w:rPr>
                <m:t>(5)</m:t>
              </m:r>
              <m:ctrlPr>
                <w:rPr>
                  <w:rFonts w:ascii="Cambria Math" w:hAnsi="Cambria Math" w:cs="Times New Roman"/>
                </w:rPr>
              </m:ctrlPr>
            </m:e>
          </m:eqArr>
        </m:oMath>
      </m:oMathPara>
    </w:p>
    <w:p w14:paraId="56131E4C" w14:textId="77777777" w:rsidR="007B503C" w:rsidRPr="0087367D" w:rsidRDefault="007B503C" w:rsidP="007B503C">
      <w:pPr>
        <w:pStyle w:val="af"/>
        <w:ind w:left="440" w:firstLineChars="0" w:firstLine="0"/>
        <w:rPr>
          <w:rFonts w:ascii="Times New Roman" w:hAnsi="Times New Roman" w:cs="Times New Roman"/>
        </w:rPr>
      </w:pPr>
      <w:r w:rsidRPr="0087367D">
        <w:rPr>
          <w:rFonts w:ascii="Times New Roman" w:hAnsi="Times New Roman" w:cs="Times New Roman"/>
        </w:rPr>
        <w:t>The utilization rate is therefore:</w:t>
      </w:r>
    </w:p>
    <w:p w14:paraId="367E2BB1" w14:textId="29C5A2E4" w:rsidR="007B503C" w:rsidRPr="0087367D" w:rsidRDefault="00000000" w:rsidP="007B503C">
      <w:pPr>
        <w:rPr>
          <w:rFonts w:ascii="Times New Roman" w:hAnsi="Times New Roman" w:cs="Times New Roman"/>
        </w:rPr>
      </w:pPr>
      <m:oMathPara>
        <m:oMath>
          <m:eqArr>
            <m:eqArrPr>
              <m:maxDist m:val="1"/>
              <m:ctrlPr>
                <w:rPr>
                  <w:rFonts w:ascii="Cambria Math" w:hAnsi="Cambria Math" w:cs="Times New Roman"/>
                  <w:i/>
                </w:rPr>
              </m:ctrlPr>
            </m:eqArrPr>
            <m:e>
              <m:r>
                <w:rPr>
                  <w:rFonts w:ascii="Cambria Math" w:hAnsi="Cambria Math" w:cs="Times New Roman"/>
                </w:rPr>
                <m:t>U=</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hint="eastAsia"/>
                        </w:rPr>
                        <m:t>city</m:t>
                      </m:r>
                    </m:sub>
                  </m:sSub>
                </m:num>
                <m:den>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hint="eastAsia"/>
                    </w:rPr>
                    <m:t>×</m:t>
                  </m:r>
                  <m:r>
                    <w:rPr>
                      <w:rFonts w:ascii="Cambria Math" w:hAnsi="Cambria Math" w:cs="Times New Roman"/>
                    </w:rPr>
                    <m:t>H</m:t>
                  </m:r>
                </m:den>
              </m:f>
              <m:r>
                <w:rPr>
                  <w:rFonts w:ascii="Cambria Math" w:hAnsi="Cambria Math" w:cs="Times New Roman"/>
                </w:rPr>
                <m:t>#</m:t>
              </m:r>
              <m:r>
                <m:rPr>
                  <m:nor/>
                </m:rPr>
                <w:rPr>
                  <w:rFonts w:ascii="Times New Roman" w:hAnsi="Times New Roman" w:cs="Times New Roman"/>
                </w:rPr>
                <m:t>(6)</m:t>
              </m:r>
              <m:ctrlPr>
                <w:rPr>
                  <w:rFonts w:ascii="Cambria Math" w:hAnsi="Cambria Math" w:cs="Times New Roman"/>
                </w:rPr>
              </m:ctrlPr>
            </m:e>
          </m:eqArr>
        </m:oMath>
      </m:oMathPara>
    </w:p>
    <w:p w14:paraId="4796A3E1" w14:textId="1E06D8FA" w:rsidR="000D2D72" w:rsidRPr="007B503C" w:rsidRDefault="007B503C" w:rsidP="000D2D72">
      <w:pPr>
        <w:rPr>
          <w:rFonts w:ascii="Times New Roman" w:hAnsi="Times New Roman" w:cs="Times New Roman"/>
        </w:rPr>
      </w:pPr>
      <w:r w:rsidRPr="0087367D">
        <w:rPr>
          <w:rFonts w:ascii="Times New Roman" w:hAnsi="Times New Roman" w:cs="Times New Roman"/>
        </w:rPr>
        <w:t xml:space="preserve">Both schemes share the same numerator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hint="eastAsia"/>
              </w:rPr>
              <m:t>city</m:t>
            </m:r>
          </m:sub>
        </m:sSub>
      </m:oMath>
      <w:r w:rsidRPr="0087367D">
        <w:rPr>
          <w:rFonts w:ascii="Times New Roman" w:hAnsi="Times New Roman" w:cs="Times New Roman"/>
        </w:rPr>
        <w:t xml:space="preserve"> and the same denominator factor </w:t>
      </w:r>
      <m:oMath>
        <m:r>
          <w:rPr>
            <w:rFonts w:ascii="Cambria Math" w:hAnsi="Cambria Math" w:cs="Times New Roman"/>
          </w:rPr>
          <m:t>H</m:t>
        </m:r>
      </m:oMath>
      <w:r w:rsidRPr="0087367D">
        <w:rPr>
          <w:rFonts w:ascii="Times New Roman" w:hAnsi="Times New Roman" w:cs="Times New Roman" w:hint="eastAsia"/>
        </w:rPr>
        <w:t>.</w:t>
      </w:r>
      <w:r w:rsidRPr="0087367D">
        <w:rPr>
          <w:rFonts w:ascii="Times New Roman" w:hAnsi="Times New Roman" w:cs="Times New Roman"/>
        </w:rPr>
        <w:t xml:space="preserve"> The sole difference lies in the definition of the building footprint area </w:t>
      </w:r>
      <m:oMath>
        <m:r>
          <w:rPr>
            <w:rFonts w:ascii="Cambria Math" w:hAnsi="Cambria Math" w:cs="Times New Roman"/>
          </w:rPr>
          <m:t>A</m:t>
        </m:r>
      </m:oMath>
      <w:r w:rsidRPr="0087367D">
        <w:rPr>
          <w:rFonts w:ascii="Times New Roman" w:hAnsi="Times New Roman" w:cs="Times New Roman"/>
        </w:rPr>
        <w:t>. This approach allows for a direct comparison of how the inclusion or exclusion of residential building areas influences the perceived efficiency of distributed PV deployment at the city level.</w:t>
      </w:r>
    </w:p>
    <w:p w14:paraId="5ADEEE14" w14:textId="636B7043" w:rsidR="00D942D5" w:rsidRDefault="00161D3F" w:rsidP="001B1882">
      <w:pPr>
        <w:pStyle w:val="1"/>
      </w:pPr>
      <w:r>
        <w:rPr>
          <w:rFonts w:hint="eastAsia"/>
        </w:rPr>
        <w:t xml:space="preserve">Supplementary </w:t>
      </w:r>
      <w:r w:rsidR="004731DE" w:rsidRPr="004731DE">
        <w:t>Reference</w:t>
      </w:r>
      <w:r>
        <w:rPr>
          <w:rFonts w:hint="eastAsia"/>
        </w:rPr>
        <w:t>s</w:t>
      </w:r>
    </w:p>
    <w:p w14:paraId="5CC6799E" w14:textId="77777777" w:rsidR="008A77FC" w:rsidRPr="008A77FC" w:rsidRDefault="006B726D" w:rsidP="008A77FC">
      <w:pPr>
        <w:pStyle w:val="af4"/>
        <w:rPr>
          <w:rFonts w:ascii="Times New Roman" w:hAnsi="Times New Roman" w:cs="Times New Roman"/>
        </w:rPr>
      </w:pPr>
      <w:r w:rsidRPr="008A77FC">
        <w:rPr>
          <w:rFonts w:ascii="Times New Roman" w:hAnsi="Times New Roman" w:cs="Times New Roman"/>
        </w:rPr>
        <w:fldChar w:fldCharType="begin"/>
      </w:r>
      <w:r w:rsidRPr="008A77FC">
        <w:rPr>
          <w:rFonts w:ascii="Times New Roman" w:hAnsi="Times New Roman" w:cs="Times New Roman"/>
        </w:rPr>
        <w:instrText xml:space="preserve"> ADDIN ZOTERO_BIBL {"uncited":[],"omitted":[],"custom":[]} CSL_BIBLIOGRAPHY </w:instrText>
      </w:r>
      <w:r w:rsidRPr="008A77FC">
        <w:rPr>
          <w:rFonts w:ascii="Times New Roman" w:hAnsi="Times New Roman" w:cs="Times New Roman"/>
        </w:rPr>
        <w:fldChar w:fldCharType="separate"/>
      </w:r>
      <w:r w:rsidR="008A77FC" w:rsidRPr="008A77FC">
        <w:rPr>
          <w:rFonts w:ascii="Times New Roman" w:hAnsi="Times New Roman" w:cs="Times New Roman"/>
        </w:rPr>
        <w:t>1.</w:t>
      </w:r>
      <w:r w:rsidR="008A77FC" w:rsidRPr="008A77FC">
        <w:rPr>
          <w:rFonts w:ascii="Times New Roman" w:hAnsi="Times New Roman" w:cs="Times New Roman"/>
        </w:rPr>
        <w:tab/>
        <w:t xml:space="preserve">Berrill, P., Gillingham, K. T. &amp; Hertwich, E. G. Linking Housing Policy, Housing Typology, and Residential Energy Demand in the United States. </w:t>
      </w:r>
      <w:r w:rsidR="008A77FC" w:rsidRPr="008A77FC">
        <w:rPr>
          <w:rFonts w:ascii="Times New Roman" w:hAnsi="Times New Roman" w:cs="Times New Roman"/>
          <w:i/>
          <w:iCs/>
        </w:rPr>
        <w:t>Environ. Sci. Technol.</w:t>
      </w:r>
      <w:r w:rsidR="008A77FC" w:rsidRPr="008A77FC">
        <w:rPr>
          <w:rFonts w:ascii="Times New Roman" w:hAnsi="Times New Roman" w:cs="Times New Roman"/>
        </w:rPr>
        <w:t xml:space="preserve"> </w:t>
      </w:r>
      <w:r w:rsidR="008A77FC" w:rsidRPr="008A77FC">
        <w:rPr>
          <w:rFonts w:ascii="Times New Roman" w:hAnsi="Times New Roman" w:cs="Times New Roman"/>
          <w:b/>
          <w:bCs/>
        </w:rPr>
        <w:t>55</w:t>
      </w:r>
      <w:r w:rsidR="008A77FC" w:rsidRPr="008A77FC">
        <w:rPr>
          <w:rFonts w:ascii="Times New Roman" w:hAnsi="Times New Roman" w:cs="Times New Roman"/>
        </w:rPr>
        <w:t>, 2224–2233 (2021).</w:t>
      </w:r>
    </w:p>
    <w:p w14:paraId="45349484" w14:textId="77777777" w:rsidR="008A77FC" w:rsidRPr="008A77FC" w:rsidRDefault="008A77FC" w:rsidP="008A77FC">
      <w:pPr>
        <w:pStyle w:val="af4"/>
        <w:rPr>
          <w:rFonts w:ascii="Times New Roman" w:hAnsi="Times New Roman" w:cs="Times New Roman"/>
        </w:rPr>
      </w:pPr>
      <w:r w:rsidRPr="008A77FC">
        <w:rPr>
          <w:rFonts w:ascii="Times New Roman" w:hAnsi="Times New Roman" w:cs="Times New Roman"/>
        </w:rPr>
        <w:t>2.</w:t>
      </w:r>
      <w:r w:rsidRPr="008A77FC">
        <w:rPr>
          <w:rFonts w:ascii="Times New Roman" w:hAnsi="Times New Roman" w:cs="Times New Roman"/>
        </w:rPr>
        <w:tab/>
        <w:t xml:space="preserve">Yap, W., Wu, A. N., Miller, C. &amp; Biljecki, F. Revealing building operating carbon dynamics for multiple cities. </w:t>
      </w:r>
      <w:r w:rsidRPr="008A77FC">
        <w:rPr>
          <w:rFonts w:ascii="Times New Roman" w:hAnsi="Times New Roman" w:cs="Times New Roman"/>
          <w:i/>
          <w:iCs/>
        </w:rPr>
        <w:t>Nat Sustain</w:t>
      </w:r>
      <w:r w:rsidRPr="008A77FC">
        <w:rPr>
          <w:rFonts w:ascii="Times New Roman" w:hAnsi="Times New Roman" w:cs="Times New Roman"/>
        </w:rPr>
        <w:t xml:space="preserve"> https://doi.org/10.1038/s41893-025-01615-8 (2025) doi:10.1038/s41893-025-01615-8.</w:t>
      </w:r>
    </w:p>
    <w:p w14:paraId="0D3257EF" w14:textId="77777777" w:rsidR="008A77FC" w:rsidRPr="008A77FC" w:rsidRDefault="008A77FC" w:rsidP="008A77FC">
      <w:pPr>
        <w:pStyle w:val="af4"/>
        <w:rPr>
          <w:rFonts w:ascii="Times New Roman" w:hAnsi="Times New Roman" w:cs="Times New Roman"/>
        </w:rPr>
      </w:pPr>
      <w:r w:rsidRPr="008A77FC">
        <w:rPr>
          <w:rFonts w:ascii="Times New Roman" w:hAnsi="Times New Roman" w:cs="Times New Roman"/>
        </w:rPr>
        <w:t>3.</w:t>
      </w:r>
      <w:r w:rsidRPr="008A77FC">
        <w:rPr>
          <w:rFonts w:ascii="Times New Roman" w:hAnsi="Times New Roman" w:cs="Times New Roman"/>
        </w:rPr>
        <w:tab/>
        <w:t xml:space="preserve">Yu, Y. </w:t>
      </w:r>
      <w:r w:rsidRPr="008A77FC">
        <w:rPr>
          <w:rFonts w:ascii="Times New Roman" w:hAnsi="Times New Roman" w:cs="Times New Roman"/>
          <w:i/>
          <w:iCs/>
        </w:rPr>
        <w:t>et al.</w:t>
      </w:r>
      <w:r w:rsidRPr="008A77FC">
        <w:rPr>
          <w:rFonts w:ascii="Times New Roman" w:hAnsi="Times New Roman" w:cs="Times New Roman"/>
        </w:rPr>
        <w:t xml:space="preserve"> City-level building operation and end-use carbon emissions dataset from China for 2015–2020. </w:t>
      </w:r>
      <w:r w:rsidRPr="008A77FC">
        <w:rPr>
          <w:rFonts w:ascii="Times New Roman" w:hAnsi="Times New Roman" w:cs="Times New Roman"/>
          <w:i/>
          <w:iCs/>
        </w:rPr>
        <w:t>Sci Data</w:t>
      </w:r>
      <w:r w:rsidRPr="008A77FC">
        <w:rPr>
          <w:rFonts w:ascii="Times New Roman" w:hAnsi="Times New Roman" w:cs="Times New Roman"/>
        </w:rPr>
        <w:t xml:space="preserve"> </w:t>
      </w:r>
      <w:r w:rsidRPr="008A77FC">
        <w:rPr>
          <w:rFonts w:ascii="Times New Roman" w:hAnsi="Times New Roman" w:cs="Times New Roman"/>
          <w:b/>
          <w:bCs/>
        </w:rPr>
        <w:t>11</w:t>
      </w:r>
      <w:r w:rsidRPr="008A77FC">
        <w:rPr>
          <w:rFonts w:ascii="Times New Roman" w:hAnsi="Times New Roman" w:cs="Times New Roman"/>
        </w:rPr>
        <w:t>, 138 (2024).</w:t>
      </w:r>
    </w:p>
    <w:p w14:paraId="5F642657" w14:textId="77777777" w:rsidR="008A77FC" w:rsidRPr="008A77FC" w:rsidRDefault="008A77FC" w:rsidP="008A77FC">
      <w:pPr>
        <w:pStyle w:val="af4"/>
        <w:rPr>
          <w:rFonts w:ascii="Times New Roman" w:hAnsi="Times New Roman" w:cs="Times New Roman"/>
        </w:rPr>
      </w:pPr>
      <w:r w:rsidRPr="008A77FC">
        <w:rPr>
          <w:rFonts w:ascii="Times New Roman" w:hAnsi="Times New Roman" w:cs="Times New Roman"/>
        </w:rPr>
        <w:t>4.</w:t>
      </w:r>
      <w:r w:rsidRPr="008A77FC">
        <w:rPr>
          <w:rFonts w:ascii="Times New Roman" w:hAnsi="Times New Roman" w:cs="Times New Roman"/>
        </w:rPr>
        <w:tab/>
        <w:t xml:space="preserve">You, K. </w:t>
      </w:r>
      <w:r w:rsidRPr="008A77FC">
        <w:rPr>
          <w:rFonts w:ascii="Times New Roman" w:hAnsi="Times New Roman" w:cs="Times New Roman"/>
          <w:i/>
          <w:iCs/>
        </w:rPr>
        <w:t>et al.</w:t>
      </w:r>
      <w:r w:rsidRPr="008A77FC">
        <w:rPr>
          <w:rFonts w:ascii="Times New Roman" w:hAnsi="Times New Roman" w:cs="Times New Roman"/>
        </w:rPr>
        <w:t xml:space="preserve"> Mitigating emissions and costs through demand-side solutions in Chinese residential buildings. </w:t>
      </w:r>
      <w:r w:rsidRPr="008A77FC">
        <w:rPr>
          <w:rFonts w:ascii="Times New Roman" w:hAnsi="Times New Roman" w:cs="Times New Roman"/>
          <w:i/>
          <w:iCs/>
        </w:rPr>
        <w:t>Nat Commun</w:t>
      </w:r>
      <w:r w:rsidRPr="008A77FC">
        <w:rPr>
          <w:rFonts w:ascii="Times New Roman" w:hAnsi="Times New Roman" w:cs="Times New Roman"/>
        </w:rPr>
        <w:t xml:space="preserve"> </w:t>
      </w:r>
      <w:r w:rsidRPr="008A77FC">
        <w:rPr>
          <w:rFonts w:ascii="Times New Roman" w:hAnsi="Times New Roman" w:cs="Times New Roman"/>
          <w:b/>
          <w:bCs/>
        </w:rPr>
        <w:t>16</w:t>
      </w:r>
      <w:r w:rsidRPr="008A77FC">
        <w:rPr>
          <w:rFonts w:ascii="Times New Roman" w:hAnsi="Times New Roman" w:cs="Times New Roman"/>
        </w:rPr>
        <w:t>, 7358 (2025).</w:t>
      </w:r>
    </w:p>
    <w:p w14:paraId="201FD27D" w14:textId="77777777" w:rsidR="008A77FC" w:rsidRPr="008A77FC" w:rsidRDefault="008A77FC" w:rsidP="008A77FC">
      <w:pPr>
        <w:pStyle w:val="af4"/>
        <w:rPr>
          <w:rFonts w:ascii="Times New Roman" w:hAnsi="Times New Roman" w:cs="Times New Roman"/>
        </w:rPr>
      </w:pPr>
      <w:r w:rsidRPr="008A77FC">
        <w:rPr>
          <w:rFonts w:ascii="Times New Roman" w:hAnsi="Times New Roman" w:cs="Times New Roman"/>
        </w:rPr>
        <w:t>5.</w:t>
      </w:r>
      <w:r w:rsidRPr="008A77FC">
        <w:rPr>
          <w:rFonts w:ascii="Times New Roman" w:hAnsi="Times New Roman" w:cs="Times New Roman"/>
        </w:rPr>
        <w:tab/>
        <w:t xml:space="preserve">Zhang, C. </w:t>
      </w:r>
      <w:r w:rsidRPr="008A77FC">
        <w:rPr>
          <w:rFonts w:ascii="Times New Roman" w:hAnsi="Times New Roman" w:cs="Times New Roman"/>
          <w:i/>
          <w:iCs/>
        </w:rPr>
        <w:t>et al.</w:t>
      </w:r>
      <w:r w:rsidRPr="008A77FC">
        <w:rPr>
          <w:rFonts w:ascii="Times New Roman" w:hAnsi="Times New Roman" w:cs="Times New Roman"/>
        </w:rPr>
        <w:t xml:space="preserve"> Revealing the interplay between decarbonisation, circularity, and cost-effectiveness in building energy renovation. </w:t>
      </w:r>
      <w:r w:rsidRPr="008A77FC">
        <w:rPr>
          <w:rFonts w:ascii="Times New Roman" w:hAnsi="Times New Roman" w:cs="Times New Roman"/>
          <w:i/>
          <w:iCs/>
        </w:rPr>
        <w:t>Nat Commun</w:t>
      </w:r>
      <w:r w:rsidRPr="008A77FC">
        <w:rPr>
          <w:rFonts w:ascii="Times New Roman" w:hAnsi="Times New Roman" w:cs="Times New Roman"/>
        </w:rPr>
        <w:t xml:space="preserve"> </w:t>
      </w:r>
      <w:r w:rsidRPr="008A77FC">
        <w:rPr>
          <w:rFonts w:ascii="Times New Roman" w:hAnsi="Times New Roman" w:cs="Times New Roman"/>
          <w:b/>
          <w:bCs/>
        </w:rPr>
        <w:t>16</w:t>
      </w:r>
      <w:r w:rsidRPr="008A77FC">
        <w:rPr>
          <w:rFonts w:ascii="Times New Roman" w:hAnsi="Times New Roman" w:cs="Times New Roman"/>
        </w:rPr>
        <w:t>, 7153 (2025).</w:t>
      </w:r>
    </w:p>
    <w:p w14:paraId="7FDADB0D" w14:textId="77777777" w:rsidR="008A77FC" w:rsidRPr="008A77FC" w:rsidRDefault="008A77FC" w:rsidP="008A77FC">
      <w:pPr>
        <w:pStyle w:val="af4"/>
        <w:rPr>
          <w:rFonts w:ascii="Times New Roman" w:hAnsi="Times New Roman" w:cs="Times New Roman"/>
        </w:rPr>
      </w:pPr>
      <w:r w:rsidRPr="008A77FC">
        <w:rPr>
          <w:rFonts w:ascii="Times New Roman" w:hAnsi="Times New Roman" w:cs="Times New Roman"/>
        </w:rPr>
        <w:t>6.</w:t>
      </w:r>
      <w:r w:rsidRPr="008A77FC">
        <w:rPr>
          <w:rFonts w:ascii="Times New Roman" w:hAnsi="Times New Roman" w:cs="Times New Roman"/>
        </w:rPr>
        <w:tab/>
        <w:t xml:space="preserve">Wang, J. </w:t>
      </w:r>
      <w:r w:rsidRPr="008A77FC">
        <w:rPr>
          <w:rFonts w:ascii="Times New Roman" w:hAnsi="Times New Roman" w:cs="Times New Roman"/>
          <w:i/>
          <w:iCs/>
        </w:rPr>
        <w:t>et al.</w:t>
      </w:r>
      <w:r w:rsidRPr="008A77FC">
        <w:rPr>
          <w:rFonts w:ascii="Times New Roman" w:hAnsi="Times New Roman" w:cs="Times New Roman"/>
        </w:rPr>
        <w:t xml:space="preserve"> High-resolution temporal and spatial evolution of carbon emissions from building operations in Beijing. </w:t>
      </w:r>
      <w:r w:rsidRPr="008A77FC">
        <w:rPr>
          <w:rFonts w:ascii="Times New Roman" w:hAnsi="Times New Roman" w:cs="Times New Roman"/>
          <w:i/>
          <w:iCs/>
        </w:rPr>
        <w:t>Journal of Cleaner Production</w:t>
      </w:r>
      <w:r w:rsidRPr="008A77FC">
        <w:rPr>
          <w:rFonts w:ascii="Times New Roman" w:hAnsi="Times New Roman" w:cs="Times New Roman"/>
        </w:rPr>
        <w:t xml:space="preserve"> </w:t>
      </w:r>
      <w:r w:rsidRPr="008A77FC">
        <w:rPr>
          <w:rFonts w:ascii="Times New Roman" w:hAnsi="Times New Roman" w:cs="Times New Roman"/>
          <w:b/>
          <w:bCs/>
        </w:rPr>
        <w:t>376</w:t>
      </w:r>
      <w:r w:rsidRPr="008A77FC">
        <w:rPr>
          <w:rFonts w:ascii="Times New Roman" w:hAnsi="Times New Roman" w:cs="Times New Roman"/>
        </w:rPr>
        <w:t>, 134272 (2022).</w:t>
      </w:r>
    </w:p>
    <w:p w14:paraId="0A12732B" w14:textId="77777777" w:rsidR="008A77FC" w:rsidRPr="008A77FC" w:rsidRDefault="008A77FC" w:rsidP="008A77FC">
      <w:pPr>
        <w:pStyle w:val="af4"/>
        <w:rPr>
          <w:rFonts w:ascii="Times New Roman" w:hAnsi="Times New Roman" w:cs="Times New Roman"/>
        </w:rPr>
      </w:pPr>
      <w:r w:rsidRPr="008A77FC">
        <w:rPr>
          <w:rFonts w:ascii="Times New Roman" w:hAnsi="Times New Roman" w:cs="Times New Roman"/>
        </w:rPr>
        <w:t>7.</w:t>
      </w:r>
      <w:r w:rsidRPr="008A77FC">
        <w:rPr>
          <w:rFonts w:ascii="Times New Roman" w:hAnsi="Times New Roman" w:cs="Times New Roman"/>
        </w:rPr>
        <w:tab/>
        <w:t xml:space="preserve">Xia, B. </w:t>
      </w:r>
      <w:r w:rsidRPr="008A77FC">
        <w:rPr>
          <w:rFonts w:ascii="Times New Roman" w:hAnsi="Times New Roman" w:cs="Times New Roman"/>
          <w:i/>
          <w:iCs/>
        </w:rPr>
        <w:t>et al.</w:t>
      </w:r>
      <w:r w:rsidRPr="008A77FC">
        <w:rPr>
          <w:rFonts w:ascii="Times New Roman" w:hAnsi="Times New Roman" w:cs="Times New Roman"/>
        </w:rPr>
        <w:t xml:space="preserve"> Exploiting vacant urban residential buildings to promote carbon neutrality in China. </w:t>
      </w:r>
      <w:r w:rsidRPr="008A77FC">
        <w:rPr>
          <w:rFonts w:ascii="Times New Roman" w:hAnsi="Times New Roman" w:cs="Times New Roman"/>
          <w:i/>
          <w:iCs/>
        </w:rPr>
        <w:t>Nat Commun</w:t>
      </w:r>
      <w:r w:rsidRPr="008A77FC">
        <w:rPr>
          <w:rFonts w:ascii="Times New Roman" w:hAnsi="Times New Roman" w:cs="Times New Roman"/>
        </w:rPr>
        <w:t xml:space="preserve"> </w:t>
      </w:r>
      <w:r w:rsidRPr="008A77FC">
        <w:rPr>
          <w:rFonts w:ascii="Times New Roman" w:hAnsi="Times New Roman" w:cs="Times New Roman"/>
          <w:b/>
          <w:bCs/>
        </w:rPr>
        <w:t>16</w:t>
      </w:r>
      <w:r w:rsidRPr="008A77FC">
        <w:rPr>
          <w:rFonts w:ascii="Times New Roman" w:hAnsi="Times New Roman" w:cs="Times New Roman"/>
        </w:rPr>
        <w:t>, 7661 (2025).</w:t>
      </w:r>
    </w:p>
    <w:p w14:paraId="00D8EC67" w14:textId="77777777" w:rsidR="008A77FC" w:rsidRPr="008A77FC" w:rsidRDefault="008A77FC" w:rsidP="008A77FC">
      <w:pPr>
        <w:pStyle w:val="af4"/>
        <w:rPr>
          <w:rFonts w:ascii="Times New Roman" w:hAnsi="Times New Roman" w:cs="Times New Roman"/>
        </w:rPr>
      </w:pPr>
      <w:r w:rsidRPr="008A77FC">
        <w:rPr>
          <w:rFonts w:ascii="Times New Roman" w:hAnsi="Times New Roman" w:cs="Times New Roman"/>
        </w:rPr>
        <w:t>8.</w:t>
      </w:r>
      <w:r w:rsidRPr="008A77FC">
        <w:rPr>
          <w:rFonts w:ascii="Times New Roman" w:hAnsi="Times New Roman" w:cs="Times New Roman"/>
        </w:rPr>
        <w:tab/>
        <w:t xml:space="preserve">Güneralp, B. </w:t>
      </w:r>
      <w:r w:rsidRPr="008A77FC">
        <w:rPr>
          <w:rFonts w:ascii="Times New Roman" w:hAnsi="Times New Roman" w:cs="Times New Roman"/>
          <w:i/>
          <w:iCs/>
        </w:rPr>
        <w:t>et al.</w:t>
      </w:r>
      <w:r w:rsidRPr="008A77FC">
        <w:rPr>
          <w:rFonts w:ascii="Times New Roman" w:hAnsi="Times New Roman" w:cs="Times New Roman"/>
        </w:rPr>
        <w:t xml:space="preserve"> Global scenarios of urban density and its impacts on building energy use </w:t>
      </w:r>
      <w:r w:rsidRPr="008A77FC">
        <w:rPr>
          <w:rFonts w:ascii="Times New Roman" w:hAnsi="Times New Roman" w:cs="Times New Roman"/>
        </w:rPr>
        <w:lastRenderedPageBreak/>
        <w:t xml:space="preserve">through 2050. </w:t>
      </w:r>
      <w:r w:rsidRPr="008A77FC">
        <w:rPr>
          <w:rFonts w:ascii="Times New Roman" w:hAnsi="Times New Roman" w:cs="Times New Roman"/>
          <w:i/>
          <w:iCs/>
        </w:rPr>
        <w:t>Proc. Natl. Acad. Sci. U.S.A.</w:t>
      </w:r>
      <w:r w:rsidRPr="008A77FC">
        <w:rPr>
          <w:rFonts w:ascii="Times New Roman" w:hAnsi="Times New Roman" w:cs="Times New Roman"/>
        </w:rPr>
        <w:t xml:space="preserve"> </w:t>
      </w:r>
      <w:r w:rsidRPr="008A77FC">
        <w:rPr>
          <w:rFonts w:ascii="Times New Roman" w:hAnsi="Times New Roman" w:cs="Times New Roman"/>
          <w:b/>
          <w:bCs/>
        </w:rPr>
        <w:t>114</w:t>
      </w:r>
      <w:r w:rsidRPr="008A77FC">
        <w:rPr>
          <w:rFonts w:ascii="Times New Roman" w:hAnsi="Times New Roman" w:cs="Times New Roman"/>
        </w:rPr>
        <w:t>, 8945–8950 (2017).</w:t>
      </w:r>
    </w:p>
    <w:p w14:paraId="1CF1CC3D" w14:textId="77777777" w:rsidR="008A77FC" w:rsidRPr="008A77FC" w:rsidRDefault="008A77FC" w:rsidP="008A77FC">
      <w:pPr>
        <w:pStyle w:val="af4"/>
        <w:rPr>
          <w:rFonts w:ascii="Times New Roman" w:hAnsi="Times New Roman" w:cs="Times New Roman"/>
        </w:rPr>
      </w:pPr>
      <w:r w:rsidRPr="008A77FC">
        <w:rPr>
          <w:rFonts w:ascii="Times New Roman" w:hAnsi="Times New Roman" w:cs="Times New Roman"/>
        </w:rPr>
        <w:t>9.</w:t>
      </w:r>
      <w:r w:rsidRPr="008A77FC">
        <w:rPr>
          <w:rFonts w:ascii="Times New Roman" w:hAnsi="Times New Roman" w:cs="Times New Roman"/>
        </w:rPr>
        <w:tab/>
        <w:t xml:space="preserve">Tang, Y. </w:t>
      </w:r>
      <w:r w:rsidRPr="008A77FC">
        <w:rPr>
          <w:rFonts w:ascii="Times New Roman" w:hAnsi="Times New Roman" w:cs="Times New Roman"/>
          <w:i/>
          <w:iCs/>
        </w:rPr>
        <w:t>et al.</w:t>
      </w:r>
      <w:r w:rsidRPr="008A77FC">
        <w:rPr>
          <w:rFonts w:ascii="Times New Roman" w:hAnsi="Times New Roman" w:cs="Times New Roman"/>
        </w:rPr>
        <w:t xml:space="preserve"> High resolution spatial distribution of CO₂ emissions from building operations and driving factors in the Guangdong-Hong Kong-Macao Greater Bay Area. </w:t>
      </w:r>
      <w:r w:rsidRPr="008A77FC">
        <w:rPr>
          <w:rFonts w:ascii="Times New Roman" w:hAnsi="Times New Roman" w:cs="Times New Roman"/>
          <w:i/>
          <w:iCs/>
        </w:rPr>
        <w:t>Sustainable Cities and Society</w:t>
      </w:r>
      <w:r w:rsidRPr="008A77FC">
        <w:rPr>
          <w:rFonts w:ascii="Times New Roman" w:hAnsi="Times New Roman" w:cs="Times New Roman"/>
        </w:rPr>
        <w:t xml:space="preserve"> </w:t>
      </w:r>
      <w:r w:rsidRPr="008A77FC">
        <w:rPr>
          <w:rFonts w:ascii="Times New Roman" w:hAnsi="Times New Roman" w:cs="Times New Roman"/>
          <w:b/>
          <w:bCs/>
        </w:rPr>
        <w:t>131</w:t>
      </w:r>
      <w:r w:rsidRPr="008A77FC">
        <w:rPr>
          <w:rFonts w:ascii="Times New Roman" w:hAnsi="Times New Roman" w:cs="Times New Roman"/>
        </w:rPr>
        <w:t>, 106708 (2025).</w:t>
      </w:r>
    </w:p>
    <w:p w14:paraId="03350912" w14:textId="77777777" w:rsidR="008A77FC" w:rsidRPr="008A77FC" w:rsidRDefault="008A77FC" w:rsidP="008A77FC">
      <w:pPr>
        <w:pStyle w:val="af4"/>
        <w:rPr>
          <w:rFonts w:ascii="Times New Roman" w:hAnsi="Times New Roman" w:cs="Times New Roman"/>
        </w:rPr>
      </w:pPr>
      <w:r w:rsidRPr="008A77FC">
        <w:rPr>
          <w:rFonts w:ascii="Times New Roman" w:hAnsi="Times New Roman" w:cs="Times New Roman"/>
        </w:rPr>
        <w:t>10.</w:t>
      </w:r>
      <w:r w:rsidRPr="008A77FC">
        <w:rPr>
          <w:rFonts w:ascii="Times New Roman" w:hAnsi="Times New Roman" w:cs="Times New Roman"/>
        </w:rPr>
        <w:tab/>
        <w:t xml:space="preserve">Boccalatte, A., Fossa, M., Gaillard, L. &amp; Menezo, C. Microclimate and urban morphology effects on building energy demand in different European cities. </w:t>
      </w:r>
      <w:r w:rsidRPr="008A77FC">
        <w:rPr>
          <w:rFonts w:ascii="Times New Roman" w:hAnsi="Times New Roman" w:cs="Times New Roman"/>
          <w:i/>
          <w:iCs/>
        </w:rPr>
        <w:t>Energy and Buildings</w:t>
      </w:r>
      <w:r w:rsidRPr="008A77FC">
        <w:rPr>
          <w:rFonts w:ascii="Times New Roman" w:hAnsi="Times New Roman" w:cs="Times New Roman"/>
        </w:rPr>
        <w:t xml:space="preserve"> </w:t>
      </w:r>
      <w:r w:rsidRPr="008A77FC">
        <w:rPr>
          <w:rFonts w:ascii="Times New Roman" w:hAnsi="Times New Roman" w:cs="Times New Roman"/>
          <w:b/>
          <w:bCs/>
        </w:rPr>
        <w:t>224</w:t>
      </w:r>
      <w:r w:rsidRPr="008A77FC">
        <w:rPr>
          <w:rFonts w:ascii="Times New Roman" w:hAnsi="Times New Roman" w:cs="Times New Roman"/>
        </w:rPr>
        <w:t>, 110129 (2020).</w:t>
      </w:r>
    </w:p>
    <w:p w14:paraId="24A9AC67" w14:textId="77777777" w:rsidR="008A77FC" w:rsidRPr="008A77FC" w:rsidRDefault="008A77FC" w:rsidP="008A77FC">
      <w:pPr>
        <w:pStyle w:val="af4"/>
        <w:rPr>
          <w:rFonts w:ascii="Times New Roman" w:hAnsi="Times New Roman" w:cs="Times New Roman"/>
        </w:rPr>
      </w:pPr>
      <w:r w:rsidRPr="008A77FC">
        <w:rPr>
          <w:rFonts w:ascii="Times New Roman" w:hAnsi="Times New Roman" w:cs="Times New Roman"/>
        </w:rPr>
        <w:t>11.</w:t>
      </w:r>
      <w:r w:rsidRPr="008A77FC">
        <w:rPr>
          <w:rFonts w:ascii="Times New Roman" w:hAnsi="Times New Roman" w:cs="Times New Roman"/>
        </w:rPr>
        <w:tab/>
        <w:t xml:space="preserve">Naeem, A. </w:t>
      </w:r>
      <w:r w:rsidRPr="008A77FC">
        <w:rPr>
          <w:rFonts w:ascii="Times New Roman" w:hAnsi="Times New Roman" w:cs="Times New Roman"/>
          <w:i/>
          <w:iCs/>
        </w:rPr>
        <w:t>et al.</w:t>
      </w:r>
      <w:r w:rsidRPr="008A77FC">
        <w:rPr>
          <w:rFonts w:ascii="Times New Roman" w:hAnsi="Times New Roman" w:cs="Times New Roman"/>
        </w:rPr>
        <w:t xml:space="preserve"> EnergyPlus as a computational engine for commercial building operational digital twins. </w:t>
      </w:r>
      <w:r w:rsidRPr="008A77FC">
        <w:rPr>
          <w:rFonts w:ascii="Times New Roman" w:hAnsi="Times New Roman" w:cs="Times New Roman"/>
          <w:i/>
          <w:iCs/>
        </w:rPr>
        <w:t>Energy and Buildings</w:t>
      </w:r>
      <w:r w:rsidRPr="008A77FC">
        <w:rPr>
          <w:rFonts w:ascii="Times New Roman" w:hAnsi="Times New Roman" w:cs="Times New Roman"/>
        </w:rPr>
        <w:t xml:space="preserve"> </w:t>
      </w:r>
      <w:r w:rsidRPr="008A77FC">
        <w:rPr>
          <w:rFonts w:ascii="Times New Roman" w:hAnsi="Times New Roman" w:cs="Times New Roman"/>
          <w:b/>
          <w:bCs/>
        </w:rPr>
        <w:t>329</w:t>
      </w:r>
      <w:r w:rsidRPr="008A77FC">
        <w:rPr>
          <w:rFonts w:ascii="Times New Roman" w:hAnsi="Times New Roman" w:cs="Times New Roman"/>
        </w:rPr>
        <w:t>, 115257 (2025).</w:t>
      </w:r>
    </w:p>
    <w:p w14:paraId="1C47B7BD" w14:textId="77777777" w:rsidR="008A77FC" w:rsidRPr="008A77FC" w:rsidRDefault="008A77FC" w:rsidP="008A77FC">
      <w:pPr>
        <w:pStyle w:val="af4"/>
        <w:rPr>
          <w:rFonts w:ascii="Times New Roman" w:hAnsi="Times New Roman" w:cs="Times New Roman"/>
        </w:rPr>
      </w:pPr>
      <w:r w:rsidRPr="008A77FC">
        <w:rPr>
          <w:rFonts w:ascii="Times New Roman" w:hAnsi="Times New Roman" w:cs="Times New Roman"/>
        </w:rPr>
        <w:t>12.</w:t>
      </w:r>
      <w:r w:rsidRPr="008A77FC">
        <w:rPr>
          <w:rFonts w:ascii="Times New Roman" w:hAnsi="Times New Roman" w:cs="Times New Roman"/>
        </w:rPr>
        <w:tab/>
        <w:t xml:space="preserve">Yan, D. </w:t>
      </w:r>
      <w:r w:rsidRPr="008A77FC">
        <w:rPr>
          <w:rFonts w:ascii="Times New Roman" w:hAnsi="Times New Roman" w:cs="Times New Roman"/>
          <w:i/>
          <w:iCs/>
        </w:rPr>
        <w:t>et al.</w:t>
      </w:r>
      <w:r w:rsidRPr="008A77FC">
        <w:rPr>
          <w:rFonts w:ascii="Times New Roman" w:hAnsi="Times New Roman" w:cs="Times New Roman"/>
        </w:rPr>
        <w:t xml:space="preserve"> DeST 3.0: A new-generation building performance simulation platform. </w:t>
      </w:r>
      <w:r w:rsidRPr="008A77FC">
        <w:rPr>
          <w:rFonts w:ascii="Times New Roman" w:hAnsi="Times New Roman" w:cs="Times New Roman"/>
          <w:i/>
          <w:iCs/>
        </w:rPr>
        <w:t>Build. Simul.</w:t>
      </w:r>
      <w:r w:rsidRPr="008A77FC">
        <w:rPr>
          <w:rFonts w:ascii="Times New Roman" w:hAnsi="Times New Roman" w:cs="Times New Roman"/>
        </w:rPr>
        <w:t xml:space="preserve"> </w:t>
      </w:r>
      <w:r w:rsidRPr="008A77FC">
        <w:rPr>
          <w:rFonts w:ascii="Times New Roman" w:hAnsi="Times New Roman" w:cs="Times New Roman"/>
          <w:b/>
          <w:bCs/>
        </w:rPr>
        <w:t>15</w:t>
      </w:r>
      <w:r w:rsidRPr="008A77FC">
        <w:rPr>
          <w:rFonts w:ascii="Times New Roman" w:hAnsi="Times New Roman" w:cs="Times New Roman"/>
        </w:rPr>
        <w:t>, 1849–1868 (2022).</w:t>
      </w:r>
    </w:p>
    <w:p w14:paraId="06608500" w14:textId="77777777" w:rsidR="008A77FC" w:rsidRPr="008A77FC" w:rsidRDefault="008A77FC" w:rsidP="008A77FC">
      <w:pPr>
        <w:pStyle w:val="af4"/>
        <w:rPr>
          <w:rFonts w:ascii="Times New Roman" w:hAnsi="Times New Roman" w:cs="Times New Roman"/>
        </w:rPr>
      </w:pPr>
      <w:r w:rsidRPr="008A77FC">
        <w:rPr>
          <w:rFonts w:ascii="Times New Roman" w:hAnsi="Times New Roman" w:cs="Times New Roman"/>
        </w:rPr>
        <w:t>13.</w:t>
      </w:r>
      <w:r w:rsidRPr="008A77FC">
        <w:rPr>
          <w:rFonts w:ascii="Times New Roman" w:hAnsi="Times New Roman" w:cs="Times New Roman"/>
        </w:rPr>
        <w:tab/>
        <w:t xml:space="preserve">Quan, S. J. </w:t>
      </w:r>
      <w:r w:rsidRPr="008A77FC">
        <w:rPr>
          <w:rFonts w:ascii="Times New Roman" w:hAnsi="Times New Roman" w:cs="Times New Roman"/>
          <w:i/>
          <w:iCs/>
        </w:rPr>
        <w:t>et al.</w:t>
      </w:r>
      <w:r w:rsidRPr="008A77FC">
        <w:rPr>
          <w:rFonts w:ascii="Times New Roman" w:hAnsi="Times New Roman" w:cs="Times New Roman"/>
        </w:rPr>
        <w:t xml:space="preserve"> Urban Form and Building Energy Performance in Shanghai Neighborhoods. </w:t>
      </w:r>
      <w:r w:rsidRPr="008A77FC">
        <w:rPr>
          <w:rFonts w:ascii="Times New Roman" w:hAnsi="Times New Roman" w:cs="Times New Roman"/>
          <w:i/>
          <w:iCs/>
        </w:rPr>
        <w:t>Energy Procedia</w:t>
      </w:r>
      <w:r w:rsidRPr="008A77FC">
        <w:rPr>
          <w:rFonts w:ascii="Times New Roman" w:hAnsi="Times New Roman" w:cs="Times New Roman"/>
        </w:rPr>
        <w:t xml:space="preserve"> </w:t>
      </w:r>
      <w:r w:rsidRPr="008A77FC">
        <w:rPr>
          <w:rFonts w:ascii="Times New Roman" w:hAnsi="Times New Roman" w:cs="Times New Roman"/>
          <w:b/>
          <w:bCs/>
        </w:rPr>
        <w:t>88</w:t>
      </w:r>
      <w:r w:rsidRPr="008A77FC">
        <w:rPr>
          <w:rFonts w:ascii="Times New Roman" w:hAnsi="Times New Roman" w:cs="Times New Roman"/>
        </w:rPr>
        <w:t>, 126–132 (2016).</w:t>
      </w:r>
    </w:p>
    <w:p w14:paraId="3FDAF6BA" w14:textId="77777777" w:rsidR="008A77FC" w:rsidRPr="008A77FC" w:rsidRDefault="008A77FC" w:rsidP="008A77FC">
      <w:pPr>
        <w:pStyle w:val="af4"/>
        <w:rPr>
          <w:rFonts w:ascii="Times New Roman" w:hAnsi="Times New Roman" w:cs="Times New Roman"/>
        </w:rPr>
      </w:pPr>
      <w:r w:rsidRPr="008A77FC">
        <w:rPr>
          <w:rFonts w:ascii="Times New Roman" w:hAnsi="Times New Roman" w:cs="Times New Roman"/>
        </w:rPr>
        <w:t>14.</w:t>
      </w:r>
      <w:r w:rsidRPr="008A77FC">
        <w:rPr>
          <w:rFonts w:ascii="Times New Roman" w:hAnsi="Times New Roman" w:cs="Times New Roman"/>
        </w:rPr>
        <w:tab/>
        <w:t xml:space="preserve">Song, C. </w:t>
      </w:r>
      <w:r w:rsidRPr="008A77FC">
        <w:rPr>
          <w:rFonts w:ascii="Times New Roman" w:hAnsi="Times New Roman" w:cs="Times New Roman"/>
          <w:i/>
          <w:iCs/>
        </w:rPr>
        <w:t>et al.</w:t>
      </w:r>
      <w:r w:rsidRPr="008A77FC">
        <w:rPr>
          <w:rFonts w:ascii="Times New Roman" w:hAnsi="Times New Roman" w:cs="Times New Roman"/>
        </w:rPr>
        <w:t xml:space="preserve"> Developing urban building energy models for shanghai city with multi-source open data. </w:t>
      </w:r>
      <w:r w:rsidRPr="008A77FC">
        <w:rPr>
          <w:rFonts w:ascii="Times New Roman" w:hAnsi="Times New Roman" w:cs="Times New Roman"/>
          <w:i/>
          <w:iCs/>
        </w:rPr>
        <w:t>Sustainable Cities and Society</w:t>
      </w:r>
      <w:r w:rsidRPr="008A77FC">
        <w:rPr>
          <w:rFonts w:ascii="Times New Roman" w:hAnsi="Times New Roman" w:cs="Times New Roman"/>
        </w:rPr>
        <w:t xml:space="preserve"> </w:t>
      </w:r>
      <w:r w:rsidRPr="008A77FC">
        <w:rPr>
          <w:rFonts w:ascii="Times New Roman" w:hAnsi="Times New Roman" w:cs="Times New Roman"/>
          <w:b/>
          <w:bCs/>
        </w:rPr>
        <w:t>106</w:t>
      </w:r>
      <w:r w:rsidRPr="008A77FC">
        <w:rPr>
          <w:rFonts w:ascii="Times New Roman" w:hAnsi="Times New Roman" w:cs="Times New Roman"/>
        </w:rPr>
        <w:t>, 105425 (2024).</w:t>
      </w:r>
    </w:p>
    <w:p w14:paraId="4E3815B9" w14:textId="77777777" w:rsidR="008A77FC" w:rsidRPr="008A77FC" w:rsidRDefault="008A77FC" w:rsidP="008A77FC">
      <w:pPr>
        <w:pStyle w:val="af4"/>
        <w:rPr>
          <w:rFonts w:ascii="Times New Roman" w:hAnsi="Times New Roman" w:cs="Times New Roman"/>
        </w:rPr>
      </w:pPr>
      <w:r w:rsidRPr="008A77FC">
        <w:rPr>
          <w:rFonts w:ascii="Times New Roman" w:hAnsi="Times New Roman" w:cs="Times New Roman"/>
        </w:rPr>
        <w:t>15.</w:t>
      </w:r>
      <w:r w:rsidRPr="008A77FC">
        <w:rPr>
          <w:rFonts w:ascii="Times New Roman" w:hAnsi="Times New Roman" w:cs="Times New Roman"/>
        </w:rPr>
        <w:tab/>
        <w:t xml:space="preserve">Deng, Y. </w:t>
      </w:r>
      <w:r w:rsidRPr="008A77FC">
        <w:rPr>
          <w:rFonts w:ascii="Times New Roman" w:hAnsi="Times New Roman" w:cs="Times New Roman"/>
          <w:i/>
          <w:iCs/>
        </w:rPr>
        <w:t>et al.</w:t>
      </w:r>
      <w:r w:rsidRPr="008A77FC">
        <w:rPr>
          <w:rFonts w:ascii="Times New Roman" w:hAnsi="Times New Roman" w:cs="Times New Roman"/>
        </w:rPr>
        <w:t xml:space="preserve"> Provincial allocation of China’s commercial building operational carbon toward carbon neutrality. </w:t>
      </w:r>
      <w:r w:rsidRPr="008A77FC">
        <w:rPr>
          <w:rFonts w:ascii="Times New Roman" w:hAnsi="Times New Roman" w:cs="Times New Roman"/>
          <w:i/>
          <w:iCs/>
        </w:rPr>
        <w:t>Applied Energy</w:t>
      </w:r>
      <w:r w:rsidRPr="008A77FC">
        <w:rPr>
          <w:rFonts w:ascii="Times New Roman" w:hAnsi="Times New Roman" w:cs="Times New Roman"/>
        </w:rPr>
        <w:t xml:space="preserve"> </w:t>
      </w:r>
      <w:r w:rsidRPr="008A77FC">
        <w:rPr>
          <w:rFonts w:ascii="Times New Roman" w:hAnsi="Times New Roman" w:cs="Times New Roman"/>
          <w:b/>
          <w:bCs/>
        </w:rPr>
        <w:t>384</w:t>
      </w:r>
      <w:r w:rsidRPr="008A77FC">
        <w:rPr>
          <w:rFonts w:ascii="Times New Roman" w:hAnsi="Times New Roman" w:cs="Times New Roman"/>
        </w:rPr>
        <w:t>, 125450 (2025).</w:t>
      </w:r>
    </w:p>
    <w:p w14:paraId="58A63BC3" w14:textId="77777777" w:rsidR="008A77FC" w:rsidRPr="008A77FC" w:rsidRDefault="008A77FC" w:rsidP="008A77FC">
      <w:pPr>
        <w:pStyle w:val="af4"/>
        <w:rPr>
          <w:rFonts w:ascii="Times New Roman" w:hAnsi="Times New Roman" w:cs="Times New Roman"/>
        </w:rPr>
      </w:pPr>
      <w:r w:rsidRPr="008A77FC">
        <w:rPr>
          <w:rFonts w:ascii="Times New Roman" w:hAnsi="Times New Roman" w:cs="Times New Roman"/>
        </w:rPr>
        <w:t>16.</w:t>
      </w:r>
      <w:r w:rsidRPr="008A77FC">
        <w:rPr>
          <w:rFonts w:ascii="Times New Roman" w:hAnsi="Times New Roman" w:cs="Times New Roman"/>
        </w:rPr>
        <w:tab/>
        <w:t xml:space="preserve">Dawodu, A. &amp; Cheshmehzangi, A. Impact of Floor Area Ratio (FAR) on Energy Consumption at Meso Scale in China: Case Study of Ningbo. </w:t>
      </w:r>
      <w:r w:rsidRPr="008A77FC">
        <w:rPr>
          <w:rFonts w:ascii="Times New Roman" w:hAnsi="Times New Roman" w:cs="Times New Roman"/>
          <w:i/>
          <w:iCs/>
        </w:rPr>
        <w:t>Energy Procedia</w:t>
      </w:r>
      <w:r w:rsidRPr="008A77FC">
        <w:rPr>
          <w:rFonts w:ascii="Times New Roman" w:hAnsi="Times New Roman" w:cs="Times New Roman"/>
        </w:rPr>
        <w:t xml:space="preserve"> </w:t>
      </w:r>
      <w:r w:rsidRPr="008A77FC">
        <w:rPr>
          <w:rFonts w:ascii="Times New Roman" w:hAnsi="Times New Roman" w:cs="Times New Roman"/>
          <w:b/>
          <w:bCs/>
        </w:rPr>
        <w:t>105</w:t>
      </w:r>
      <w:r w:rsidRPr="008A77FC">
        <w:rPr>
          <w:rFonts w:ascii="Times New Roman" w:hAnsi="Times New Roman" w:cs="Times New Roman"/>
        </w:rPr>
        <w:t>, 3449–3455 (2017).</w:t>
      </w:r>
    </w:p>
    <w:p w14:paraId="7C4F94B5" w14:textId="77777777" w:rsidR="008A77FC" w:rsidRPr="008A77FC" w:rsidRDefault="008A77FC" w:rsidP="008A77FC">
      <w:pPr>
        <w:pStyle w:val="af4"/>
        <w:rPr>
          <w:rFonts w:ascii="Times New Roman" w:hAnsi="Times New Roman" w:cs="Times New Roman"/>
        </w:rPr>
      </w:pPr>
      <w:r w:rsidRPr="008A77FC">
        <w:rPr>
          <w:rFonts w:ascii="Times New Roman" w:hAnsi="Times New Roman" w:cs="Times New Roman"/>
        </w:rPr>
        <w:t>17.</w:t>
      </w:r>
      <w:r w:rsidRPr="008A77FC">
        <w:rPr>
          <w:rFonts w:ascii="Times New Roman" w:hAnsi="Times New Roman" w:cs="Times New Roman"/>
        </w:rPr>
        <w:tab/>
        <w:t xml:space="preserve">Tümtürk, O. Multiple pathways to urban density: A comparative diachronic analysis of building type transitions across three city centers. </w:t>
      </w:r>
      <w:r w:rsidRPr="008A77FC">
        <w:rPr>
          <w:rFonts w:ascii="Times New Roman" w:hAnsi="Times New Roman" w:cs="Times New Roman"/>
          <w:i/>
          <w:iCs/>
        </w:rPr>
        <w:t>Cities</w:t>
      </w:r>
      <w:r w:rsidRPr="008A77FC">
        <w:rPr>
          <w:rFonts w:ascii="Times New Roman" w:hAnsi="Times New Roman" w:cs="Times New Roman"/>
        </w:rPr>
        <w:t xml:space="preserve"> </w:t>
      </w:r>
      <w:r w:rsidRPr="008A77FC">
        <w:rPr>
          <w:rFonts w:ascii="Times New Roman" w:hAnsi="Times New Roman" w:cs="Times New Roman"/>
          <w:b/>
          <w:bCs/>
        </w:rPr>
        <w:t>167</w:t>
      </w:r>
      <w:r w:rsidRPr="008A77FC">
        <w:rPr>
          <w:rFonts w:ascii="Times New Roman" w:hAnsi="Times New Roman" w:cs="Times New Roman"/>
        </w:rPr>
        <w:t>, 106308 (2025).</w:t>
      </w:r>
    </w:p>
    <w:p w14:paraId="1408E109" w14:textId="77777777" w:rsidR="008A77FC" w:rsidRPr="008A77FC" w:rsidRDefault="008A77FC" w:rsidP="008A77FC">
      <w:pPr>
        <w:pStyle w:val="af4"/>
        <w:rPr>
          <w:rFonts w:ascii="Times New Roman" w:hAnsi="Times New Roman" w:cs="Times New Roman"/>
        </w:rPr>
      </w:pPr>
      <w:r w:rsidRPr="008A77FC">
        <w:rPr>
          <w:rFonts w:ascii="Times New Roman" w:hAnsi="Times New Roman" w:cs="Times New Roman"/>
        </w:rPr>
        <w:t>18.</w:t>
      </w:r>
      <w:r w:rsidRPr="008A77FC">
        <w:rPr>
          <w:rFonts w:ascii="Times New Roman" w:hAnsi="Times New Roman" w:cs="Times New Roman"/>
        </w:rPr>
        <w:tab/>
        <w:t xml:space="preserve">Haddad, S. </w:t>
      </w:r>
      <w:r w:rsidRPr="008A77FC">
        <w:rPr>
          <w:rFonts w:ascii="Times New Roman" w:hAnsi="Times New Roman" w:cs="Times New Roman"/>
          <w:i/>
          <w:iCs/>
        </w:rPr>
        <w:t>et al.</w:t>
      </w:r>
      <w:r w:rsidRPr="008A77FC">
        <w:rPr>
          <w:rFonts w:ascii="Times New Roman" w:hAnsi="Times New Roman" w:cs="Times New Roman"/>
        </w:rPr>
        <w:t xml:space="preserve"> Quantifying the energy impact of heat mitigation technologies at the urban scale. </w:t>
      </w:r>
      <w:r w:rsidRPr="008A77FC">
        <w:rPr>
          <w:rFonts w:ascii="Times New Roman" w:hAnsi="Times New Roman" w:cs="Times New Roman"/>
          <w:i/>
          <w:iCs/>
        </w:rPr>
        <w:lastRenderedPageBreak/>
        <w:t>Nat Cities</w:t>
      </w:r>
      <w:r w:rsidRPr="008A77FC">
        <w:rPr>
          <w:rFonts w:ascii="Times New Roman" w:hAnsi="Times New Roman" w:cs="Times New Roman"/>
        </w:rPr>
        <w:t xml:space="preserve"> </w:t>
      </w:r>
      <w:r w:rsidRPr="008A77FC">
        <w:rPr>
          <w:rFonts w:ascii="Times New Roman" w:hAnsi="Times New Roman" w:cs="Times New Roman"/>
          <w:b/>
          <w:bCs/>
        </w:rPr>
        <w:t>1</w:t>
      </w:r>
      <w:r w:rsidRPr="008A77FC">
        <w:rPr>
          <w:rFonts w:ascii="Times New Roman" w:hAnsi="Times New Roman" w:cs="Times New Roman"/>
        </w:rPr>
        <w:t>, 62–72 (2024).</w:t>
      </w:r>
    </w:p>
    <w:p w14:paraId="33ADE4B8" w14:textId="77777777" w:rsidR="008A77FC" w:rsidRPr="008A77FC" w:rsidRDefault="008A77FC" w:rsidP="008A77FC">
      <w:pPr>
        <w:pStyle w:val="af4"/>
        <w:rPr>
          <w:rFonts w:ascii="Times New Roman" w:hAnsi="Times New Roman" w:cs="Times New Roman"/>
        </w:rPr>
      </w:pPr>
      <w:r w:rsidRPr="008A77FC">
        <w:rPr>
          <w:rFonts w:ascii="Times New Roman" w:hAnsi="Times New Roman" w:cs="Times New Roman"/>
        </w:rPr>
        <w:t>19.</w:t>
      </w:r>
      <w:r w:rsidRPr="008A77FC">
        <w:rPr>
          <w:rFonts w:ascii="Times New Roman" w:hAnsi="Times New Roman" w:cs="Times New Roman"/>
        </w:rPr>
        <w:tab/>
        <w:t xml:space="preserve">Chen, Y., Hong, T. &amp; Piette, M. A. Automatic generation and simulation of urban building energy models based on city datasets for city-scale building retrofit analysis. </w:t>
      </w:r>
      <w:r w:rsidRPr="008A77FC">
        <w:rPr>
          <w:rFonts w:ascii="Times New Roman" w:hAnsi="Times New Roman" w:cs="Times New Roman"/>
          <w:i/>
          <w:iCs/>
        </w:rPr>
        <w:t>Applied Energy</w:t>
      </w:r>
      <w:r w:rsidRPr="008A77FC">
        <w:rPr>
          <w:rFonts w:ascii="Times New Roman" w:hAnsi="Times New Roman" w:cs="Times New Roman"/>
        </w:rPr>
        <w:t xml:space="preserve"> </w:t>
      </w:r>
      <w:r w:rsidRPr="008A77FC">
        <w:rPr>
          <w:rFonts w:ascii="Times New Roman" w:hAnsi="Times New Roman" w:cs="Times New Roman"/>
          <w:b/>
          <w:bCs/>
        </w:rPr>
        <w:t>205</w:t>
      </w:r>
      <w:r w:rsidRPr="008A77FC">
        <w:rPr>
          <w:rFonts w:ascii="Times New Roman" w:hAnsi="Times New Roman" w:cs="Times New Roman"/>
        </w:rPr>
        <w:t>, 323–335 (2017).</w:t>
      </w:r>
    </w:p>
    <w:p w14:paraId="312C4781" w14:textId="77777777" w:rsidR="008A77FC" w:rsidRPr="008A77FC" w:rsidRDefault="008A77FC" w:rsidP="008A77FC">
      <w:pPr>
        <w:pStyle w:val="af4"/>
        <w:rPr>
          <w:rFonts w:ascii="Times New Roman" w:hAnsi="Times New Roman" w:cs="Times New Roman"/>
        </w:rPr>
      </w:pPr>
      <w:r w:rsidRPr="008A77FC">
        <w:rPr>
          <w:rFonts w:ascii="Times New Roman" w:hAnsi="Times New Roman" w:cs="Times New Roman"/>
        </w:rPr>
        <w:t>20.</w:t>
      </w:r>
      <w:r w:rsidRPr="008A77FC">
        <w:rPr>
          <w:rFonts w:ascii="Times New Roman" w:hAnsi="Times New Roman" w:cs="Times New Roman"/>
        </w:rPr>
        <w:tab/>
        <w:t xml:space="preserve">Weiler, V. </w:t>
      </w:r>
      <w:r w:rsidRPr="008A77FC">
        <w:rPr>
          <w:rFonts w:ascii="Times New Roman" w:hAnsi="Times New Roman" w:cs="Times New Roman"/>
          <w:i/>
          <w:iCs/>
        </w:rPr>
        <w:t>et al.</w:t>
      </w:r>
      <w:r w:rsidRPr="008A77FC">
        <w:rPr>
          <w:rFonts w:ascii="Times New Roman" w:hAnsi="Times New Roman" w:cs="Times New Roman"/>
        </w:rPr>
        <w:t xml:space="preserve"> Automatic dimensioning of energy system components for building cluster simulation. </w:t>
      </w:r>
      <w:r w:rsidRPr="008A77FC">
        <w:rPr>
          <w:rFonts w:ascii="Times New Roman" w:hAnsi="Times New Roman" w:cs="Times New Roman"/>
          <w:i/>
          <w:iCs/>
        </w:rPr>
        <w:t>Applied Energy</w:t>
      </w:r>
      <w:r w:rsidRPr="008A77FC">
        <w:rPr>
          <w:rFonts w:ascii="Times New Roman" w:hAnsi="Times New Roman" w:cs="Times New Roman"/>
        </w:rPr>
        <w:t xml:space="preserve"> </w:t>
      </w:r>
      <w:r w:rsidRPr="008A77FC">
        <w:rPr>
          <w:rFonts w:ascii="Times New Roman" w:hAnsi="Times New Roman" w:cs="Times New Roman"/>
          <w:b/>
          <w:bCs/>
        </w:rPr>
        <w:t>313</w:t>
      </w:r>
      <w:r w:rsidRPr="008A77FC">
        <w:rPr>
          <w:rFonts w:ascii="Times New Roman" w:hAnsi="Times New Roman" w:cs="Times New Roman"/>
        </w:rPr>
        <w:t>, 118651 (2022).</w:t>
      </w:r>
    </w:p>
    <w:p w14:paraId="496CD8B4" w14:textId="0EF0B979" w:rsidR="00161D3F" w:rsidRPr="00161D3F" w:rsidRDefault="006B726D" w:rsidP="00161D3F">
      <w:r w:rsidRPr="008A77FC">
        <w:rPr>
          <w:rFonts w:ascii="Times New Roman" w:hAnsi="Times New Roman" w:cs="Times New Roman"/>
        </w:rPr>
        <w:fldChar w:fldCharType="end"/>
      </w:r>
    </w:p>
    <w:sectPr w:rsidR="00161D3F" w:rsidRPr="00161D3F" w:rsidSect="00D942D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A1E802" w14:textId="77777777" w:rsidR="00D74908" w:rsidRDefault="00D74908" w:rsidP="000B11A6">
      <w:r>
        <w:separator/>
      </w:r>
    </w:p>
  </w:endnote>
  <w:endnote w:type="continuationSeparator" w:id="0">
    <w:p w14:paraId="0C8DB50C" w14:textId="77777777" w:rsidR="00D74908" w:rsidRDefault="00D74908" w:rsidP="000B1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dvGulliv-R">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3316165"/>
      <w:docPartObj>
        <w:docPartGallery w:val="Page Numbers (Bottom of Page)"/>
        <w:docPartUnique/>
      </w:docPartObj>
    </w:sdtPr>
    <w:sdtContent>
      <w:p w14:paraId="67F81C21" w14:textId="4AB4A9DB" w:rsidR="0094799D" w:rsidRDefault="0094799D">
        <w:pPr>
          <w:pStyle w:val="a9"/>
          <w:jc w:val="center"/>
        </w:pPr>
        <w:r>
          <w:fldChar w:fldCharType="begin"/>
        </w:r>
        <w:r>
          <w:instrText>PAGE   \* MERGEFORMAT</w:instrText>
        </w:r>
        <w:r>
          <w:fldChar w:fldCharType="separate"/>
        </w:r>
        <w:r>
          <w:rPr>
            <w:lang w:val="zh-CN"/>
          </w:rPr>
          <w:t>2</w:t>
        </w:r>
        <w:r>
          <w:fldChar w:fldCharType="end"/>
        </w:r>
      </w:p>
    </w:sdtContent>
  </w:sdt>
  <w:p w14:paraId="380F4103" w14:textId="77777777" w:rsidR="0094799D" w:rsidRDefault="0094799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FDDB02" w14:textId="77777777" w:rsidR="00D74908" w:rsidRDefault="00D74908" w:rsidP="000B11A6">
      <w:r>
        <w:separator/>
      </w:r>
    </w:p>
  </w:footnote>
  <w:footnote w:type="continuationSeparator" w:id="0">
    <w:p w14:paraId="055D749D" w14:textId="77777777" w:rsidR="00D74908" w:rsidRDefault="00D74908" w:rsidP="000B11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A562D"/>
    <w:multiLevelType w:val="hybridMultilevel"/>
    <w:tmpl w:val="9DDA579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A461AF6"/>
    <w:multiLevelType w:val="hybridMultilevel"/>
    <w:tmpl w:val="AD504BF6"/>
    <w:lvl w:ilvl="0" w:tplc="669CE98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5DAD07E1"/>
    <w:multiLevelType w:val="hybridMultilevel"/>
    <w:tmpl w:val="E26C085E"/>
    <w:lvl w:ilvl="0" w:tplc="C26C644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6D325CAE"/>
    <w:multiLevelType w:val="hybridMultilevel"/>
    <w:tmpl w:val="FFDC212C"/>
    <w:lvl w:ilvl="0" w:tplc="7CEE2E2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969385857">
    <w:abstractNumId w:val="1"/>
  </w:num>
  <w:num w:numId="2" w16cid:durableId="1781601756">
    <w:abstractNumId w:val="3"/>
  </w:num>
  <w:num w:numId="3" w16cid:durableId="1254244941">
    <w:abstractNumId w:val="0"/>
  </w:num>
  <w:num w:numId="4" w16cid:durableId="14530123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F31"/>
    <w:rsid w:val="00003568"/>
    <w:rsid w:val="00047E54"/>
    <w:rsid w:val="00075C9A"/>
    <w:rsid w:val="000B11A6"/>
    <w:rsid w:val="000C191A"/>
    <w:rsid w:val="000D2D72"/>
    <w:rsid w:val="00123109"/>
    <w:rsid w:val="001338E4"/>
    <w:rsid w:val="00161D3F"/>
    <w:rsid w:val="001A51DB"/>
    <w:rsid w:val="001B1882"/>
    <w:rsid w:val="00213217"/>
    <w:rsid w:val="0021646E"/>
    <w:rsid w:val="00351864"/>
    <w:rsid w:val="003D7F31"/>
    <w:rsid w:val="003E47DB"/>
    <w:rsid w:val="004028A7"/>
    <w:rsid w:val="00415753"/>
    <w:rsid w:val="004731DE"/>
    <w:rsid w:val="004B7E72"/>
    <w:rsid w:val="00510BBA"/>
    <w:rsid w:val="0056161D"/>
    <w:rsid w:val="005974DB"/>
    <w:rsid w:val="00650D4D"/>
    <w:rsid w:val="006B262C"/>
    <w:rsid w:val="006B726D"/>
    <w:rsid w:val="006C3B01"/>
    <w:rsid w:val="007156F9"/>
    <w:rsid w:val="007A7D4C"/>
    <w:rsid w:val="007B503C"/>
    <w:rsid w:val="00826784"/>
    <w:rsid w:val="00886207"/>
    <w:rsid w:val="00897B13"/>
    <w:rsid w:val="008A77FC"/>
    <w:rsid w:val="00935FC8"/>
    <w:rsid w:val="0094799D"/>
    <w:rsid w:val="009E7DB0"/>
    <w:rsid w:val="00A759DD"/>
    <w:rsid w:val="00A9554D"/>
    <w:rsid w:val="00AC6CAE"/>
    <w:rsid w:val="00AE53FC"/>
    <w:rsid w:val="00AF0610"/>
    <w:rsid w:val="00B000FB"/>
    <w:rsid w:val="00B063AA"/>
    <w:rsid w:val="00B15838"/>
    <w:rsid w:val="00B31D98"/>
    <w:rsid w:val="00B41AC7"/>
    <w:rsid w:val="00B752C3"/>
    <w:rsid w:val="00BC6A5D"/>
    <w:rsid w:val="00CB07DB"/>
    <w:rsid w:val="00CB2B8F"/>
    <w:rsid w:val="00D66DA8"/>
    <w:rsid w:val="00D74908"/>
    <w:rsid w:val="00D942D5"/>
    <w:rsid w:val="00DD500E"/>
    <w:rsid w:val="00E30321"/>
    <w:rsid w:val="00E91F70"/>
    <w:rsid w:val="00EC5D03"/>
    <w:rsid w:val="00F85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A77191"/>
  <w15:chartTrackingRefBased/>
  <w15:docId w15:val="{05A9DEC5-2193-4FC0-A831-16319B374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7F31"/>
    <w:pPr>
      <w:widowControl w:val="0"/>
      <w:jc w:val="both"/>
    </w:pPr>
    <w:rPr>
      <w:szCs w:val="24"/>
    </w:rPr>
  </w:style>
  <w:style w:type="paragraph" w:styleId="1">
    <w:name w:val="heading 1"/>
    <w:basedOn w:val="a"/>
    <w:next w:val="a"/>
    <w:link w:val="10"/>
    <w:uiPriority w:val="9"/>
    <w:qFormat/>
    <w:rsid w:val="003D7F31"/>
    <w:pPr>
      <w:keepNext/>
      <w:keepLines/>
      <w:spacing w:before="340" w:after="330"/>
      <w:outlineLvl w:val="0"/>
    </w:pPr>
    <w:rPr>
      <w:rFonts w:ascii="Times" w:hAnsi="Times"/>
      <w:b/>
      <w:bCs/>
      <w:kern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D7F31"/>
    <w:rPr>
      <w:rFonts w:ascii="Times" w:hAnsi="Times"/>
      <w:b/>
      <w:bCs/>
      <w:kern w:val="44"/>
      <w:szCs w:val="44"/>
    </w:rPr>
  </w:style>
  <w:style w:type="table" w:styleId="a3">
    <w:name w:val="Table Grid"/>
    <w:basedOn w:val="a1"/>
    <w:uiPriority w:val="39"/>
    <w:rsid w:val="003D7F3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annotation text"/>
    <w:basedOn w:val="a"/>
    <w:link w:val="a5"/>
    <w:rsid w:val="003D7F31"/>
    <w:pPr>
      <w:jc w:val="left"/>
    </w:pPr>
  </w:style>
  <w:style w:type="character" w:customStyle="1" w:styleId="a5">
    <w:name w:val="批注文字 字符"/>
    <w:basedOn w:val="a0"/>
    <w:link w:val="a4"/>
    <w:rsid w:val="003D7F31"/>
    <w:rPr>
      <w:szCs w:val="24"/>
    </w:rPr>
  </w:style>
  <w:style w:type="paragraph" w:styleId="a6">
    <w:name w:val="caption"/>
    <w:basedOn w:val="a"/>
    <w:next w:val="a"/>
    <w:uiPriority w:val="35"/>
    <w:unhideWhenUsed/>
    <w:qFormat/>
    <w:rsid w:val="003D7F31"/>
    <w:pPr>
      <w:jc w:val="center"/>
    </w:pPr>
    <w:rPr>
      <w:rFonts w:ascii="Times New Roman" w:eastAsia="宋体" w:hAnsi="Times New Roman"/>
      <w:sz w:val="20"/>
      <w:szCs w:val="22"/>
    </w:rPr>
  </w:style>
  <w:style w:type="paragraph" w:styleId="a7">
    <w:name w:val="header"/>
    <w:basedOn w:val="a"/>
    <w:link w:val="a8"/>
    <w:uiPriority w:val="99"/>
    <w:unhideWhenUsed/>
    <w:rsid w:val="000B11A6"/>
    <w:pPr>
      <w:tabs>
        <w:tab w:val="center" w:pos="4153"/>
        <w:tab w:val="right" w:pos="8306"/>
      </w:tabs>
      <w:snapToGrid w:val="0"/>
      <w:jc w:val="center"/>
    </w:pPr>
    <w:rPr>
      <w:sz w:val="18"/>
      <w:szCs w:val="18"/>
    </w:rPr>
  </w:style>
  <w:style w:type="character" w:customStyle="1" w:styleId="a8">
    <w:name w:val="页眉 字符"/>
    <w:basedOn w:val="a0"/>
    <w:link w:val="a7"/>
    <w:uiPriority w:val="99"/>
    <w:rsid w:val="000B11A6"/>
    <w:rPr>
      <w:sz w:val="18"/>
      <w:szCs w:val="18"/>
    </w:rPr>
  </w:style>
  <w:style w:type="paragraph" w:styleId="a9">
    <w:name w:val="footer"/>
    <w:basedOn w:val="a"/>
    <w:link w:val="aa"/>
    <w:uiPriority w:val="99"/>
    <w:unhideWhenUsed/>
    <w:rsid w:val="000B11A6"/>
    <w:pPr>
      <w:tabs>
        <w:tab w:val="center" w:pos="4153"/>
        <w:tab w:val="right" w:pos="8306"/>
      </w:tabs>
      <w:snapToGrid w:val="0"/>
      <w:jc w:val="left"/>
    </w:pPr>
    <w:rPr>
      <w:sz w:val="18"/>
      <w:szCs w:val="18"/>
    </w:rPr>
  </w:style>
  <w:style w:type="character" w:customStyle="1" w:styleId="aa">
    <w:name w:val="页脚 字符"/>
    <w:basedOn w:val="a0"/>
    <w:link w:val="a9"/>
    <w:uiPriority w:val="99"/>
    <w:rsid w:val="000B11A6"/>
    <w:rPr>
      <w:sz w:val="18"/>
      <w:szCs w:val="18"/>
    </w:rPr>
  </w:style>
  <w:style w:type="character" w:styleId="ab">
    <w:name w:val="annotation reference"/>
    <w:basedOn w:val="a0"/>
    <w:uiPriority w:val="99"/>
    <w:semiHidden/>
    <w:unhideWhenUsed/>
    <w:rsid w:val="00D942D5"/>
    <w:rPr>
      <w:sz w:val="21"/>
      <w:szCs w:val="21"/>
    </w:rPr>
  </w:style>
  <w:style w:type="paragraph" w:styleId="ac">
    <w:name w:val="annotation subject"/>
    <w:basedOn w:val="a4"/>
    <w:next w:val="a4"/>
    <w:link w:val="ad"/>
    <w:uiPriority w:val="99"/>
    <w:semiHidden/>
    <w:unhideWhenUsed/>
    <w:rsid w:val="00D942D5"/>
    <w:rPr>
      <w:b/>
      <w:bCs/>
    </w:rPr>
  </w:style>
  <w:style w:type="character" w:customStyle="1" w:styleId="ad">
    <w:name w:val="批注主题 字符"/>
    <w:basedOn w:val="a5"/>
    <w:link w:val="ac"/>
    <w:uiPriority w:val="99"/>
    <w:semiHidden/>
    <w:rsid w:val="00D942D5"/>
    <w:rPr>
      <w:b/>
      <w:bCs/>
      <w:szCs w:val="24"/>
    </w:rPr>
  </w:style>
  <w:style w:type="character" w:styleId="ae">
    <w:name w:val="line number"/>
    <w:basedOn w:val="a0"/>
    <w:uiPriority w:val="99"/>
    <w:semiHidden/>
    <w:unhideWhenUsed/>
    <w:rsid w:val="00075C9A"/>
  </w:style>
  <w:style w:type="paragraph" w:styleId="af">
    <w:name w:val="List Paragraph"/>
    <w:basedOn w:val="a"/>
    <w:uiPriority w:val="34"/>
    <w:qFormat/>
    <w:rsid w:val="007B503C"/>
    <w:pPr>
      <w:ind w:firstLineChars="200" w:firstLine="420"/>
    </w:pPr>
  </w:style>
  <w:style w:type="character" w:styleId="af0">
    <w:name w:val="Hyperlink"/>
    <w:basedOn w:val="a0"/>
    <w:uiPriority w:val="99"/>
    <w:unhideWhenUsed/>
    <w:rsid w:val="007B503C"/>
    <w:rPr>
      <w:color w:val="0563C1" w:themeColor="hyperlink"/>
      <w:u w:val="single"/>
    </w:rPr>
  </w:style>
  <w:style w:type="paragraph" w:styleId="af1">
    <w:name w:val="footnote text"/>
    <w:basedOn w:val="a"/>
    <w:link w:val="af2"/>
    <w:uiPriority w:val="99"/>
    <w:unhideWhenUsed/>
    <w:qFormat/>
    <w:rsid w:val="007B503C"/>
    <w:pPr>
      <w:snapToGrid w:val="0"/>
      <w:jc w:val="left"/>
    </w:pPr>
    <w:rPr>
      <w:sz w:val="18"/>
      <w:szCs w:val="18"/>
    </w:rPr>
  </w:style>
  <w:style w:type="character" w:customStyle="1" w:styleId="af2">
    <w:name w:val="脚注文本 字符"/>
    <w:basedOn w:val="a0"/>
    <w:link w:val="af1"/>
    <w:uiPriority w:val="99"/>
    <w:qFormat/>
    <w:rsid w:val="007B503C"/>
    <w:rPr>
      <w:sz w:val="18"/>
      <w:szCs w:val="18"/>
    </w:rPr>
  </w:style>
  <w:style w:type="character" w:styleId="af3">
    <w:name w:val="footnote reference"/>
    <w:basedOn w:val="a0"/>
    <w:uiPriority w:val="99"/>
    <w:semiHidden/>
    <w:unhideWhenUsed/>
    <w:qFormat/>
    <w:rsid w:val="007B503C"/>
    <w:rPr>
      <w:vertAlign w:val="superscript"/>
    </w:rPr>
  </w:style>
  <w:style w:type="paragraph" w:styleId="af4">
    <w:name w:val="Bibliography"/>
    <w:basedOn w:val="a"/>
    <w:next w:val="a"/>
    <w:uiPriority w:val="37"/>
    <w:unhideWhenUsed/>
    <w:rsid w:val="006B726D"/>
    <w:pPr>
      <w:tabs>
        <w:tab w:val="left" w:pos="264"/>
      </w:tabs>
      <w:spacing w:line="480" w:lineRule="auto"/>
      <w:ind w:left="264" w:hanging="264"/>
    </w:pPr>
  </w:style>
  <w:style w:type="paragraph" w:styleId="af5">
    <w:name w:val="Revision"/>
    <w:hidden/>
    <w:uiPriority w:val="99"/>
    <w:semiHidden/>
    <w:rsid w:val="00B063AA"/>
    <w:rPr>
      <w:szCs w:val="24"/>
    </w:rPr>
  </w:style>
  <w:style w:type="character" w:styleId="af6">
    <w:name w:val="Strong"/>
    <w:basedOn w:val="a0"/>
    <w:uiPriority w:val="22"/>
    <w:qFormat/>
    <w:rsid w:val="008267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382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ea.gov.cn/2022-03/09/c_1310508114.htm"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345</TotalTime>
  <Pages>19</Pages>
  <Words>7350</Words>
  <Characters>46013</Characters>
  <Application>Microsoft Office Word</Application>
  <DocSecurity>0</DocSecurity>
  <Lines>1769</Lines>
  <Paragraphs>847</Paragraphs>
  <ScaleCrop>false</ScaleCrop>
  <Company/>
  <LinksUpToDate>false</LinksUpToDate>
  <CharactersWithSpaces>52516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玉馨 陈</dc:creator>
  <cp:keywords/>
  <dc:description/>
  <cp:lastModifiedBy>玉馨 陈</cp:lastModifiedBy>
  <cp:revision>12</cp:revision>
  <dcterms:created xsi:type="dcterms:W3CDTF">2025-10-13T13:55:00Z</dcterms:created>
  <dcterms:modified xsi:type="dcterms:W3CDTF">2025-11-12T01:58:00Z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id="geiNYh1B"/&gt;&lt;style id="http://www.zotero.org/styles/nature" hasBibliography="1" bibliographyStyleHasBeenSet="1"/&gt;&lt;prefs&gt;&lt;pref name="fieldType" value="Field"/&gt;&lt;/prefs&gt;&lt;/data&gt;</vt:lpwstr>
  </property>
</Properties>
</file>