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cdphodx98eaa" w:id="0"/>
      <w:bookmarkEnd w:id="0"/>
      <w:r w:rsidDel="00000000" w:rsidR="00000000" w:rsidRPr="00000000">
        <w:rPr>
          <w:rtl w:val="0"/>
        </w:rPr>
        <w:t xml:space="preserve">Supplemental Digital Content</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rtl w:val="0"/>
        </w:rPr>
        <w:t xml:space="preserve">Red Blood Cell Transfusion Practices in PICU: To be liberal or not to be!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Izzet Turkalp Akbasli, Selman Kesici, Benan Bayrakci</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Corresponding author: </w:t>
      </w:r>
      <w:r w:rsidDel="00000000" w:rsidR="00000000" w:rsidRPr="00000000">
        <w:rPr>
          <w:rFonts w:ascii="Times New Roman" w:cs="Times New Roman" w:eastAsia="Times New Roman" w:hAnsi="Times New Roman"/>
          <w:rtl w:val="0"/>
        </w:rPr>
        <w:t xml:space="preserve">Dr. Izzet Turkalp Akbasli</w:t>
      </w:r>
    </w:p>
    <w:p w:rsidR="00000000" w:rsidDel="00000000" w:rsidP="00000000" w:rsidRDefault="00000000" w:rsidRPr="00000000" w14:paraId="00000009">
      <w:pPr>
        <w:spacing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Division of Pediatric Emergency, Department of Pediatrics, Faculty of Medicine, Hacettepe University, Ankara 06270, Turkey </w:t>
      </w:r>
      <w:hyperlink r:id="rId6">
        <w:r w:rsidDel="00000000" w:rsidR="00000000" w:rsidRPr="00000000">
          <w:rPr>
            <w:rFonts w:ascii="Times New Roman" w:cs="Times New Roman" w:eastAsia="Times New Roman" w:hAnsi="Times New Roman"/>
            <w:color w:val="1155cc"/>
            <w:u w:val="single"/>
            <w:rtl w:val="0"/>
          </w:rPr>
          <w:t xml:space="preserve">iakbasli@hacettepe.edu.tr</w:t>
        </w:r>
      </w:hyperlink>
      <w:r w:rsidDel="00000000" w:rsidR="00000000" w:rsidRPr="00000000">
        <w:rPr>
          <w:rtl w:val="0"/>
        </w:rPr>
      </w:r>
    </w:p>
    <w:p w:rsidR="00000000" w:rsidDel="00000000" w:rsidP="00000000" w:rsidRDefault="00000000" w:rsidRPr="00000000" w14:paraId="0000000A">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jc w:val="left"/>
        <w:rPr>
          <w:b w:val="1"/>
          <w:bCs w:val="1"/>
          <w:sz w:val="28"/>
          <w:szCs w:val="28"/>
        </w:rPr>
      </w:pPr>
      <w:r w:rsidDel="00000000" w:rsidR="00000000" w:rsidRPr="00000000">
        <w:rPr>
          <w:b w:val="1"/>
          <w:bCs w:val="1"/>
          <w:sz w:val="28"/>
          <w:szCs w:val="28"/>
          <w:rtl w:val="0"/>
        </w:rPr>
        <w:t xml:space="preserve">Contents</w:t>
      </w:r>
    </w:p>
    <w:sdt>
      <w:sdtPr>
        <w:id w:val="164854139"/>
        <w:docPartObj>
          <w:docPartGallery w:val="Table of Contents"/>
          <w:docPartUnique w:val="1"/>
        </w:docPartObj>
      </w:sdtPr>
      <w:sdtContent>
        <w:p w:rsidR="00000000" w:rsidDel="00000000" w:rsidP="00000000" w:rsidRDefault="00000000" w:rsidRPr="00000000" w14:paraId="0000000C">
          <w:pPr>
            <w:widowControl w:val="0"/>
            <w:tabs>
              <w:tab w:val="right" w:leader="dot" w:pos="12000"/>
            </w:tabs>
            <w:spacing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2bnahobua888">
            <w:r w:rsidDel="00000000" w:rsidR="00000000" w:rsidRPr="00000000">
              <w:rPr>
                <w:rFonts w:ascii="EB Garamond" w:cs="EB Garamond" w:eastAsia="EB Garamond" w:hAnsi="EB Garamond"/>
                <w:b w:val="1"/>
                <w:bCs w:val="1"/>
                <w:i w:val="0"/>
                <w:iCs w:val="0"/>
                <w:smallCaps w:val="0"/>
                <w:strike w:val="0"/>
                <w:color w:val="000000"/>
                <w:sz w:val="24"/>
                <w:szCs w:val="24"/>
                <w:u w:val="none"/>
                <w:shd w:fill="auto" w:val="clear"/>
                <w:vertAlign w:val="baseline"/>
                <w:rtl w:val="0"/>
              </w:rPr>
              <w:t xml:space="preserve">STROBE Statement</w:t>
              <w:tab/>
              <w:t xml:space="preserve">1</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bfzxkslaovxd">
            <w:r w:rsidDel="00000000" w:rsidR="00000000" w:rsidRPr="00000000">
              <w:rPr>
                <w:rFonts w:ascii="EB Garamond" w:cs="EB Garamond" w:eastAsia="EB Garamond" w:hAnsi="EB Garamond"/>
                <w:b w:val="1"/>
                <w:bCs w:val="1"/>
                <w:i w:val="0"/>
                <w:iCs w:val="0"/>
                <w:smallCaps w:val="0"/>
                <w:strike w:val="0"/>
                <w:color w:val="000000"/>
                <w:sz w:val="24"/>
                <w:szCs w:val="24"/>
                <w:u w:val="none"/>
                <w:shd w:fill="auto" w:val="clear"/>
                <w:vertAlign w:val="baseline"/>
                <w:rtl w:val="0"/>
              </w:rPr>
              <w:t xml:space="preserve">eTable 1 - Age-Specific Reference Ranges for Complete Blood Count (CBC) Parameters in Pediatric Patients</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3lb9m89pba6d">
            <w:r w:rsidDel="00000000" w:rsidR="00000000" w:rsidRPr="00000000">
              <w:rPr>
                <w:rFonts w:ascii="EB Garamond" w:cs="EB Garamond" w:eastAsia="EB Garamond" w:hAnsi="EB Garamond"/>
                <w:b w:val="1"/>
                <w:bCs w:val="1"/>
                <w:i w:val="0"/>
                <w:iCs w:val="0"/>
                <w:smallCaps w:val="0"/>
                <w:strike w:val="0"/>
                <w:color w:val="000000"/>
                <w:sz w:val="24"/>
                <w:szCs w:val="24"/>
                <w:u w:val="none"/>
                <w:shd w:fill="auto" w:val="clear"/>
                <w:vertAlign w:val="baseline"/>
                <w:rtl w:val="0"/>
              </w:rPr>
              <w:t xml:space="preserve">eTable 2 - Age Group Categories Categorical Post-hoc Analysis with Other Categorical Variables</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psebtznxyaet">
            <w:r w:rsidDel="00000000" w:rsidR="00000000" w:rsidRPr="00000000">
              <w:rPr>
                <w:rFonts w:ascii="EB Garamond" w:cs="EB Garamond" w:eastAsia="EB Garamond" w:hAnsi="EB Garamond"/>
                <w:b w:val="1"/>
                <w:bCs w:val="1"/>
                <w:i w:val="0"/>
                <w:iCs w:val="0"/>
                <w:smallCaps w:val="0"/>
                <w:strike w:val="0"/>
                <w:color w:val="000000"/>
                <w:sz w:val="24"/>
                <w:szCs w:val="24"/>
                <w:u w:val="none"/>
                <w:shd w:fill="auto" w:val="clear"/>
                <w:vertAlign w:val="baseline"/>
                <w:rtl w:val="0"/>
              </w:rPr>
              <w:t xml:space="preserve">eTable 3 - Malnutrition Group Categories Categorical Post-hoc Analysis with Admitting Categories</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4smxerc3ykgy">
            <w:r w:rsidDel="00000000" w:rsidR="00000000" w:rsidRPr="00000000">
              <w:rPr>
                <w:rFonts w:ascii="EB Garamond" w:cs="EB Garamond" w:eastAsia="EB Garamond" w:hAnsi="EB Garamond"/>
                <w:b w:val="1"/>
                <w:bCs w:val="1"/>
                <w:i w:val="0"/>
                <w:iCs w:val="0"/>
                <w:smallCaps w:val="0"/>
                <w:strike w:val="0"/>
                <w:color w:val="000000"/>
                <w:sz w:val="24"/>
                <w:szCs w:val="24"/>
                <w:u w:val="none"/>
                <w:shd w:fill="auto" w:val="clear"/>
                <w:vertAlign w:val="baseline"/>
                <w:rtl w:val="0"/>
              </w:rPr>
              <w:t xml:space="preserve">eTable 4 - PRISM and PDR Values' Numerical Analysis and Descriptive Representation According to Patients' Categorical Variables</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qo6yublef31p">
            <w:r w:rsidDel="00000000" w:rsidR="00000000" w:rsidRPr="00000000">
              <w:rPr>
                <w:rFonts w:ascii="EB Garamond" w:cs="EB Garamond" w:eastAsia="EB Garamond" w:hAnsi="EB Garamond"/>
                <w:b w:val="1"/>
                <w:bCs w:val="1"/>
                <w:i w:val="0"/>
                <w:iCs w:val="0"/>
                <w:smallCaps w:val="0"/>
                <w:strike w:val="0"/>
                <w:color w:val="000000"/>
                <w:sz w:val="24"/>
                <w:szCs w:val="24"/>
                <w:u w:val="none"/>
                <w:shd w:fill="auto" w:val="clear"/>
                <w:vertAlign w:val="baseline"/>
                <w:rtl w:val="0"/>
              </w:rPr>
              <w:t xml:space="preserve">eTable 5 - Subgroup Analysis of Age and Malnutrition Categories Using Univariate Logistic Regression</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afo70563wn4w">
            <w:r w:rsidDel="00000000" w:rsidR="00000000" w:rsidRPr="00000000">
              <w:rPr>
                <w:rFonts w:ascii="EB Garamond" w:cs="EB Garamond" w:eastAsia="EB Garamond" w:hAnsi="EB Garamond"/>
                <w:b w:val="1"/>
                <w:bCs w:val="1"/>
                <w:i w:val="0"/>
                <w:iCs w:val="0"/>
                <w:smallCaps w:val="0"/>
                <w:strike w:val="0"/>
                <w:color w:val="000000"/>
                <w:sz w:val="24"/>
                <w:szCs w:val="24"/>
                <w:u w:val="none"/>
                <w:shd w:fill="auto" w:val="clear"/>
                <w:vertAlign w:val="baseline"/>
                <w:rtl w:val="0"/>
              </w:rPr>
              <w:t xml:space="preserve">eTable 6 - Comparative analysis of patient characteristics based on frequency of RBC transfusions in the pediatric intensive care unit</w:t>
              <w:tab/>
              <w:t xml:space="preserve">8</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4fnicmdxyxjn">
            <w:r w:rsidDel="00000000" w:rsidR="00000000" w:rsidRPr="00000000">
              <w:rPr>
                <w:rFonts w:ascii="EB Garamond" w:cs="EB Garamond" w:eastAsia="EB Garamond" w:hAnsi="EB Garamond"/>
                <w:b w:val="1"/>
                <w:bCs w:val="1"/>
                <w:i w:val="0"/>
                <w:iCs w:val="0"/>
                <w:smallCaps w:val="0"/>
                <w:strike w:val="0"/>
                <w:color w:val="000000"/>
                <w:sz w:val="24"/>
                <w:szCs w:val="24"/>
                <w:u w:val="none"/>
                <w:shd w:fill="auto" w:val="clear"/>
                <w:vertAlign w:val="baseline"/>
                <w:rtl w:val="0"/>
              </w:rPr>
              <w:t xml:space="preserve">eFigure 1 - Comparison of Hb levels distributions according to transfusion status during admission</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Style w:val="Heading1"/>
        <w:rPr/>
      </w:pPr>
      <w:bookmarkStart w:colFirst="0" w:colLast="0" w:name="_ogvxglsyg8m9" w:id="1"/>
      <w:bookmarkEnd w:id="1"/>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bookmarkStart w:colFirst="0" w:colLast="0" w:name="_2bnahobua888" w:id="2"/>
      <w:bookmarkEnd w:id="2"/>
      <w:r w:rsidDel="00000000" w:rsidR="00000000" w:rsidRPr="00000000">
        <w:rPr>
          <w:rtl w:val="0"/>
        </w:rPr>
        <w:t xml:space="preserve">STROBE Statement</w:t>
      </w:r>
    </w:p>
    <w:p w:rsidR="00000000" w:rsidDel="00000000" w:rsidP="00000000" w:rsidRDefault="00000000" w:rsidRPr="00000000" w14:paraId="00000018">
      <w:pPr>
        <w:pStyle w:val="Heading1"/>
        <w:spacing w:after="240" w:before="240" w:lineRule="auto"/>
        <w:ind w:right="0"/>
        <w:rPr>
          <w:rFonts w:ascii="Arial" w:cs="Arial" w:eastAsia="Arial" w:hAnsi="Arial"/>
          <w:sz w:val="20"/>
          <w:szCs w:val="20"/>
        </w:rPr>
      </w:pPr>
      <w:bookmarkStart w:colFirst="0" w:colLast="0" w:name="_7kdg177ysi1t" w:id="3"/>
      <w:bookmarkEnd w:id="3"/>
      <w:r w:rsidDel="00000000" w:rsidR="00000000" w:rsidRPr="00000000">
        <w:rPr>
          <w:rFonts w:ascii="Arial" w:cs="Arial" w:eastAsia="Arial" w:hAnsi="Arial"/>
          <w:sz w:val="20"/>
          <w:szCs w:val="20"/>
          <w:rtl w:val="0"/>
        </w:rPr>
        <w:t xml:space="preserve"> </w:t>
      </w:r>
    </w:p>
    <w:tbl>
      <w:tblPr>
        <w:tblStyle w:val="Table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705"/>
        <w:gridCol w:w="6120"/>
        <w:tblGridChange w:id="0">
          <w:tblGrid>
            <w:gridCol w:w="2100"/>
            <w:gridCol w:w="705"/>
            <w:gridCol w:w="6120"/>
          </w:tblGrid>
        </w:tblGridChange>
      </w:tblGrid>
      <w:tr>
        <w:trPr>
          <w:cantSplit w:val="0"/>
          <w:trHeight w:val="46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9">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A">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 No</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1B">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Recommendation</w:t>
            </w:r>
          </w:p>
        </w:tc>
      </w:tr>
      <w:tr>
        <w:trPr>
          <w:cantSplit w:val="0"/>
          <w:trHeight w:val="495" w:hRule="atLeast"/>
          <w:tblHeader w:val="0"/>
        </w:trPr>
        <w:tc>
          <w:tcPr>
            <w:vMerge w:val="restart"/>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C">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 and abstract</w:t>
            </w:r>
          </w:p>
        </w:tc>
        <w:tc>
          <w:tcPr>
            <w:vMerge w:val="restart"/>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D">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E">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Indicate the study’s design with a commonly used term in the title or the abstract. Page 2</w:t>
            </w:r>
          </w:p>
        </w:tc>
      </w:tr>
      <w:tr>
        <w:trPr>
          <w:cantSplit w:val="0"/>
          <w:trHeight w:val="49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b</w:t>
            </w:r>
            <w:r w:rsidDel="00000000" w:rsidR="00000000" w:rsidRPr="00000000">
              <w:rPr>
                <w:rFonts w:ascii="Times New Roman" w:cs="Times New Roman" w:eastAsia="Times New Roman" w:hAnsi="Times New Roman"/>
                <w:sz w:val="20"/>
                <w:szCs w:val="20"/>
                <w:rtl w:val="0"/>
              </w:rPr>
              <w:t xml:space="preserve">) Provide in the abstract an informative and balanced summary of what was done and what was found Page 2</w:t>
            </w:r>
          </w:p>
        </w:tc>
      </w:tr>
      <w:tr>
        <w:trPr>
          <w:cantSplit w:val="0"/>
          <w:trHeight w:val="240"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Introduction</w:t>
            </w:r>
          </w:p>
        </w:tc>
      </w:tr>
      <w:tr>
        <w:trPr>
          <w:cantSplit w:val="0"/>
          <w:trHeight w:val="49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Background/rationale</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 the scientific background and rationale for the investigation being reported Page 3</w:t>
            </w:r>
          </w:p>
        </w:tc>
      </w:tr>
      <w:tr>
        <w:trPr>
          <w:cantSplit w:val="0"/>
          <w:trHeight w:val="25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Objectives</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 specific objectives, including any prespecified hypotheses Page 3</w:t>
            </w:r>
          </w:p>
        </w:tc>
      </w:tr>
      <w:tr>
        <w:trPr>
          <w:cantSplit w:val="0"/>
          <w:trHeight w:val="240"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Methods</w:t>
            </w:r>
          </w:p>
        </w:tc>
      </w:tr>
      <w:tr>
        <w:trPr>
          <w:cantSplit w:val="0"/>
          <w:trHeight w:val="25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 design</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key elements of study design early in the paper Page 4</w:t>
            </w:r>
          </w:p>
        </w:tc>
      </w:tr>
      <w:tr>
        <w:trPr>
          <w:cantSplit w:val="0"/>
          <w:trHeight w:val="49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Setting</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the setting, locations, and relevant dates, including periods of recruitment, exposure, follow-up, and data collection Page 4</w:t>
            </w:r>
          </w:p>
        </w:tc>
      </w:tr>
      <w:tr>
        <w:trPr>
          <w:cantSplit w:val="0"/>
          <w:trHeight w:val="2415" w:hRule="atLeast"/>
          <w:tblHeader w:val="0"/>
        </w:trPr>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Participants</w:t>
            </w:r>
          </w:p>
        </w:tc>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Cohort study</w:t>
            </w:r>
            <w:r w:rsidDel="00000000" w:rsidR="00000000" w:rsidRPr="00000000">
              <w:rPr>
                <w:rFonts w:ascii="Times New Roman" w:cs="Times New Roman" w:eastAsia="Times New Roman" w:hAnsi="Times New Roman"/>
                <w:sz w:val="20"/>
                <w:szCs w:val="20"/>
                <w:rtl w:val="0"/>
              </w:rPr>
              <w:t xml:space="preserve">—Give the eligibility criteria, and the sources and methods of selection of participants. Describe methods of follow-up Page 4</w:t>
            </w:r>
          </w:p>
          <w:p w:rsidR="00000000" w:rsidDel="00000000" w:rsidP="00000000" w:rsidRDefault="00000000" w:rsidRPr="00000000" w14:paraId="00000037">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Case-control study</w:t>
            </w:r>
            <w:r w:rsidDel="00000000" w:rsidR="00000000" w:rsidRPr="00000000">
              <w:rPr>
                <w:rFonts w:ascii="Times New Roman" w:cs="Times New Roman" w:eastAsia="Times New Roman" w:hAnsi="Times New Roman"/>
                <w:sz w:val="20"/>
                <w:szCs w:val="20"/>
                <w:rtl w:val="0"/>
              </w:rPr>
              <w:t xml:space="preserve">—Give the eligibility criteria, and the sources and methods of case ascertainment and control selection. Give the rationale for the choice of cases and controls</w:t>
            </w:r>
          </w:p>
          <w:p w:rsidR="00000000" w:rsidDel="00000000" w:rsidP="00000000" w:rsidRDefault="00000000" w:rsidRPr="00000000" w14:paraId="00000038">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Cross-sectional study</w:t>
            </w:r>
            <w:r w:rsidDel="00000000" w:rsidR="00000000" w:rsidRPr="00000000">
              <w:rPr>
                <w:rFonts w:ascii="Times New Roman" w:cs="Times New Roman" w:eastAsia="Times New Roman" w:hAnsi="Times New Roman"/>
                <w:sz w:val="20"/>
                <w:szCs w:val="20"/>
                <w:rtl w:val="0"/>
              </w:rPr>
              <w:t xml:space="preserve">—Give the eligibility criteria, and the sources and methods of selection of participants</w:t>
            </w:r>
          </w:p>
        </w:tc>
      </w:tr>
      <w:tr>
        <w:trPr>
          <w:cantSplit w:val="0"/>
          <w:trHeight w:val="121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b</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Cohort study</w:t>
            </w:r>
            <w:r w:rsidDel="00000000" w:rsidR="00000000" w:rsidRPr="00000000">
              <w:rPr>
                <w:rFonts w:ascii="Times New Roman" w:cs="Times New Roman" w:eastAsia="Times New Roman" w:hAnsi="Times New Roman"/>
                <w:sz w:val="20"/>
                <w:szCs w:val="20"/>
                <w:rtl w:val="0"/>
              </w:rPr>
              <w:t xml:space="preserve">—For matched studies, give matching criteria and number of exposed and unexposed</w:t>
            </w:r>
          </w:p>
          <w:p w:rsidR="00000000" w:rsidDel="00000000" w:rsidP="00000000" w:rsidRDefault="00000000" w:rsidRPr="00000000" w14:paraId="0000003C">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Case-control study</w:t>
            </w:r>
            <w:r w:rsidDel="00000000" w:rsidR="00000000" w:rsidRPr="00000000">
              <w:rPr>
                <w:rFonts w:ascii="Times New Roman" w:cs="Times New Roman" w:eastAsia="Times New Roman" w:hAnsi="Times New Roman"/>
                <w:sz w:val="20"/>
                <w:szCs w:val="20"/>
                <w:rtl w:val="0"/>
              </w:rPr>
              <w:t xml:space="preserve">—For matched studies, give matching criteria and the number of controls per case</w:t>
            </w:r>
          </w:p>
        </w:tc>
      </w:tr>
      <w:tr>
        <w:trPr>
          <w:cantSplit w:val="0"/>
          <w:trHeight w:val="49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Variables</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F">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Clearly define all outcomes, exposures, predictors, potential confounders, and effect modifiers. Give diagnostic criteria, if applicable Pages 4-5</w:t>
            </w:r>
          </w:p>
        </w:tc>
      </w:tr>
      <w:tr>
        <w:trPr>
          <w:cantSplit w:val="0"/>
          <w:trHeight w:val="73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0">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sources/ measurement</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1">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2">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For each variable of interest, give sources of data and details of methods of assessment (measurement). Describe comparability of assessment methods if there is more than one group. Pages 4-5</w:t>
            </w:r>
          </w:p>
        </w:tc>
      </w:tr>
      <w:tr>
        <w:trPr>
          <w:cantSplit w:val="0"/>
          <w:trHeight w:val="25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Bias</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4">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any efforts to address potential sources of bias. Page 5</w:t>
            </w:r>
          </w:p>
        </w:tc>
      </w:tr>
      <w:tr>
        <w:trPr>
          <w:cantSplit w:val="0"/>
          <w:trHeight w:val="25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 size</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 how the study size was arrived at Page 5</w:t>
            </w:r>
          </w:p>
        </w:tc>
      </w:tr>
      <w:tr>
        <w:trPr>
          <w:cantSplit w:val="0"/>
          <w:trHeight w:val="49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Quantitative variables</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 how quantitative variables were handled in the analyses. If applicable, describe which groupings were chosen and why Page 5</w:t>
            </w:r>
          </w:p>
        </w:tc>
      </w:tr>
      <w:tr>
        <w:trPr>
          <w:cantSplit w:val="0"/>
          <w:trHeight w:val="495"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Statistical methods</w:t>
            </w:r>
          </w:p>
        </w:tc>
        <w:tc>
          <w:tcPr>
            <w:vMerge w:val="restart"/>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Describe all statistical methods, including those used to control for confounding Page 5</w:t>
            </w:r>
          </w:p>
        </w:tc>
      </w:tr>
      <w:tr>
        <w:trPr>
          <w:cantSplit w:val="0"/>
          <w:trHeight w:val="49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b</w:t>
            </w:r>
            <w:r w:rsidDel="00000000" w:rsidR="00000000" w:rsidRPr="00000000">
              <w:rPr>
                <w:rFonts w:ascii="Times New Roman" w:cs="Times New Roman" w:eastAsia="Times New Roman" w:hAnsi="Times New Roman"/>
                <w:sz w:val="20"/>
                <w:szCs w:val="20"/>
                <w:rtl w:val="0"/>
              </w:rPr>
              <w:t xml:space="preserve">) Describe any methods used to examine subgroups and interactions Page 5</w:t>
            </w:r>
          </w:p>
        </w:tc>
      </w:tr>
      <w:tr>
        <w:trPr>
          <w:cantSplit w:val="0"/>
          <w:trHeight w:val="25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4">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c</w:t>
            </w:r>
            <w:r w:rsidDel="00000000" w:rsidR="00000000" w:rsidRPr="00000000">
              <w:rPr>
                <w:rFonts w:ascii="Times New Roman" w:cs="Times New Roman" w:eastAsia="Times New Roman" w:hAnsi="Times New Roman"/>
                <w:sz w:val="20"/>
                <w:szCs w:val="20"/>
                <w:rtl w:val="0"/>
              </w:rPr>
              <w:t xml:space="preserve">) Explain how missing data were addressed NA</w:t>
            </w:r>
          </w:p>
        </w:tc>
      </w:tr>
      <w:tr>
        <w:trPr>
          <w:cantSplit w:val="0"/>
          <w:trHeight w:val="193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7">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Cohort study</w:t>
            </w:r>
            <w:r w:rsidDel="00000000" w:rsidR="00000000" w:rsidRPr="00000000">
              <w:rPr>
                <w:rFonts w:ascii="Times New Roman" w:cs="Times New Roman" w:eastAsia="Times New Roman" w:hAnsi="Times New Roman"/>
                <w:sz w:val="20"/>
                <w:szCs w:val="20"/>
                <w:rtl w:val="0"/>
              </w:rPr>
              <w:t xml:space="preserve">—If applicable, explain how loss to follow-up was addressed Page 4-5</w:t>
            </w:r>
          </w:p>
          <w:p w:rsidR="00000000" w:rsidDel="00000000" w:rsidP="00000000" w:rsidRDefault="00000000" w:rsidRPr="00000000" w14:paraId="00000058">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Case-control study</w:t>
            </w:r>
            <w:r w:rsidDel="00000000" w:rsidR="00000000" w:rsidRPr="00000000">
              <w:rPr>
                <w:rFonts w:ascii="Times New Roman" w:cs="Times New Roman" w:eastAsia="Times New Roman" w:hAnsi="Times New Roman"/>
                <w:sz w:val="20"/>
                <w:szCs w:val="20"/>
                <w:rtl w:val="0"/>
              </w:rPr>
              <w:t xml:space="preserve">—If applicable, explain how matching of cases and controls was addressed</w:t>
            </w:r>
          </w:p>
          <w:p w:rsidR="00000000" w:rsidDel="00000000" w:rsidP="00000000" w:rsidRDefault="00000000" w:rsidRPr="00000000" w14:paraId="00000059">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Cross-sectional study</w:t>
            </w:r>
            <w:r w:rsidDel="00000000" w:rsidR="00000000" w:rsidRPr="00000000">
              <w:rPr>
                <w:rFonts w:ascii="Times New Roman" w:cs="Times New Roman" w:eastAsia="Times New Roman" w:hAnsi="Times New Roman"/>
                <w:sz w:val="20"/>
                <w:szCs w:val="20"/>
                <w:rtl w:val="0"/>
              </w:rPr>
              <w:t xml:space="preserve">—If applicable, describe analytical methods taking account of sampling strategy</w:t>
            </w:r>
          </w:p>
        </w:tc>
      </w:tr>
      <w:tr>
        <w:trPr>
          <w:cantSplit w:val="0"/>
          <w:trHeight w:val="25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C">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u w:val="single"/>
                <w:rtl w:val="0"/>
              </w:rPr>
              <w:t xml:space="preserve">e</w:t>
            </w:r>
            <w:r w:rsidDel="00000000" w:rsidR="00000000" w:rsidRPr="00000000">
              <w:rPr>
                <w:rFonts w:ascii="Times New Roman" w:cs="Times New Roman" w:eastAsia="Times New Roman" w:hAnsi="Times New Roman"/>
                <w:sz w:val="20"/>
                <w:szCs w:val="20"/>
                <w:rtl w:val="0"/>
              </w:rPr>
              <w:t xml:space="preserve">) Describe any sensitivity analyses NA</w:t>
            </w:r>
          </w:p>
        </w:tc>
      </w:tr>
    </w:tbl>
    <w:p w:rsidR="00000000" w:rsidDel="00000000" w:rsidP="00000000" w:rsidRDefault="00000000" w:rsidRPr="00000000" w14:paraId="0000005D">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10"/>
        <w:gridCol w:w="6900"/>
        <w:tblGridChange w:id="0">
          <w:tblGrid>
            <w:gridCol w:w="1500"/>
            <w:gridCol w:w="510"/>
            <w:gridCol w:w="6900"/>
          </w:tblGrid>
        </w:tblGridChange>
      </w:tblGrid>
      <w:tr>
        <w:trPr>
          <w:cantSplit w:val="0"/>
          <w:trHeight w:val="240"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E">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Results</w:t>
            </w:r>
          </w:p>
        </w:tc>
      </w:tr>
      <w:tr>
        <w:trPr>
          <w:cantSplit w:val="0"/>
          <w:trHeight w:val="735" w:hRule="atLeast"/>
          <w:tblHeader w:val="0"/>
        </w:trPr>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Participants</w:t>
            </w:r>
          </w:p>
        </w:tc>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3">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Report numbers of individuals at each stage of study—eg numbers potentially eligible, examined for eligibility, confirmed eligible, included in the study, completing follow-up, and analysed Pages 5-6</w:t>
            </w:r>
          </w:p>
        </w:tc>
      </w:tr>
      <w:tr>
        <w:trPr>
          <w:cantSplit w:val="0"/>
          <w:trHeight w:val="25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Give reasons for non-participation at each stage Page 6</w:t>
            </w:r>
          </w:p>
        </w:tc>
      </w:tr>
      <w:tr>
        <w:trPr>
          <w:cantSplit w:val="0"/>
          <w:trHeight w:val="25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9">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Consider use of a flow diagram Figure 1</w:t>
            </w:r>
          </w:p>
        </w:tc>
      </w:tr>
      <w:tr>
        <w:trPr>
          <w:cantSplit w:val="0"/>
          <w:trHeight w:val="495" w:hRule="atLeast"/>
          <w:tblHeader w:val="0"/>
        </w:trPr>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A">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Descriptive data</w:t>
            </w:r>
          </w:p>
        </w:tc>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B">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Give characteristics of study participants (eg demographic, clinical, social) and information on exposures and potential confounders Pages 6, Table 1</w:t>
            </w:r>
          </w:p>
        </w:tc>
      </w:tr>
      <w:tr>
        <w:trPr>
          <w:cantSplit w:val="0"/>
          <w:trHeight w:val="49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F">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Indicate number of participants with missing data for each variable of interest NA</w:t>
            </w:r>
          </w:p>
        </w:tc>
      </w:tr>
      <w:tr>
        <w:trPr>
          <w:cantSplit w:val="0"/>
          <w:trHeight w:val="25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w:t>
            </w:r>
            <w:r w:rsidDel="00000000" w:rsidR="00000000" w:rsidRPr="00000000">
              <w:rPr>
                <w:rFonts w:ascii="Times New Roman" w:cs="Times New Roman" w:eastAsia="Times New Roman" w:hAnsi="Times New Roman"/>
                <w:i w:val="1"/>
                <w:iCs w:val="1"/>
                <w:sz w:val="20"/>
                <w:szCs w:val="20"/>
                <w:rtl w:val="0"/>
              </w:rPr>
              <w:t xml:space="preserve">Cohort study</w:t>
            </w:r>
            <w:r w:rsidDel="00000000" w:rsidR="00000000" w:rsidRPr="00000000">
              <w:rPr>
                <w:rFonts w:ascii="Times New Roman" w:cs="Times New Roman" w:eastAsia="Times New Roman" w:hAnsi="Times New Roman"/>
                <w:sz w:val="20"/>
                <w:szCs w:val="20"/>
                <w:rtl w:val="0"/>
              </w:rPr>
              <w:t xml:space="preserve">—Summarise follow-up time (eg, average and total amount)</w:t>
            </w:r>
          </w:p>
        </w:tc>
      </w:tr>
      <w:tr>
        <w:trPr>
          <w:cantSplit w:val="0"/>
          <w:trHeight w:val="495" w:hRule="atLeast"/>
          <w:tblHeader w:val="0"/>
        </w:trPr>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Outcome data</w:t>
            </w:r>
          </w:p>
        </w:tc>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Cohort study</w:t>
            </w:r>
            <w:r w:rsidDel="00000000" w:rsidR="00000000" w:rsidRPr="00000000">
              <w:rPr>
                <w:rFonts w:ascii="Times New Roman" w:cs="Times New Roman" w:eastAsia="Times New Roman" w:hAnsi="Times New Roman"/>
                <w:sz w:val="20"/>
                <w:szCs w:val="20"/>
                <w:rtl w:val="0"/>
              </w:rPr>
              <w:t xml:space="preserve">—Report numbers of outcome events or summary measures over time Page 6</w:t>
            </w:r>
          </w:p>
        </w:tc>
      </w:tr>
      <w:tr>
        <w:trPr>
          <w:cantSplit w:val="0"/>
          <w:trHeight w:val="49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8">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Case-control study—</w:t>
            </w:r>
            <w:r w:rsidDel="00000000" w:rsidR="00000000" w:rsidRPr="00000000">
              <w:rPr>
                <w:rFonts w:ascii="Times New Roman" w:cs="Times New Roman" w:eastAsia="Times New Roman" w:hAnsi="Times New Roman"/>
                <w:sz w:val="20"/>
                <w:szCs w:val="20"/>
                <w:rtl w:val="0"/>
              </w:rPr>
              <w:t xml:space="preserve">Report numbers in each exposure category, or summary measures of exposure</w:t>
            </w:r>
          </w:p>
        </w:tc>
      </w:tr>
      <w:tr>
        <w:trPr>
          <w:cantSplit w:val="0"/>
          <w:trHeight w:val="300"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B">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Cross-sectional study—</w:t>
            </w:r>
            <w:r w:rsidDel="00000000" w:rsidR="00000000" w:rsidRPr="00000000">
              <w:rPr>
                <w:rFonts w:ascii="Times New Roman" w:cs="Times New Roman" w:eastAsia="Times New Roman" w:hAnsi="Times New Roman"/>
                <w:sz w:val="20"/>
                <w:szCs w:val="20"/>
                <w:rtl w:val="0"/>
              </w:rPr>
              <w:t xml:space="preserve">Report numbers of outcome events or summary measures</w:t>
            </w:r>
          </w:p>
        </w:tc>
      </w:tr>
      <w:tr>
        <w:trPr>
          <w:cantSplit w:val="0"/>
          <w:trHeight w:val="735" w:hRule="atLeast"/>
          <w:tblHeader w:val="0"/>
        </w:trPr>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C">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Main results</w:t>
            </w:r>
          </w:p>
        </w:tc>
        <w:tc>
          <w:tcPr>
            <w:vMerge w:val="restart"/>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D">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E">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Give unadjusted estimates and, if applicable, confounder-adjusted estimates and their precision (eg, 95% confidence interval). Make clear which confounders were adjusted for and why they were included Pages 7</w:t>
            </w:r>
          </w:p>
        </w:tc>
      </w:tr>
      <w:tr>
        <w:trPr>
          <w:cantSplit w:val="0"/>
          <w:trHeight w:val="49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b</w:t>
            </w:r>
            <w:r w:rsidDel="00000000" w:rsidR="00000000" w:rsidRPr="00000000">
              <w:rPr>
                <w:rFonts w:ascii="Times New Roman" w:cs="Times New Roman" w:eastAsia="Times New Roman" w:hAnsi="Times New Roman"/>
                <w:sz w:val="20"/>
                <w:szCs w:val="20"/>
                <w:rtl w:val="0"/>
              </w:rPr>
              <w:t xml:space="preserve">) Report category boundaries when continuous variables were categorized Pages 7</w:t>
            </w:r>
          </w:p>
        </w:tc>
      </w:tr>
      <w:tr>
        <w:trPr>
          <w:cantSplit w:val="0"/>
          <w:trHeight w:val="495" w:hRule="atLeast"/>
          <w:tblHeader w:val="0"/>
        </w:trPr>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pStyle w:val="Heading1"/>
              <w:rPr/>
            </w:pPr>
            <w:bookmarkStart w:colFirst="0" w:colLast="0" w:name="_7kdg177ysi1t" w:id="3"/>
            <w:bookmarkEnd w:id="3"/>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pStyle w:val="Heading1"/>
              <w:rPr/>
            </w:pPr>
            <w:bookmarkStart w:colFirst="0" w:colLast="0" w:name="_7kdg177ysi1t" w:id="3"/>
            <w:bookmarkEnd w:id="3"/>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4">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c</w:t>
            </w:r>
            <w:r w:rsidDel="00000000" w:rsidR="00000000" w:rsidRPr="00000000">
              <w:rPr>
                <w:rFonts w:ascii="Times New Roman" w:cs="Times New Roman" w:eastAsia="Times New Roman" w:hAnsi="Times New Roman"/>
                <w:sz w:val="20"/>
                <w:szCs w:val="20"/>
                <w:rtl w:val="0"/>
              </w:rPr>
              <w:t xml:space="preserve">) If relevant, consider translating estimates of relative risk into absolute risk for a meaningful time period NA</w:t>
            </w:r>
          </w:p>
        </w:tc>
      </w:tr>
      <w:tr>
        <w:trPr>
          <w:cantSplit w:val="0"/>
          <w:trHeight w:val="49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analyses</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6">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 other analyses done—eg analyses of subgroups and interactions, and sensitivity analyses Page 8</w:t>
            </w:r>
          </w:p>
        </w:tc>
      </w:tr>
      <w:tr>
        <w:trPr>
          <w:cantSplit w:val="0"/>
          <w:trHeight w:val="240"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w:t>
            </w:r>
          </w:p>
        </w:tc>
      </w:tr>
      <w:tr>
        <w:trPr>
          <w:cantSplit w:val="0"/>
          <w:trHeight w:val="25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Key results</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D">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Summarise key results with reference to study objectives Page 9</w:t>
            </w:r>
          </w:p>
        </w:tc>
      </w:tr>
      <w:tr>
        <w:trPr>
          <w:cantSplit w:val="0"/>
          <w:trHeight w:val="49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Limitations</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F">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0">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 limitations of the study, taking into account sources of potential bias or imprecision. Discuss both direction and magnitude of any potential bias Page 12</w:t>
            </w:r>
          </w:p>
        </w:tc>
      </w:tr>
      <w:tr>
        <w:trPr>
          <w:cantSplit w:val="0"/>
          <w:trHeight w:val="73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1">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Interpretation</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2">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 a cautious overall interpretation of results considering objectives, limitations, multiplicity of analyses, results from similar studies, and other relevant evidence Pages 10-12</w:t>
            </w:r>
          </w:p>
        </w:tc>
      </w:tr>
      <w:tr>
        <w:trPr>
          <w:cantSplit w:val="0"/>
          <w:trHeight w:val="25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Generalisability</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5">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 the generalisability (external validity) of the study results Page 12</w:t>
            </w:r>
          </w:p>
        </w:tc>
      </w:tr>
      <w:tr>
        <w:trPr>
          <w:cantSplit w:val="0"/>
          <w:trHeight w:val="240"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7">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information</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Funding</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B">
            <w:pPr>
              <w:spacing w:after="0" w:before="0" w:lineRule="auto"/>
              <w:ind w:righ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C">
            <w:pPr>
              <w:spacing w:after="0" w:before="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 the source of funding and the role of the funders for the present study and, if applicable, for the original study on which the present article is based NA</w:t>
            </w:r>
          </w:p>
        </w:tc>
      </w:tr>
    </w:tbl>
    <w:p w:rsidR="00000000" w:rsidDel="00000000" w:rsidP="00000000" w:rsidRDefault="00000000" w:rsidRPr="00000000" w14:paraId="0000009D">
      <w:pPr>
        <w:pStyle w:val="Heading1"/>
        <w:spacing w:after="240" w:before="240" w:lineRule="auto"/>
        <w:ind w:right="0"/>
        <w:rPr>
          <w:rFonts w:ascii="Arial" w:cs="Arial" w:eastAsia="Arial" w:hAnsi="Arial"/>
          <w:sz w:val="20"/>
          <w:szCs w:val="20"/>
        </w:rPr>
      </w:pPr>
      <w:bookmarkStart w:colFirst="0" w:colLast="0" w:name="_7kdg177ysi1t" w:id="3"/>
      <w:bookmarkEnd w:id="3"/>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E">
      <w:pPr>
        <w:spacing w:after="240" w:before="24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 information separately for cases and controls in case-control studies and, if applicable, for exposed and unexposed groups in cohort and cross-sectional studies.</w:t>
      </w:r>
    </w:p>
    <w:p w:rsidR="00000000" w:rsidDel="00000000" w:rsidP="00000000" w:rsidRDefault="00000000" w:rsidRPr="00000000" w14:paraId="0000009F">
      <w:pPr>
        <w:spacing w:after="240" w:before="240" w:lineRule="auto"/>
        <w:ind w:right="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w:t>
      </w:r>
    </w:p>
    <w:p w:rsidR="00000000" w:rsidDel="00000000" w:rsidP="00000000" w:rsidRDefault="00000000" w:rsidRPr="00000000" w14:paraId="000000A0">
      <w:pPr>
        <w:rPr/>
      </w:pPr>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1"/>
        <w:rPr>
          <w:rFonts w:ascii="Times New Roman" w:cs="Times New Roman" w:eastAsia="Times New Roman" w:hAnsi="Times New Roman"/>
          <w:sz w:val="24"/>
          <w:szCs w:val="24"/>
        </w:rPr>
      </w:pPr>
      <w:bookmarkStart w:colFirst="0" w:colLast="0" w:name="_bfzxkslaovxd" w:id="4"/>
      <w:bookmarkEnd w:id="4"/>
      <w:r w:rsidDel="00000000" w:rsidR="00000000" w:rsidRPr="00000000">
        <w:rPr>
          <w:rtl w:val="0"/>
        </w:rPr>
        <w:t xml:space="preserve">eTable 1 - Age-Specific Reference Ranges for Complete Blood Count (CBC) Parameters in Pediatric Patients</w:t>
      </w:r>
      <w:r w:rsidDel="00000000" w:rsidR="00000000" w:rsidRPr="00000000">
        <w:rPr>
          <w:rtl w:val="0"/>
        </w:rPr>
      </w:r>
    </w:p>
    <w:tbl>
      <w:tblPr>
        <w:tblStyle w:val="Table3"/>
        <w:tblW w:w="961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610"/>
        <w:gridCol w:w="1167.5"/>
        <w:gridCol w:w="1167.5"/>
        <w:gridCol w:w="1167.5"/>
        <w:gridCol w:w="1167.5"/>
        <w:gridCol w:w="1167.5"/>
        <w:gridCol w:w="1167.5"/>
        <w:tblGridChange w:id="0">
          <w:tblGrid>
            <w:gridCol w:w="2610"/>
            <w:gridCol w:w="1167.5"/>
            <w:gridCol w:w="1167.5"/>
            <w:gridCol w:w="1167.5"/>
            <w:gridCol w:w="1167.5"/>
            <w:gridCol w:w="1167.5"/>
            <w:gridCol w:w="1167.5"/>
          </w:tblGrid>
        </w:tblGridChange>
      </w:tblGrid>
      <w:tr>
        <w:trPr>
          <w:cantSplit w:val="0"/>
          <w:trHeight w:val="16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Specific CBC Parameters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Hemoglobin (g/dL)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Hematocrit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MCV (µM </w:t>
            </w:r>
            <w:r w:rsidDel="00000000" w:rsidR="00000000" w:rsidRPr="00000000">
              <w:rPr>
                <w:rFonts w:ascii="Times New Roman" w:cs="Times New Roman" w:eastAsia="Times New Roman" w:hAnsi="Times New Roman"/>
                <w:b w:val="1"/>
                <w:bCs w:val="1"/>
                <w:sz w:val="20"/>
                <w:szCs w:val="20"/>
                <w:vertAlign w:val="superscript"/>
                <w:rtl w:val="0"/>
              </w:rPr>
              <w:t xml:space="preserve">3 </w:t>
            </w:r>
            <w:r w:rsidDel="00000000" w:rsidR="00000000" w:rsidRPr="00000000">
              <w:rPr>
                <w:rFonts w:ascii="Times New Roman" w:cs="Times New Roman" w:eastAsia="Times New Roman" w:hAnsi="Times New Roman"/>
                <w:b w:val="1"/>
                <w:bCs w:val="1"/>
                <w:sz w:val="20"/>
                <w:szCs w:val="20"/>
                <w:rtl w:val="0"/>
              </w:rPr>
              <w:t xml:space="preserve">)</w:t>
            </w:r>
          </w:p>
        </w:tc>
      </w:tr>
      <w:tr>
        <w:trPr>
          <w:cantSplit w:val="0"/>
          <w:trHeight w:val="17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widowControl w:val="0"/>
              <w:spacing w:line="276" w:lineRule="auto"/>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Lower limit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Lower limit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Lower limit</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Gestational age 26-30 w</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13.4</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34.9</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118.2</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106.7</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Gestational age 28 w</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Gestational age 32 w</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118</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 newborn</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108</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Day 1 – 3 </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108</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week</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13.4</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month</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13.9</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10.7</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month</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month</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6-24 month</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yo</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yo</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r>
      <w:tr>
        <w:trPr>
          <w:cantSplit w:val="0"/>
          <w:trHeight w:val="1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8-11 yo</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12-14 yo female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12-14 yo female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tc>
      </w:tr>
      <w:tr>
        <w:trPr>
          <w:cantSplit w:val="0"/>
          <w:trHeight w:val="1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15-18 yo female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15-18 yo male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w:t>
            </w:r>
          </w:p>
        </w:tc>
      </w:tr>
    </w:tbl>
    <w:p w:rsidR="00000000" w:rsidDel="00000000" w:rsidP="00000000" w:rsidRDefault="00000000" w:rsidRPr="00000000" w14:paraId="00000127">
      <w:pPr>
        <w:widowControl w:val="0"/>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spacing w:line="48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1"/>
        <w:spacing w:after="0" w:before="0" w:lineRule="auto"/>
        <w:rPr/>
      </w:pPr>
      <w:bookmarkStart w:colFirst="0" w:colLast="0" w:name="_3lb9m89pba6d" w:id="5"/>
      <w:bookmarkEnd w:id="5"/>
      <w:r w:rsidDel="00000000" w:rsidR="00000000" w:rsidRPr="00000000">
        <w:rPr>
          <w:rtl w:val="0"/>
        </w:rPr>
        <w:t xml:space="preserve">eTable 2 - Age Group Categories Categorical Post-hoc Analysis with Other Categorical Variables</w:t>
      </w:r>
    </w:p>
    <w:tbl>
      <w:tblPr>
        <w:tblStyle w:val="Table4"/>
        <w:tblW w:w="9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1740"/>
        <w:gridCol w:w="1740"/>
        <w:gridCol w:w="1740"/>
        <w:gridCol w:w="1740"/>
        <w:tblGridChange w:id="0">
          <w:tblGrid>
            <w:gridCol w:w="2520"/>
            <w:gridCol w:w="1740"/>
            <w:gridCol w:w="1740"/>
            <w:gridCol w:w="1740"/>
            <w:gridCol w:w="1740"/>
          </w:tblGrid>
        </w:tblGridChange>
      </w:tblGrid>
      <w:tr>
        <w:trPr>
          <w:cantSplit w:val="0"/>
          <w:trHeight w:val="315.212598425196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2A">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Group and Categorical Variables: Post-hoc OR (Z) Analysis</w:t>
            </w:r>
          </w:p>
        </w:tc>
        <w:tc>
          <w:tcPr>
            <w:vMerge w:val="restart"/>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2B">
            <w:pPr>
              <w:ind w:left="141.73228346456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Group 0-2,</w:t>
            </w:r>
          </w:p>
          <w:p w:rsidR="00000000" w:rsidDel="00000000" w:rsidP="00000000" w:rsidRDefault="00000000" w:rsidRPr="00000000" w14:paraId="0000012C">
            <w:pPr>
              <w:ind w:left="141.73228346456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 OR, (Z) </w:t>
            </w:r>
          </w:p>
        </w:tc>
        <w:tc>
          <w:tcPr>
            <w:vMerge w:val="restart"/>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2D">
            <w:pPr>
              <w:ind w:left="141.73228346456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Group 2-6,</w:t>
            </w:r>
          </w:p>
          <w:p w:rsidR="00000000" w:rsidDel="00000000" w:rsidP="00000000" w:rsidRDefault="00000000" w:rsidRPr="00000000" w14:paraId="0000012E">
            <w:pPr>
              <w:ind w:left="141.73228346456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 OR, (Z)</w:t>
            </w:r>
          </w:p>
        </w:tc>
        <w:tc>
          <w:tcPr>
            <w:vMerge w:val="restart"/>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2F">
            <w:pPr>
              <w:ind w:left="141.73228346456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Group 6-12,</w:t>
            </w:r>
          </w:p>
          <w:p w:rsidR="00000000" w:rsidDel="00000000" w:rsidP="00000000" w:rsidRDefault="00000000" w:rsidRPr="00000000" w14:paraId="00000130">
            <w:pPr>
              <w:ind w:left="141.73228346456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 OR, (Z)</w:t>
            </w:r>
          </w:p>
        </w:tc>
        <w:tc>
          <w:tcPr>
            <w:vMerge w:val="restart"/>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1">
            <w:pPr>
              <w:ind w:left="141.73228346456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Group &gt;12,</w:t>
            </w:r>
          </w:p>
          <w:p w:rsidR="00000000" w:rsidDel="00000000" w:rsidP="00000000" w:rsidRDefault="00000000" w:rsidRPr="00000000" w14:paraId="00000132">
            <w:pPr>
              <w:ind w:left="141.73228346456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 OR, (Z)</w:t>
            </w:r>
          </w:p>
        </w:tc>
      </w:tr>
      <w:tr>
        <w:trPr>
          <w:cantSplit w:val="0"/>
          <w:trHeight w:val="315.212598425196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3">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4">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5">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6">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7">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8">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Admitting categories</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9">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A">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D">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Postoperative Monitoring</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 1.37, (2.82)</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 0.89, (-1.03)</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107, 1.16, (1.14)</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123, 0.72, (-2.75)</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2">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Renal Failure</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0.66, (-0.82)</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2.11, (1.87)</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1.28, (0.52)</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0.45, (-1.46)</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7">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Unclassifiable group</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0.27, (-5.52)</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0.56, (-3.1)</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 2.26, (5.17)</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 1.84, (4.13)</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C">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Circulatory insufficiency</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1.27, (1.49)</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0.54, (-3.17)</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4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0.9, (-0.53)</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 1.39, (2.13)</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1">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Hematology and Oncology</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0.13, (-1.98)</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1.33, (0.63)</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2.0, (1.5)</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1.17, (0.33)</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6">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Bleeding and Anemia</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1.63, (1.28)</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1.22, (0.5)</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1.06, (0.13)</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0.38, (-1.8)</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B">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CNS Dysfunction</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1.06, (0.32)</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1.04, (0.22)</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1.67, (2.61)</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5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0.54, (-2.78)</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0">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Septic Shock</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2.05, (2.69)</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1.04, (0.12)</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0.55, (-1.46)</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0.62, (-1.49)</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5">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Respiratory Failure</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165, 3.64, (10.32)</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1.13, (0.9)</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0.39, (-4.73)</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41, 0.31, (-6.77)</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A">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Trauma</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0.32, (-5.04)</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 1.68, (3.39)</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1.88, (3.89)</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0.76, (-1.59)</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6F">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Intoxication</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7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15, 0.15, (-6.9)</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7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 1.31, (1.81)</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7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0.19, (-5.55)</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7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147, 4.39, (10.6)</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74">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Anemia</w:t>
            </w:r>
          </w:p>
        </w:tc>
        <w:tc>
          <w:tcPr>
            <w:tcBorders>
              <w:top w:color="000000" w:space="0" w:sz="4" w:val="single"/>
              <w:left w:color="000000" w:space="0" w:sz="4" w:val="single"/>
              <w:bottom w:color="000000" w:space="0" w:sz="4" w:val="single"/>
              <w:right w:color="000000" w:space="0" w:sz="4" w:val="single"/>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175">
            <w:pPr>
              <w:ind w:left="141.73228346456688" w:firstLine="0"/>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7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7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78">
            <w:pPr>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179">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 anemia at admission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53, 0.49, (-6.85)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1.07, (0.65)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1.14, (1.15)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8, 1.67, (5.08)</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17E">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Anemia at admission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204, 2.03, (6.85)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 0.94, (-0.65)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0.88, (-1.15)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62, 0.6, (-5.08)</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3">
            <w:pPr>
              <w:widowControl w:val="0"/>
              <w:ind w:left="141.73228346456688"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Admitting type</w:t>
            </w:r>
          </w:p>
          <w:p w:rsidR="00000000" w:rsidDel="00000000" w:rsidP="00000000" w:rsidRDefault="00000000" w:rsidRPr="00000000" w14:paraId="00000184">
            <w:pPr>
              <w:widowControl w:val="0"/>
              <w:jc w:val="left"/>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5">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9">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Surgical Departments</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A">
            <w:pPr>
              <w:jc w:val="center"/>
              <w:rPr>
                <w:rFonts w:ascii="Times New Roman" w:cs="Times New Roman" w:eastAsia="Times New Roman" w:hAnsi="Times New Roman"/>
                <w:b w:val="1"/>
                <w:bCs w:val="1"/>
                <w:i w:val="1"/>
                <w:iCs w:val="1"/>
                <w:sz w:val="20"/>
                <w:szCs w:val="20"/>
                <w:vertAlign w:val="superscript"/>
              </w:rPr>
            </w:pPr>
            <w:r w:rsidDel="00000000" w:rsidR="00000000" w:rsidRPr="00000000">
              <w:rPr>
                <w:rFonts w:ascii="Times New Roman" w:cs="Times New Roman" w:eastAsia="Times New Roman" w:hAnsi="Times New Roman"/>
                <w:b w:val="1"/>
                <w:bCs w:val="1"/>
                <w:sz w:val="20"/>
                <w:szCs w:val="20"/>
                <w:rtl w:val="0"/>
              </w:rPr>
              <w:t xml:space="preserve">167, 1.7, (4.69)</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107, 0.76, (-2.2)</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 1.09, (0.65)</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0.69, (-3.02)</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E">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Pediatrics Departments</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8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 1.33, (2.09)</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1.04, (0.28)</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0.86, (-0.91)</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 0.81, (-1.52)</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3">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Pediatric Emergency Room</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267, 0.56, (-5.64)</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334, 1.2, (1.72)</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234, 1.01, (0.1)</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387, 1.48, (3.76)</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8">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Malnutrition categories</w:t>
            </w:r>
          </w:p>
          <w:p w:rsidR="00000000" w:rsidDel="00000000" w:rsidP="00000000" w:rsidRDefault="00000000" w:rsidRPr="00000000" w14:paraId="00000199">
            <w:pPr>
              <w:ind w:left="141.73228346456688" w:firstLine="0"/>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A">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C">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D">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E">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Severely underweight</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9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95, 2.08, (5.09)</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0.48, (-3.93)</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0.94, (-0.36)</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0.88, (-0.85)</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3">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Underweight</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92, 2.45, (5.99)</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0.74, (-1.71)</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0.69, (-1.83)</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0.62, (-2.7)</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8">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Normal</w:t>
            </w:r>
          </w:p>
        </w:tc>
        <w:tc>
          <w:tcPr>
            <w:tcBorders>
              <w:top w:color="000000" w:space="0" w:sz="4" w:val="single"/>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286, 0.62, (-4.71)</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349, 1.28, (2.32)</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246, 1.09, (0.71)</w:t>
            </w:r>
          </w:p>
        </w:tc>
        <w:tc>
          <w:tcPr>
            <w:tcBorders>
              <w:top w:color="000000" w:space="0" w:sz="4" w:val="single"/>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377, 1.2, (1.73)</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D">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At risk of overweight</w:t>
            </w:r>
          </w:p>
        </w:tc>
        <w:tc>
          <w:tcPr>
            <w:tcBorders>
              <w:top w:color="000000" w:space="0" w:sz="0" w:val="nil"/>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0.58, (-2.87)</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1.0, (0.03)</w:t>
            </w:r>
          </w:p>
        </w:tc>
        <w:tc>
          <w:tcPr>
            <w:tcBorders>
              <w:top w:color="000000" w:space="0" w:sz="0" w:val="nil"/>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0.99, (-0.05)</w:t>
            </w:r>
          </w:p>
        </w:tc>
        <w:tc>
          <w:tcPr>
            <w:tcBorders>
              <w:top w:color="000000" w:space="0" w:sz="0" w:val="nil"/>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 1.54, (2.82)</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2">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Overweight</w:t>
            </w:r>
          </w:p>
        </w:tc>
        <w:tc>
          <w:tcPr>
            <w:tcBorders>
              <w:top w:color="000000" w:space="0" w:sz="0" w:val="nil"/>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0.38, (-2.72)</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1.57, (1.82)</w:t>
            </w:r>
          </w:p>
        </w:tc>
        <w:tc>
          <w:tcPr>
            <w:tcBorders>
              <w:top w:color="000000" w:space="0" w:sz="0" w:val="nil"/>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1.97, (2.63)</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0.68, (-1.35)</w:t>
            </w:r>
          </w:p>
        </w:tc>
      </w:tr>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7">
            <w:pPr>
              <w:ind w:left="141.7322834645668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Obese</w:t>
            </w:r>
          </w:p>
        </w:tc>
        <w:tc>
          <w:tcPr>
            <w:tcBorders>
              <w:top w:color="000000" w:space="0" w:sz="0" w:val="nil"/>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1.88, (1.54)</w:t>
            </w:r>
          </w:p>
        </w:tc>
        <w:tc>
          <w:tcPr>
            <w:tcBorders>
              <w:top w:color="000000" w:space="0" w:sz="0" w:val="nil"/>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3.14, (2.83)</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0.37, (-1.36)</w:t>
            </w:r>
          </w:p>
        </w:tc>
        <w:tc>
          <w:tcPr>
            <w:tcBorders>
              <w:top w:color="000000" w:space="0" w:sz="0" w:val="nil"/>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1BC">
      <w:pPr>
        <w:ind w:right="-466.0629921259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this study, subsequent to the application of the Chi-Square test for assessing multiple categorical variables among groups, a specific type of post-hoc analysis employing the ransacking method was conducted. This methodology entails the comparison of the computed Chi-Square critical values, which are adjusted based on the alpha significance level, against the respective z-values determined by the degree of freedom (dof). For pairwise 2x2 tables (dof = 1), tests yielding values greater than ±1.96 were deemed significant, and such findings are denoted with an asterisk ‘</w:t>
      </w:r>
      <w:r w:rsidDel="00000000" w:rsidR="00000000" w:rsidRPr="00000000">
        <w:rPr>
          <w:rFonts w:ascii="Times New Roman" w:cs="Times New Roman" w:eastAsia="Times New Roman" w:hAnsi="Times New Roman"/>
          <w:i w:val="1"/>
          <w:iCs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in the corresponding cells. Furthermore, adjusted z-values are considered significant for the Admitting categories group (dof=40) if they exceed ±6.62, for the Anemi status at admission (dof=4) if they exceed ±2.8, for the Admitting type group (dof=6) if they exceed ±3.55, and for the z group (dof=15) if they exceed ±5.0, with these significant z-scores being highlighted in bold within the table.</w:t>
      </w:r>
    </w:p>
    <w:p w:rsidR="00000000" w:rsidDel="00000000" w:rsidP="00000000" w:rsidRDefault="00000000" w:rsidRPr="00000000" w14:paraId="000001BD">
      <w:pPr>
        <w:ind w:right="-466.06299212598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E">
      <w:pPr>
        <w:ind w:right="-466.06299212598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F">
      <w:pPr>
        <w:pStyle w:val="Heading2"/>
        <w:spacing w:after="120" w:before="360" w:line="480" w:lineRule="auto"/>
        <w:rPr>
          <w:rFonts w:ascii="Times New Roman" w:cs="Times New Roman" w:eastAsia="Times New Roman" w:hAnsi="Times New Roman"/>
        </w:rPr>
        <w:sectPr>
          <w:footerReference r:id="rId7" w:type="default"/>
          <w:footerReference r:id="rId8" w:type="first"/>
          <w:pgSz w:h="16834" w:w="11909" w:orient="portrait"/>
          <w:pgMar w:bottom="1440" w:top="1440" w:left="1440" w:right="1440" w:header="720" w:footer="720"/>
          <w:pgNumType w:start="0"/>
          <w:titlePg w:val="1"/>
        </w:sectPr>
      </w:pPr>
      <w:bookmarkStart w:colFirst="0" w:colLast="0" w:name="_tnbc26agunyh" w:id="6"/>
      <w:bookmarkEnd w:id="6"/>
      <w:r w:rsidDel="00000000" w:rsidR="00000000" w:rsidRPr="00000000">
        <w:rPr>
          <w:rtl w:val="0"/>
        </w:rPr>
      </w:r>
    </w:p>
    <w:p w:rsidR="00000000" w:rsidDel="00000000" w:rsidP="00000000" w:rsidRDefault="00000000" w:rsidRPr="00000000" w14:paraId="000001C0">
      <w:pPr>
        <w:pStyle w:val="Heading1"/>
        <w:spacing w:after="0" w:before="0" w:lineRule="auto"/>
        <w:rPr/>
      </w:pPr>
      <w:bookmarkStart w:colFirst="0" w:colLast="0" w:name="_psebtznxyaet" w:id="7"/>
      <w:bookmarkEnd w:id="7"/>
      <w:r w:rsidDel="00000000" w:rsidR="00000000" w:rsidRPr="00000000">
        <w:rPr>
          <w:rtl w:val="0"/>
        </w:rPr>
        <w:t xml:space="preserve">eTable 3 - Malnutrition Group Categories Categorical Post-hoc Analysis with Admitting Categories</w:t>
      </w:r>
    </w:p>
    <w:tbl>
      <w:tblPr>
        <w:tblStyle w:val="Table5"/>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1197.5"/>
        <w:gridCol w:w="1197.5"/>
        <w:gridCol w:w="1197.5"/>
        <w:gridCol w:w="1197.5"/>
        <w:gridCol w:w="1197.5"/>
        <w:gridCol w:w="1197.5"/>
        <w:tblGridChange w:id="0">
          <w:tblGrid>
            <w:gridCol w:w="1965"/>
            <w:gridCol w:w="1197.5"/>
            <w:gridCol w:w="1197.5"/>
            <w:gridCol w:w="1197.5"/>
            <w:gridCol w:w="1197.5"/>
            <w:gridCol w:w="1197.5"/>
            <w:gridCol w:w="1197.5"/>
          </w:tblGrid>
        </w:tblGridChange>
      </w:tblGrid>
      <w:tr>
        <w:trPr>
          <w:cantSplit w:val="0"/>
          <w:trHeight w:val="315.21259842519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80.0" w:type="dxa"/>
              <w:bottom w:w="40.0" w:type="dxa"/>
              <w:right w:w="80.0" w:type="dxa"/>
            </w:tcMar>
            <w:vAlign w:val="center"/>
          </w:tcPr>
          <w:p w:rsidR="00000000" w:rsidDel="00000000" w:rsidP="00000000" w:rsidRDefault="00000000" w:rsidRPr="00000000" w14:paraId="000001C1">
            <w:pPr>
              <w:ind w:left="141.73228346456688"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Admission Categories by Malnutrition Status: Post-hoc OR (Z)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C2">
            <w:pPr>
              <w:ind w:left="141.73228346456688"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Severely underweight</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C3">
            <w:pPr>
              <w:ind w:left="141.73228346456688"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Underweight</w:t>
            </w:r>
          </w:p>
        </w:tc>
        <w:tc>
          <w:tcPr>
            <w:tcBorders>
              <w:top w:color="000000" w:space="0" w:sz="4" w:val="single"/>
              <w:left w:color="000000" w:space="0" w:sz="4" w:val="single"/>
              <w:bottom w:color="000000" w:space="0" w:sz="4" w:val="single"/>
              <w:right w:color="000000" w:space="0" w:sz="4" w:val="single"/>
            </w:tcBorders>
            <w:shd w:fill="auto" w:val="clear"/>
            <w:tcMar>
              <w:top w:w="40.0" w:type="dxa"/>
              <w:left w:w="80.0" w:type="dxa"/>
              <w:bottom w:w="40.0" w:type="dxa"/>
              <w:right w:w="80.0" w:type="dxa"/>
            </w:tcMar>
            <w:vAlign w:val="center"/>
          </w:tcPr>
          <w:p w:rsidR="00000000" w:rsidDel="00000000" w:rsidP="00000000" w:rsidRDefault="00000000" w:rsidRPr="00000000" w14:paraId="000001C4">
            <w:pPr>
              <w:ind w:left="141.7322834645668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Normal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C5">
            <w:pPr>
              <w:ind w:left="141.73228346456688"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At risk of overweight</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C6">
            <w:pPr>
              <w:ind w:left="141.73228346456688"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Overweight</w:t>
            </w:r>
          </w:p>
        </w:tc>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C7">
            <w:pPr>
              <w:ind w:left="141.73228346456688"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Obese</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C8">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Postoperative Monitoring</w:t>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C9">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103, 2.57, (6.6)</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CA">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 1.54, (2.75)</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CB">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292, 0.72, (-3.14)</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CC">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 0.47, (-3.76)</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CD">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0.55, (-1.86)</w:t>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CE">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1.13, (0.28)</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CF">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Renal Failure</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0">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0.98, (-0.03)</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1">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2.08, (1.46)</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2">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 0.7, (-0.91)</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3">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0.71, (-0.47)</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4">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1.05, (0.05)</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5">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3.27, (1.14)</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D6">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Unclassifiable group</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7">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 0.37, (-3.09)</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8">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 0.71, (-1.28)</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9">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150, 1.41, (2.22)</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A">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 1.51, (1.95)</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B">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0.86, (-0.36)</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C">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DD">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Circulatory insufficiency</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E">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 1.03, (0.11)</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DF">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 0.96, (-0.17)</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0">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135, 1.11, (0.66)</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1">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 0.89, (-0.45)</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2">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0.9, (-0.27)</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3">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0.36, (-1.01)</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E4">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Hematology and Oncology</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5">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0.36, (-1.01)</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6">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0.41, (-0.87)</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7">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 3.84, (2.16)</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8">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9">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1.25, (0.22)</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A">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EB">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Bleeding and Anemia</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C">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0.26, (-1.33)</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D">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 3.22, (2.79)</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E">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 0.78, (-0.66)</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EF">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0.95, (-0.09)</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0">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0.9, (-0.1)</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1">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F2">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CNS Dysfunction</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3">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 0.43, (-2.28)</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4">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0.78, (-0.78)</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5">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 1.19, (0.94)</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6">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 1.44, (1.45)</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7">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 1.17, (0.36)</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8">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1.15, (0.19)</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1F9">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Septic Shock</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A">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0.99, (-0.01)</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B">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 1.99, (2.01)</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C">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37, 0.96, (-0.13)</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D">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0.44, (-1.37)</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E">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0.9, (-0.14)</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1FF">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200">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Respiratory Failure</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1">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72, 2.6, (6.09)</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2">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53, 1.88, (3.67)</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3">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168, 0.57, (-4.6)</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4">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 0.45, (-3.17)</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5">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 0.7, (-0.99)</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6">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 2.93, (2.55)</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207">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Trauma</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8">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0.06, (-3.86)</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9">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0.27, (-3.36)</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A">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146, 1.35, (1.92)</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B">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38, 2.04, (3.64)</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C">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2.24, (2.69)</w:t>
            </w:r>
          </w:p>
        </w:tc>
        <w:tc>
          <w:tcPr>
            <w:tcBorders>
              <w:top w:color="000000" w:space="0" w:sz="0" w:val="nil"/>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D">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2.14, (1.5)</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20E">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Intoxication</w:t>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0F">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0.08, (-4.33)</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0">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 0.12, (-4.11)</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1">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186, 1.84, (4.01)</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2">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45, 2.1, (4.04)</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3">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 1.52, (1.34)</w:t>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4">
            <w:pPr>
              <w:ind w:right="66.14173228346488"/>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0" w:val="nil"/>
            </w:tcBorders>
            <w:shd w:fill="auto" w:val="clear"/>
            <w:tcMar>
              <w:top w:w="-73.13385826771655" w:type="dxa"/>
              <w:left w:w="-73.13385826771655" w:type="dxa"/>
              <w:bottom w:w="-73.13385826771655" w:type="dxa"/>
              <w:right w:w="-73.13385826771655" w:type="dxa"/>
            </w:tcMar>
            <w:vAlign w:val="center"/>
          </w:tcPr>
          <w:p w:rsidR="00000000" w:rsidDel="00000000" w:rsidP="00000000" w:rsidRDefault="00000000" w:rsidRPr="00000000" w14:paraId="00000215">
            <w:pPr>
              <w:ind w:left="141.73228346456688"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20"/>
                <w:szCs w:val="20"/>
                <w:rtl w:val="0"/>
              </w:rPr>
              <w:t xml:space="preserve">Anemia at admission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6">
            <w:pPr>
              <w:ind w:right="66.14173228346488"/>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7">
            <w:pPr>
              <w:ind w:right="66.14173228346488"/>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8">
            <w:pPr>
              <w:ind w:right="66.14173228346488"/>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9">
            <w:pPr>
              <w:ind w:right="66.14173228346488"/>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A">
            <w:pPr>
              <w:ind w:right="66.14173228346488"/>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center"/>
          </w:tcPr>
          <w:p w:rsidR="00000000" w:rsidDel="00000000" w:rsidP="00000000" w:rsidRDefault="00000000" w:rsidRPr="00000000" w14:paraId="0000021B">
            <w:pPr>
              <w:ind w:right="66.14173228346488"/>
              <w:jc w:val="center"/>
              <w:rPr>
                <w:rFonts w:ascii="Times New Roman" w:cs="Times New Roman" w:eastAsia="Times New Roman" w:hAnsi="Times New Roman"/>
                <w:sz w:val="16"/>
                <w:szCs w:val="16"/>
              </w:rPr>
            </w:pPr>
            <w:r w:rsidDel="00000000" w:rsidR="00000000" w:rsidRPr="00000000">
              <w:rPr>
                <w:rtl w:val="0"/>
              </w:rPr>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21C">
            <w:pPr>
              <w:ind w:left="141.73228346456688"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 anemia</w:t>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1D">
            <w:pPr>
              <w:ind w:right="66.14173228346488"/>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16, 0.61, (-3.5)</w:t>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1E">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 0.65, (-3)</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1F">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57, 1.3, (2.8)</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0">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1.46, (2.56)</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1">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1.2, (0.78)</w:t>
            </w:r>
          </w:p>
        </w:tc>
        <w:tc>
          <w:tcPr>
            <w:tcBorders>
              <w:top w:color="000000" w:space="0" w:sz="4" w:val="single"/>
              <w:left w:color="000000" w:space="0" w:sz="4" w:val="single"/>
              <w:bottom w:color="000000" w:space="0" w:sz="0" w:val="nil"/>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2">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0.35, (-2.3)</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r>
      <w:tr>
        <w:trPr>
          <w:cantSplit w:val="0"/>
          <w:trHeight w:val="258.51968503937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223">
            <w:pPr>
              <w:ind w:left="141.73228346456688"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Anemia</w:t>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4">
            <w:pPr>
              <w:ind w:right="66.14173228346488"/>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84, 1.64, (3.5)</w:t>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5">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 1.55, (2.9)</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6">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244, 0.7, (-2.8)</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7">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34, 0.7, (-2.5)</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8">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 0.8, (-0.78)</w:t>
            </w:r>
          </w:p>
        </w:tc>
        <w:tc>
          <w:tcPr>
            <w:tcBorders>
              <w:top w:color="000000" w:space="0" w:sz="0" w:val="nil"/>
              <w:left w:color="000000" w:space="0" w:sz="4" w:val="single"/>
              <w:bottom w:color="000000" w:space="0" w:sz="4" w:val="single"/>
              <w:right w:color="000000" w:space="0" w:sz="4" w:val="single"/>
            </w:tcBorders>
            <w:shd w:fill="auto" w:val="clear"/>
            <w:tcMar>
              <w:top w:w="-16.440944881889767" w:type="dxa"/>
              <w:left w:w="-16.440944881889767" w:type="dxa"/>
              <w:bottom w:w="-16.440944881889767" w:type="dxa"/>
              <w:right w:w="-16.440944881889767" w:type="dxa"/>
            </w:tcMar>
            <w:vAlign w:val="top"/>
          </w:tcPr>
          <w:p w:rsidR="00000000" w:rsidDel="00000000" w:rsidP="00000000" w:rsidRDefault="00000000" w:rsidRPr="00000000" w14:paraId="00000229">
            <w:pPr>
              <w:ind w:right="66.14173228346488"/>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2.86, (2.3)</w:t>
            </w:r>
            <w:r w:rsidDel="00000000" w:rsidR="00000000" w:rsidRPr="00000000">
              <w:rPr>
                <w:rFonts w:ascii="Times New Roman" w:cs="Times New Roman" w:eastAsia="Times New Roman" w:hAnsi="Times New Roman"/>
                <w:b w:val="1"/>
                <w:bCs w:val="1"/>
                <w:i w:val="1"/>
                <w:iCs w:val="1"/>
                <w:sz w:val="18"/>
                <w:szCs w:val="18"/>
                <w:vertAlign w:val="superscript"/>
                <w:rtl w:val="0"/>
              </w:rPr>
              <w:t xml:space="preserve">a</w:t>
            </w:r>
            <w:r w:rsidDel="00000000" w:rsidR="00000000" w:rsidRPr="00000000">
              <w:rPr>
                <w:rtl w:val="0"/>
              </w:rPr>
            </w:r>
          </w:p>
        </w:tc>
      </w:tr>
    </w:tbl>
    <w:p w:rsidR="00000000" w:rsidDel="00000000" w:rsidP="00000000" w:rsidRDefault="00000000" w:rsidRPr="00000000" w14:paraId="0000022A">
      <w:pPr>
        <w:ind w:right="-40.866141732282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post hoc analysis of malnutrition subgroups and admitting categories, significance was noted in pairwise results, indicated by z values of ±1.96 for a degree of freedom (dof) of 1, and these findings are marked with an asterisk '*' in the relevant table cells. However, the adjusted categorical post hoc analysis, employing the ransacking method on the chi-square test, did not yield statistically significant results for a dof of 50, as reflected by a z value of ±8.22 and for the Anemi status at admission (dof=6) if they exceed ±</w:t>
      </w: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1"/>
        <w:spacing w:after="0" w:before="0" w:lineRule="auto"/>
        <w:rPr/>
      </w:pPr>
      <w:bookmarkStart w:colFirst="0" w:colLast="0" w:name="_4smxerc3ykgy" w:id="8"/>
      <w:bookmarkEnd w:id="8"/>
      <w:r w:rsidDel="00000000" w:rsidR="00000000" w:rsidRPr="00000000">
        <w:rPr>
          <w:rtl w:val="0"/>
        </w:rPr>
        <w:t xml:space="preserve">eTable 4 - PRISM and PDR Values' Numerical Analysis and Descriptive Representation According to Patients' Categorical Variables</w:t>
      </w:r>
      <w:r w:rsidDel="00000000" w:rsidR="00000000" w:rsidRPr="00000000">
        <w:rPr>
          <w:rtl w:val="0"/>
        </w:rPr>
      </w:r>
    </w:p>
    <w:tbl>
      <w:tblPr>
        <w:tblStyle w:val="Table6"/>
        <w:tblW w:w="903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60"/>
        <w:gridCol w:w="1642.5"/>
        <w:gridCol w:w="1642.5"/>
        <w:gridCol w:w="1642.5"/>
        <w:gridCol w:w="1642.5"/>
        <w:tblGridChange w:id="0">
          <w:tblGrid>
            <w:gridCol w:w="2460"/>
            <w:gridCol w:w="1642.5"/>
            <w:gridCol w:w="1642.5"/>
            <w:gridCol w:w="1642.5"/>
            <w:gridCol w:w="1642.5"/>
          </w:tblGrid>
        </w:tblGridChange>
      </w:tblGrid>
      <w:tr>
        <w:trPr>
          <w:cantSplit w:val="0"/>
          <w:trHeight w:val="318.24" w:hRule="atLeast"/>
          <w:tblHeader w:val="0"/>
        </w:trPr>
        <w:tc>
          <w:tcPr>
            <w:vMerge w:val="restart"/>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C">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PRISM-III and Pediatric Death Rate Scores by Categorical Patient Characteristics and Transfusion Status</w:t>
            </w:r>
          </w:p>
        </w:tc>
        <w:tc>
          <w:tcPr>
            <w:gridSpan w:val="2"/>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PRISM-III Score</w:t>
            </w:r>
          </w:p>
        </w:tc>
        <w:tc>
          <w:tcPr>
            <w:gridSpan w:val="2"/>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Pediatric Death Rate Score</w:t>
            </w:r>
          </w:p>
        </w:tc>
      </w:tr>
      <w:tr>
        <w:trPr>
          <w:cantSplit w:val="0"/>
          <w:trHeight w:val="318.2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1">
            <w:pPr>
              <w:spacing w:after="0" w:before="0" w:line="240" w:lineRule="auto"/>
              <w:ind w:left="0" w:firstLine="0"/>
              <w:jc w:val="left"/>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32">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Transfused</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3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Not Transfused</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3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Transfused</w:t>
            </w:r>
          </w:p>
        </w:tc>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center"/>
          </w:tcPr>
          <w:p w:rsidR="00000000" w:rsidDel="00000000" w:rsidP="00000000" w:rsidRDefault="00000000" w:rsidRPr="00000000" w14:paraId="0000023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Not Transfused</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6">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Gender</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8">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9">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A">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B">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Male Sex</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 [1.3 – 25.9]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[0.7 – 6.0]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[1.1 – 18.4]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[0.7 – 3.6]</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0">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Female Sex</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[2 – 21.5]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[0.7 – 5.5]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[1.0 – 19.7]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 [0.6 – 3.2]</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5">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Group</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8">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A">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0–2 years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 [4.7 – 20.0]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[0.0 – 11.0]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[1.8 – 25.6]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[0.8 – 5.0]</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F">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2–6 years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 [5.0 – 22.5]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[0.0 – 9.0]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[1.4 – 16.8]</w:t>
            </w:r>
          </w:p>
        </w:tc>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5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[0.7 – 3.6]</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4">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6–12 years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 [0.8 – 19.2]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[0.0 – 11.0]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[0.8 – 72]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[0.6 – 5.0]</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9">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&gt; 12 years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[0.0 – 18.0]ᵃ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[0.0 – 11.0]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[0.4 – 5.9]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 [0.4 – 1.9]</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5E">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Malnutrition Groups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F">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0">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1">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3">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Severely underweight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 [5.7 – 21.0]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[0.0 – 10.0]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[1.2 – 22.1]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 [0.6 – 3.2]</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8">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Underweight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[6.0 – 22.0]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[0.0 – 12.0]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 [1.6 – 26.5]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1.75, [0.8 – 4.0]</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D">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Normal</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 [1.0 – 19.3]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[0.0 – 11.0]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[0.8 – 17.8]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[0.6 – 3.2]</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2">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Risk of overweight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 [0.15 – 10.0]ᵃ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[0.0 – 11.0]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[0.8 – 9.8]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 [0.5 – 3.9]</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7">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Overweight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25.4, [12.7 – 42.3]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[0.0 – 10.0]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 [1.8 – 22.5]</w:t>
            </w:r>
          </w:p>
        </w:tc>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 [0.43 – 2.2]</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C">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Obese</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 [6.5 – 22.0]ᵃ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 [5.0 – 29.0]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 [2.9 – 34.3]ᵃ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[0.85 – 2.4]</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1">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Admitting Type</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2">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3">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4">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5">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6">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Pediatric Emergency Room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 [1.8 – 26.4]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[0.0 – 10.0]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[1.5 – 23]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[0.6 – 3.6]</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B">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Surgical Departments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[0.0 – 12.0]ᵃ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[0.0 – 9.0]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[0.8 – 5.9]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 [0.6 – 1.9]</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0">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Pediatric Departments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18.0, [11.0 – 24.0]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[0.0 – 14.0]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 [1.9 – 25.8]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[0.7 – 8.3]</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95">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Admitting Categories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8">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A">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Postoperative Monitoring</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[0.0 – 13.0]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[0.0 – 9.0]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[0.8 – 5.5]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 [0.55 – 1.8]</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F">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Respiratory Failure</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 [8.0 – 24.0]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[2.0 – 13.3]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 [3.4 – 36.2]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[0.8 – 5.9]</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4">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Intoxication</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 [26.0 – 26.0]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 [0.0 – 5.25]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63.3, [63.3 – 63.3]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 [0.3 – 0.8]</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9">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Trauma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 [0.7 – 35.2]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 [0.7 – 7.6]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[1.08 – 12.3]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[0.6 – 6.0]</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E">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Circulatory insufficiency</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 [10.0 – 18.0]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[0.45 – 11.0]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[2.3 – 44.3]</w:t>
            </w:r>
          </w:p>
        </w:tc>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 [0.7 – 2.7]</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3">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Central Nervous System Dysfunction</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 [12.0 – 22.0]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[0.0 – 10.3]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[2.3 – 23.3]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[0.6 – 2.7]</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8">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Septic Shock</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 [6.3 – 21.3]ᵃ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 [0.9 – 16.0]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[1.18 – 22.8]</w:t>
            </w:r>
          </w:p>
        </w:tc>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[0.95 – 11.5]</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D">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Bleeding and Anemia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[2.0 – 4.0]ᵃ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[3.0 – 7.8]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[0.8 – 3.2]</w:t>
            </w:r>
          </w:p>
        </w:tc>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 [0.52 – 1.4]</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2">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Renal Failure</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[2.0 – 11.0]ᵃ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[2.0 – 7.0]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[1.05 – 3.9]ᵃ</w:t>
            </w:r>
          </w:p>
        </w:tc>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C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 [1.1 – 4.4]</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7">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Hematology and Oncology</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[0.0 – 6.0]ᵃ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 [0.0 – 3.8]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 [0.7 – 2.2]ᵃ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 [0.8 – 1.4]</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C">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Unclassifiable admission reasons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 [13.0 – 20.0]ᵃ</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[6.0 – 14.0]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[2.3 – 25.05]ᵃ</w:t>
            </w:r>
          </w:p>
        </w:tc>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4.05, [1.52 – 10.1]</w:t>
            </w:r>
          </w:p>
        </w:tc>
      </w:tr>
    </w:tbl>
    <w:p w:rsidR="00000000" w:rsidDel="00000000" w:rsidP="00000000" w:rsidRDefault="00000000" w:rsidRPr="00000000" w14:paraId="000002D1">
      <w:pPr>
        <w:rPr/>
      </w:pPr>
      <w:r w:rsidDel="00000000" w:rsidR="00000000" w:rsidRPr="00000000">
        <w:rPr>
          <w:rFonts w:ascii="Times New Roman" w:cs="Times New Roman" w:eastAsia="Times New Roman" w:hAnsi="Times New Roman"/>
          <w:sz w:val="20"/>
          <w:szCs w:val="20"/>
          <w:rtl w:val="0"/>
        </w:rPr>
        <w:t xml:space="preserve">During the test, PRISM and PDR scores were evaluated separately for each group. It was hypothesized as an alternative hypothesis that these risk scores differ by having higher median values in patients who were transfused compared to those who were not transfused. This hypothesis was tested with an alpha of 0.05. Differences in many groups were found to be significant; groups where the difference was not significant are marked with an </w:t>
      </w:r>
      <w:r w:rsidDel="00000000" w:rsidR="00000000" w:rsidRPr="00000000">
        <w:rPr>
          <w:rFonts w:ascii="Times New Roman" w:cs="Times New Roman" w:eastAsia="Times New Roman" w:hAnsi="Times New Roman"/>
          <w:i w:val="1"/>
          <w:iCs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next to their values.</w:t>
      </w:r>
      <w:r w:rsidDel="00000000" w:rsidR="00000000" w:rsidRPr="00000000">
        <w:rPr>
          <w:rtl w:val="0"/>
        </w:rPr>
      </w:r>
    </w:p>
    <w:p w:rsidR="00000000" w:rsidDel="00000000" w:rsidP="00000000" w:rsidRDefault="00000000" w:rsidRPr="00000000" w14:paraId="000002D2">
      <w:pPr>
        <w:pStyle w:val="Heading1"/>
        <w:spacing w:after="0" w:before="0" w:lineRule="auto"/>
        <w:rPr/>
      </w:pPr>
      <w:bookmarkStart w:colFirst="0" w:colLast="0" w:name="_qo6yublef31p" w:id="9"/>
      <w:bookmarkEnd w:id="9"/>
      <w:r w:rsidDel="00000000" w:rsidR="00000000" w:rsidRPr="00000000">
        <w:rPr>
          <w:rtl w:val="0"/>
        </w:rPr>
        <w:t xml:space="preserve">eTable 5 - Subgroup Analysis of Age and Malnutrition Categories Using Univariate Logistic Regression</w:t>
      </w:r>
    </w:p>
    <w:tbl>
      <w:tblPr>
        <w:tblStyle w:val="Table7"/>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10"/>
        <w:gridCol w:w="1920"/>
        <w:gridCol w:w="1860"/>
        <w:gridCol w:w="1860"/>
        <w:tblGridChange w:id="0">
          <w:tblGrid>
            <w:gridCol w:w="3210"/>
            <w:gridCol w:w="1920"/>
            <w:gridCol w:w="1860"/>
            <w:gridCol w:w="1860"/>
          </w:tblGrid>
        </w:tblGridChange>
      </w:tblGrid>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3">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Subgroup ORs for Repeated vs. Single Transfusion</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Repeated Transfused, </w:t>
            </w:r>
          </w:p>
          <w:p w:rsidR="00000000" w:rsidDel="00000000" w:rsidP="00000000" w:rsidRDefault="00000000" w:rsidRPr="00000000" w14:paraId="000002D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 (%)</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Single Transfused, </w:t>
            </w:r>
          </w:p>
          <w:p w:rsidR="00000000" w:rsidDel="00000000" w:rsidP="00000000" w:rsidRDefault="00000000" w:rsidRPr="00000000" w14:paraId="000002D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 (%)</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OR [95 % CI]</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group</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A">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D">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 years</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 (33.2)</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D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 (66.8)</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[2.0–3.6]</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1">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yearsᵃ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(32.7)</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107 (67.3)</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[0.8–1.6]</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5">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6–12 years</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(29.7)</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(70.3)</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 [0.3–0.9]</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9">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 12 years</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(37.7)</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(62.3)</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 [0.3–0.6]</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D">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Malnutrition groups</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E">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EF">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1">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Severely underweight</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(37.0)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(63.0)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[1.4–3.0]</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5">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Underweight</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(41.7)</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 (58.3)</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[1.5–3.3]</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9">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Normal</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 (31.1)</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206 (68.9)</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 [0.4–0.8]</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D">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risk of overweightᵃ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(17.5)</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2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(64.9)</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 [0.3–1.1]</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1">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Overweightᵃ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(35.1)</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(64.9)</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 [0.3–1.8]</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5">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Obeseᵃ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(26.7)</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(73.3)</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[0.6–5.5]</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Admitting type</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A">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D">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Pediatric emergency room</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 (34.4)</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 (54.0)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 [0.5–0.9]</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1">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Surgical departments</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(21.2)</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 (78.8)</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 [0.4–0.9]</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5">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Pediatric departments</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(46.0)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 (54.0)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[2.0–3.9]</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Admitting categories</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A">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D">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Postoperative monitoringᵃ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(17.4)</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1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133 (82.6)</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 [0.3–0.7]</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1">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Respiratory failure</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 (46.2)</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 (53.8)</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[2.4–4.6]</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5">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Intoxication</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(100.0)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(0.0)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 [0.0–0.2]</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9">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Trauma</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(38.2)</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(61.8)</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[1.4–3.1]</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D">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Circulatory insufficiencyᵃ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(34.2)</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(65.8)</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 [0.4–1.1]</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1">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CNS dysfunctionᵃ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(30.3)</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(69.7)</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 [0.4–1.4]</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5">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Septic shock</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(34.4)</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(65.6)</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[1.2–4.4]</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9">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Bleeding and anemia</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(39.0)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(61.0)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[1.3–7.2]</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D">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Renal failureᵃ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(20.0)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(80.0)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[0.4–4.3]</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1">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Hematology and oncologyᵃ</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(41.7)</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(58.3)</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[1.1–8.0]</w:t>
            </w:r>
          </w:p>
        </w:tc>
      </w:tr>
      <w:tr>
        <w:trPr>
          <w:cantSplit w:val="0"/>
          <w:trHeight w:val="318.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5">
            <w:pPr>
              <w:ind w:firstLine="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Unclassifiable admission reasons</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(50.0)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(50.0)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 [0.2–0.7]</w:t>
            </w:r>
          </w:p>
        </w:tc>
      </w:tr>
    </w:tbl>
    <w:p w:rsidR="00000000" w:rsidDel="00000000" w:rsidP="00000000" w:rsidRDefault="00000000" w:rsidRPr="00000000" w14:paraId="0000034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The results of subgroups marked with </w:t>
      </w:r>
      <w:r w:rsidDel="00000000" w:rsidR="00000000" w:rsidRPr="00000000">
        <w:rPr>
          <w:rFonts w:ascii="Times New Roman" w:cs="Times New Roman" w:eastAsia="Times New Roman" w:hAnsi="Times New Roman"/>
          <w:i w:val="1"/>
          <w:iCs w:val="1"/>
          <w:sz w:val="22"/>
          <w:szCs w:val="22"/>
          <w:rtl w:val="0"/>
        </w:rPr>
        <w:t xml:space="preserve">“a”</w:t>
      </w:r>
      <w:r w:rsidDel="00000000" w:rsidR="00000000" w:rsidRPr="00000000">
        <w:rPr>
          <w:rFonts w:ascii="Times New Roman" w:cs="Times New Roman" w:eastAsia="Times New Roman" w:hAnsi="Times New Roman"/>
          <w:sz w:val="22"/>
          <w:szCs w:val="22"/>
          <w:rtl w:val="0"/>
        </w:rPr>
        <w:t xml:space="preserve"> were not found to be statistically significant (p &gt; 0.05).</w:t>
      </w:r>
      <w:r w:rsidDel="00000000" w:rsidR="00000000" w:rsidRPr="00000000">
        <w:rPr>
          <w:rtl w:val="0"/>
        </w:rPr>
      </w:r>
    </w:p>
    <w:p w:rsidR="00000000" w:rsidDel="00000000" w:rsidP="00000000" w:rsidRDefault="00000000" w:rsidRPr="00000000" w14:paraId="0000034A">
      <w:pPr>
        <w:ind w:right="-40.8661417322827"/>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4B">
      <w:pPr>
        <w:pStyle w:val="Heading1"/>
        <w:rPr/>
      </w:pPr>
      <w:bookmarkStart w:colFirst="0" w:colLast="0" w:name="_afo70563wn4w" w:id="10"/>
      <w:bookmarkEnd w:id="10"/>
      <w:r w:rsidDel="00000000" w:rsidR="00000000" w:rsidRPr="00000000">
        <w:rPr>
          <w:rtl w:val="0"/>
        </w:rPr>
        <w:t xml:space="preserve">eTable 6 - Comparative analysis of patient characteristics based on frequency of RBC transfusions in the pediatric intensive care unit</w:t>
      </w:r>
    </w:p>
    <w:tbl>
      <w:tblPr>
        <w:tblStyle w:val="Table8"/>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55"/>
        <w:gridCol w:w="1785"/>
        <w:gridCol w:w="1980"/>
        <w:gridCol w:w="1995"/>
        <w:tblGridChange w:id="0">
          <w:tblGrid>
            <w:gridCol w:w="3255"/>
            <w:gridCol w:w="1785"/>
            <w:gridCol w:w="1980"/>
            <w:gridCol w:w="1995"/>
          </w:tblGrid>
        </w:tblGridChange>
      </w:tblGrid>
      <w:tr>
        <w:trPr>
          <w:cantSplit w:val="0"/>
          <w:trHeight w:val="606.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C">
            <w:pPr>
              <w:ind w:left="9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Patient Characteristics by Number of RBC Transfusions in the PICU</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Single transfused</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E">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Dual transfused</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4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Multiple transfused</w:t>
            </w:r>
          </w:p>
        </w:tc>
      </w:tr>
      <w:tr>
        <w:trPr>
          <w:cantSplit w:val="0"/>
          <w:trHeight w:val="606.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0">
            <w:pPr>
              <w:ind w:left="9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of patients, n (%)</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365 (65.4)</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108 (19.3)</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 (15.2)</w:t>
            </w:r>
          </w:p>
        </w:tc>
      </w:tr>
      <w:tr>
        <w:trPr>
          <w:cantSplit w:val="0"/>
          <w:trHeight w:val="606.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4">
            <w:pPr>
              <w:ind w:left="9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First administration Hb (g/dL), median [IQR]</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 [8.2–9.6]</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 [8.1–9.5]</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 [7.8–9.6]</w:t>
            </w:r>
          </w:p>
        </w:tc>
      </w:tr>
      <w:tr>
        <w:trPr>
          <w:cantSplit w:val="0"/>
          <w:trHeight w:val="606.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8">
            <w:pPr>
              <w:ind w:left="9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Whole administration Hb (g/dL), median [IQR]</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 [8.1–9.6]</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[8.4–9.7]</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[8.6–9.8]</w:t>
            </w:r>
          </w:p>
        </w:tc>
      </w:tr>
      <w:tr>
        <w:trPr>
          <w:cantSplit w:val="0"/>
          <w:trHeight w:val="606.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C">
            <w:pPr>
              <w:ind w:left="9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Age (months), median [IQR]</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 [9.0–70.0]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18.0 [5.0–73.0]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5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 [4.0–50.0]</w:t>
            </w:r>
          </w:p>
        </w:tc>
      </w:tr>
      <w:tr>
        <w:trPr>
          <w:cantSplit w:val="0"/>
          <w:trHeight w:val="606.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0">
            <w:pPr>
              <w:ind w:left="9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Weight-for-age z-score, median [IQR]</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1">
            <w:pPr>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−0.7 [−2.4–0.2]</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2">
            <w:pPr>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−0.8 [−2.3–0.4]</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3">
            <w:pPr>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−1.6 [−3.1–−0.2]</w:t>
            </w:r>
          </w:p>
        </w:tc>
      </w:tr>
      <w:tr>
        <w:trPr>
          <w:cantSplit w:val="0"/>
          <w:trHeight w:val="606.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4">
            <w:pPr>
              <w:ind w:left="9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PDR (%), median [IQR]</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[0.8–10.8]</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[1.3–22.5]</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 [2.8–29.7]</w:t>
            </w:r>
          </w:p>
        </w:tc>
      </w:tr>
      <w:tr>
        <w:trPr>
          <w:cantSplit w:val="0"/>
          <w:trHeight w:val="606.24" w:hRule="atLeast"/>
          <w:tblHeader w:val="0"/>
        </w:trPr>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8">
            <w:pPr>
              <w:ind w:left="9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LOS in PICU (days), median [IQR]</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[2.0–8.0]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[5.0–17.0]</w:t>
            </w:r>
          </w:p>
        </w:tc>
        <w:tc>
          <w:tcPr>
            <w:tcBorders>
              <w:top w:color="000000" w:space="0" w:sz="4" w:val="single"/>
              <w:left w:color="000000" w:space="0" w:sz="4" w:val="single"/>
              <w:bottom w:color="000000" w:space="0" w:sz="4" w:val="single"/>
              <w:right w:color="000000" w:space="0" w:sz="4" w:val="single"/>
            </w:tcBorders>
            <w:tcMar>
              <w:top w:w="-391.68000000000006" w:type="dxa"/>
              <w:left w:w="-391.68000000000006" w:type="dxa"/>
              <w:bottom w:w="-391.68000000000006" w:type="dxa"/>
              <w:right w:w="-391.68000000000006" w:type="dxa"/>
            </w:tcMar>
            <w:vAlign w:val="center"/>
          </w:tcPr>
          <w:p w:rsidR="00000000" w:rsidDel="00000000" w:rsidP="00000000" w:rsidRDefault="00000000" w:rsidRPr="00000000" w14:paraId="000003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 [13.0–44.0]</w:t>
            </w:r>
          </w:p>
        </w:tc>
      </w:tr>
    </w:tbl>
    <w:p w:rsidR="00000000" w:rsidDel="00000000" w:rsidP="00000000" w:rsidRDefault="00000000" w:rsidRPr="00000000" w14:paraId="000003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table presents a detailed breakdown of the characteristics for patients who received single, dual, and multiple RBC transfusions in a PICU. It includes the number of patients in each category, their median hemoglobin (Hb) levels at first and during all administrations, median age, WFA z-scores, PDR percentages, median time to transfusion, and LOS in PICU. The values are presented as medians with IQR. The analysis of relationships between these groups, specifically comparing the single, dual, and multiple transfusion groups in sequence, was conducted using the Mann-Whitney U test, and alternative hypotheses (less and greater) were tested. All differences found, including those in age, time to transfusion for the group, PICU LOS, first administered RBC transfusion pre-Hb level, group's pre-transfusion Hb level, WFA-Z score, and PDR percentage, were statistically significant (p&lt;0.001).</w:t>
      </w:r>
    </w:p>
    <w:p w:rsidR="00000000" w:rsidDel="00000000" w:rsidP="00000000" w:rsidRDefault="00000000" w:rsidRPr="00000000" w14:paraId="0000036D">
      <w:pPr>
        <w:ind w:right="-40.8661417322827"/>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6E">
      <w:pPr>
        <w:pStyle w:val="Heading3"/>
        <w:spacing w:after="0" w:before="0" w:lineRule="auto"/>
        <w:rPr>
          <w:rFonts w:ascii="Times New Roman" w:cs="Times New Roman" w:eastAsia="Times New Roman" w:hAnsi="Times New Roman"/>
          <w:b w:val="1"/>
          <w:bCs w:val="1"/>
          <w:color w:val="000000"/>
          <w:sz w:val="20"/>
          <w:szCs w:val="20"/>
        </w:rPr>
      </w:pPr>
      <w:bookmarkStart w:colFirst="0" w:colLast="0" w:name="_oc9pzhyinw88" w:id="11"/>
      <w:bookmarkEnd w:id="11"/>
      <w:r w:rsidDel="00000000" w:rsidR="00000000" w:rsidRPr="00000000">
        <w:br w:type="page"/>
      </w:r>
      <w:r w:rsidDel="00000000" w:rsidR="00000000" w:rsidRPr="00000000">
        <w:rPr>
          <w:rtl w:val="0"/>
        </w:rPr>
      </w:r>
    </w:p>
    <w:p w:rsidR="00000000" w:rsidDel="00000000" w:rsidP="00000000" w:rsidRDefault="00000000" w:rsidRPr="00000000" w14:paraId="0000036F">
      <w:pPr>
        <w:pStyle w:val="Heading1"/>
        <w:spacing w:after="0" w:before="0" w:lineRule="auto"/>
        <w:rPr/>
      </w:pPr>
      <w:bookmarkStart w:colFirst="0" w:colLast="0" w:name="_4fnicmdxyxjn" w:id="12"/>
      <w:bookmarkEnd w:id="12"/>
      <w:r w:rsidDel="00000000" w:rsidR="00000000" w:rsidRPr="00000000">
        <w:rPr>
          <w:rtl w:val="0"/>
        </w:rPr>
        <w:t xml:space="preserve">eFigure 1 - Comparison of Hb levels distributions according to transfusion status during admission</w:t>
      </w:r>
    </w:p>
    <w:p w:rsidR="00000000" w:rsidDel="00000000" w:rsidP="00000000" w:rsidRDefault="00000000" w:rsidRPr="00000000" w14:paraId="0000037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30861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37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Shift plot of hemoglobin (Hb) levels comparing transfused and non-transfused patients upon admission. Transfused patients (X) had a median pre-transfusion Hb level of 8.9 g/dL (IQR: 8.1-9.6 g/dL), notably lower than the median pre-discharge Hb of 11.9 g/dL (IQR: 10.5-13.1 g/dL) for non-transfused patients (Y), with a p-value &lt; 0.001 indicating significant difference.</w:t>
      </w:r>
      <w:r w:rsidDel="00000000" w:rsidR="00000000" w:rsidRPr="00000000">
        <w:rPr>
          <w:rtl w:val="0"/>
        </w:rPr>
      </w:r>
    </w:p>
    <w:p w:rsidR="00000000" w:rsidDel="00000000" w:rsidP="00000000" w:rsidRDefault="00000000" w:rsidRPr="00000000" w14:paraId="00000373">
      <w:pPr>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ungsuh"/>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B Garamond" w:cs="EB Garamond" w:eastAsia="EB Garamond" w:hAnsi="EB Garamond"/>
        <w:sz w:val="24"/>
        <w:szCs w:val="24"/>
        <w:lang w:val="t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right="-60"/>
    </w:pPr>
    <w:rPr>
      <w:rFonts w:ascii="Times New Roman" w:cs="Times New Roman" w:eastAsia="Times New Roman" w:hAnsi="Times New Roman"/>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ind w:right="-607.7952755905511"/>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blPr>
    <w:tcPr>
      <w:shd w:fill="383838" w:val="clear"/>
    </w:tcPr>
  </w:style>
  <w:style w:type="table" w:styleId="Table5">
    <w:basedOn w:val="TableNormal"/>
    <w:tblPr>
      <w:tblStyleRowBandSize w:val="1"/>
      <w:tblStyleColBandSize w:val="1"/>
      <w:tblCellMar/>
    </w:tblPr>
    <w:tcPr>
      <w:shd w:fill="383838" w:val="clear"/>
    </w:tc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iakbasli@hacettepe.edu.tr" TargetMode="Externa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